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eastAsia="宋体" w:cs="宋体"/>
          <w:b/>
          <w:bCs/>
          <w:spacing w:val="40"/>
          <w:sz w:val="32"/>
          <w:szCs w:val="32"/>
          <w:highlight w:val="none"/>
          <w:lang w:eastAsia="zh-CN"/>
        </w:rPr>
        <w:t>护士节团建服务</w:t>
      </w:r>
      <w:r>
        <w:rPr>
          <w:rFonts w:hint="eastAsia" w:ascii="宋体" w:hAnsi="宋体" w:eastAsia="宋体" w:cs="宋体"/>
          <w:b/>
          <w:bCs/>
          <w:spacing w:val="40"/>
          <w:sz w:val="32"/>
          <w:szCs w:val="32"/>
          <w:highlight w:val="none"/>
          <w:lang w:val="en-US" w:eastAsia="zh-CN"/>
        </w:rPr>
        <w:t>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653ADF1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spacing w:val="30"/>
          <w:sz w:val="30"/>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五年四</w:t>
      </w:r>
      <w:r>
        <w:rPr>
          <w:rFonts w:hint="eastAsia" w:ascii="新宋体" w:hAnsi="新宋体" w:eastAsia="新宋体"/>
          <w:b/>
          <w:bCs/>
          <w:spacing w:val="40"/>
          <w:sz w:val="32"/>
          <w:szCs w:val="28"/>
          <w:highlight w:val="none"/>
        </w:rPr>
        <w:t>月</w:t>
      </w:r>
    </w:p>
    <w:p w14:paraId="4DB5B5CD">
      <w:pPr>
        <w:pStyle w:val="2"/>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护士节团建服务项目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护士节团建服务项目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65000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日至202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16</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1397FA6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2.</w:t>
      </w:r>
      <w:r>
        <w:rPr>
          <w:rFonts w:hint="default" w:ascii="宋体" w:hAnsi="宋体" w:eastAsia="宋体" w:cs="宋体"/>
          <w:i w:val="0"/>
          <w:iCs w:val="0"/>
          <w:caps w:val="0"/>
          <w:color w:val="000000"/>
          <w:spacing w:val="0"/>
          <w:sz w:val="24"/>
          <w:szCs w:val="24"/>
          <w:highlight w:val="none"/>
          <w:shd w:val="clear" w:color="auto" w:fill="FFFFFF"/>
        </w:rPr>
        <w:t>本次比选不适用《招标投标法》和《中华人民共和国政府采购法》，并且</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保留对本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及比选文件的解释权。</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保留撤回/取消本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及比选文件的权利而无需承担任何责任。请拟参选单位审慎阅读本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，若有不明之处可联系</w:t>
      </w:r>
      <w:r>
        <w:rPr>
          <w:rFonts w:hint="default" w:ascii="宋体" w:hAnsi="宋体" w:eastAsia="宋体" w:cs="宋体"/>
          <w:i w:val="0"/>
          <w:iCs w:val="0"/>
          <w:caps w:val="0"/>
          <w:color w:val="000000"/>
          <w:spacing w:val="0"/>
          <w:sz w:val="24"/>
          <w:szCs w:val="24"/>
          <w:highlight w:val="none"/>
          <w:shd w:val="clear" w:color="auto" w:fill="FFFFFF"/>
          <w:lang w:eastAsia="zh-CN"/>
        </w:rPr>
        <w:t>问询。</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3.</w:t>
      </w: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bookmarkStart w:id="6" w:name="_GoBack"/>
      <w:bookmarkEnd w:id="6"/>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4</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16</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4</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16</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w:t>
      </w:r>
      <w:r>
        <w:rPr>
          <w:rFonts w:hint="eastAsia" w:cs="宋体"/>
          <w:color w:val="000000"/>
          <w:sz w:val="24"/>
          <w:szCs w:val="24"/>
          <w:highlight w:val="none"/>
          <w:lang w:val="en-US" w:eastAsia="zh-CN"/>
        </w:rPr>
        <w:t>89870</w:t>
      </w:r>
      <w:r>
        <w:rPr>
          <w:rFonts w:hint="eastAsia" w:ascii="宋体" w:hAnsi="宋体" w:eastAsia="宋体" w:cs="宋体"/>
          <w:color w:val="000000"/>
          <w:sz w:val="24"/>
          <w:szCs w:val="24"/>
          <w:highlight w:val="none"/>
        </w:rPr>
        <w:t>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4</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301C4713">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5FB7C4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7BAE0D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D4F53C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461E0C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3F37DE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A71196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8B802A1">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27194E8">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7FDD0609">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FFB982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2BED76FC">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5"/>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15D1ABF">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（二）项目名称：</w:t>
      </w:r>
      <w:r>
        <w:rPr>
          <w:rFonts w:hint="eastAsia" w:ascii="宋体" w:hAnsi="宋体"/>
          <w:sz w:val="28"/>
          <w:szCs w:val="28"/>
          <w:highlight w:val="none"/>
          <w:lang w:val="en-US" w:eastAsia="zh-CN"/>
        </w:rPr>
        <w:t>护士节团建服务项目项目</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65000</w:t>
      </w:r>
      <w:r>
        <w:rPr>
          <w:rFonts w:hint="eastAsia" w:ascii="宋体" w:hAnsi="宋体"/>
          <w:sz w:val="28"/>
          <w:szCs w:val="28"/>
          <w:highlight w:val="none"/>
        </w:rPr>
        <w:t>元</w:t>
      </w:r>
    </w:p>
    <w:p w14:paraId="79EF5E11">
      <w:pPr>
        <w:numPr>
          <w:ilvl w:val="0"/>
          <w:numId w:val="0"/>
        </w:numPr>
        <w:spacing w:line="360" w:lineRule="auto"/>
        <w:rPr>
          <w:rFonts w:hint="eastAsia" w:ascii="宋体" w:hAnsi="宋体" w:eastAsia="宋体"/>
          <w:sz w:val="28"/>
          <w:szCs w:val="28"/>
          <w:highlight w:val="none"/>
          <w:lang w:eastAsia="zh-CN"/>
        </w:rPr>
      </w:pPr>
      <w:r>
        <w:rPr>
          <w:rFonts w:hint="eastAsia" w:ascii="宋体" w:hAnsi="宋体"/>
          <w:sz w:val="28"/>
          <w:szCs w:val="28"/>
          <w:highlight w:val="none"/>
        </w:rPr>
        <w:t>（四）采购</w:t>
      </w:r>
      <w:r>
        <w:rPr>
          <w:rFonts w:hint="eastAsia" w:ascii="宋体" w:hAnsi="宋体"/>
          <w:sz w:val="28"/>
          <w:szCs w:val="28"/>
          <w:highlight w:val="none"/>
          <w:lang w:eastAsia="zh-CN"/>
        </w:rPr>
        <w:t>内容</w:t>
      </w:r>
      <w:r>
        <w:rPr>
          <w:rFonts w:hint="eastAsia" w:ascii="宋体" w:hAnsi="宋体"/>
          <w:sz w:val="28"/>
          <w:szCs w:val="28"/>
          <w:highlight w:val="none"/>
        </w:rPr>
        <w:t>：</w:t>
      </w:r>
      <w:r>
        <w:rPr>
          <w:rFonts w:hint="eastAsia" w:ascii="宋体" w:hAnsi="宋体"/>
          <w:sz w:val="28"/>
          <w:szCs w:val="28"/>
          <w:highlight w:val="none"/>
          <w:lang w:eastAsia="zh-CN"/>
        </w:rPr>
        <w:t>详见清单</w:t>
      </w:r>
    </w:p>
    <w:p w14:paraId="656EB0B2">
      <w:pPr>
        <w:numPr>
          <w:ilvl w:val="0"/>
          <w:numId w:val="2"/>
        </w:numPr>
        <w:spacing w:line="360" w:lineRule="auto"/>
        <w:rPr>
          <w:rFonts w:hint="eastAsia" w:ascii="Times New Roman" w:hAnsi="Times New Roman" w:eastAsia="宋体" w:cs="Times New Roman"/>
          <w:b/>
          <w:bCs/>
          <w:kern w:val="2"/>
          <w:sz w:val="28"/>
          <w:szCs w:val="28"/>
          <w:highlight w:val="none"/>
          <w:lang w:val="en-US" w:eastAsia="zh-CN" w:bidi="ar-SA"/>
        </w:rPr>
      </w:pPr>
      <w:r>
        <w:rPr>
          <w:rFonts w:hint="eastAsia"/>
          <w:b/>
          <w:bCs/>
          <w:sz w:val="28"/>
          <w:szCs w:val="28"/>
          <w:highlight w:val="none"/>
          <w:lang w:eastAsia="zh-CN"/>
        </w:rPr>
        <w:t>采购要求</w:t>
      </w:r>
    </w:p>
    <w:p w14:paraId="271C0CC0">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（1）活动地点：瑶溪钟秀园景区</w:t>
      </w:r>
    </w:p>
    <w:p w14:paraId="3540A4E0">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（2）活动人数：346人，分两批次组织</w:t>
      </w:r>
    </w:p>
    <w:p w14:paraId="416B664C">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（3）活动时间：根据院方安排，如遇天气原因等因素可另行调整活动时间</w:t>
      </w:r>
    </w:p>
    <w:p w14:paraId="47970015">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（4）活动主题：“护士之家”团建活动，组织护士进行户外拓展，丰富护士的业余生活，增强团队凝聚力。</w:t>
      </w:r>
    </w:p>
    <w:p w14:paraId="48F0E1C8">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（5）活动内容：包含烧烤自助午餐、园区游园会、手作、音乐疗愈剧场等内容</w:t>
      </w:r>
    </w:p>
    <w:p w14:paraId="5040FD0E">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p>
    <w:p w14:paraId="1A342E5A">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p>
    <w:p w14:paraId="325A497C">
      <w:pPr>
        <w:numPr>
          <w:ilvl w:val="0"/>
          <w:numId w:val="0"/>
        </w:numPr>
        <w:ind w:leftChars="0" w:firstLine="280" w:firstLineChars="100"/>
        <w:outlineLvl w:val="1"/>
        <w:rPr>
          <w:rFonts w:hint="eastAsia" w:ascii="Times New Roman" w:hAnsi="Times New Roman" w:eastAsia="宋体" w:cs="Times New Roman"/>
          <w:b w:val="0"/>
          <w:bCs w:val="0"/>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★投标人可根据以上所列服务要求作为提供服务内容依据，但所提供服务应相当于或高于招标文件要求，并满足采购需求，否则将作为无效投标。</w:t>
      </w:r>
    </w:p>
    <w:p w14:paraId="7C02A97A">
      <w:pPr>
        <w:numPr>
          <w:ilvl w:val="0"/>
          <w:numId w:val="0"/>
        </w:numPr>
        <w:ind w:leftChars="0" w:firstLine="281" w:firstLineChars="100"/>
        <w:outlineLvl w:val="1"/>
        <w:rPr>
          <w:rFonts w:hint="eastAsia" w:ascii="Times New Roman" w:hAnsi="Times New Roman" w:eastAsia="宋体" w:cs="Times New Roman"/>
          <w:b/>
          <w:bCs/>
          <w:kern w:val="2"/>
          <w:sz w:val="28"/>
          <w:szCs w:val="28"/>
          <w:highlight w:val="none"/>
          <w:lang w:val="en-US" w:eastAsia="zh-CN" w:bidi="ar-SA"/>
        </w:rPr>
      </w:pPr>
    </w:p>
    <w:p w14:paraId="6E2C5B4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32952C8B">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投标人应提供一式四份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0E6B38C8">
      <w:pPr>
        <w:pStyle w:val="5"/>
        <w:ind w:left="0" w:leftChars="0" w:firstLine="0" w:firstLineChars="0"/>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5"/>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15153"/>
      <w:bookmarkStart w:id="1" w:name="_Toc67"/>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b/>
          <w:color w:val="auto"/>
          <w:sz w:val="24"/>
          <w:szCs w:val="24"/>
          <w:highlight w:val="none"/>
          <w:lang w:eastAsia="zh-CN"/>
        </w:rPr>
        <w:t>，商务分（权值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b/>
          <w:color w:val="auto"/>
          <w:sz w:val="24"/>
          <w:szCs w:val="24"/>
          <w:highlight w:val="none"/>
          <w:lang w:eastAsia="zh-CN"/>
        </w:rPr>
        <w:t>）</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p w14:paraId="75EA5A25">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7DE3759F">
      <w:pPr>
        <w:spacing w:line="360" w:lineRule="auto"/>
        <w:ind w:firstLine="588" w:firstLineChars="245"/>
        <w:rPr>
          <w:rFonts w:hint="eastAsia" w:asciiTheme="majorEastAsia" w:hAnsiTheme="majorEastAsia" w:eastAsiaTheme="majorEastAsia" w:cstheme="majorEastAsia"/>
          <w:color w:val="auto"/>
          <w:sz w:val="24"/>
          <w:szCs w:val="24"/>
          <w:highlight w:val="none"/>
        </w:rPr>
      </w:pPr>
    </w:p>
    <w:tbl>
      <w:tblPr>
        <w:tblStyle w:val="18"/>
        <w:tblW w:w="8260" w:type="dxa"/>
        <w:jc w:val="center"/>
        <w:tblLayout w:type="autofit"/>
        <w:tblCellMar>
          <w:top w:w="0" w:type="dxa"/>
          <w:left w:w="108" w:type="dxa"/>
          <w:bottom w:w="0" w:type="dxa"/>
          <w:right w:w="108" w:type="dxa"/>
        </w:tblCellMar>
      </w:tblPr>
      <w:tblGrid>
        <w:gridCol w:w="820"/>
        <w:gridCol w:w="5780"/>
        <w:gridCol w:w="1660"/>
      </w:tblGrid>
      <w:tr w14:paraId="56A69DB3">
        <w:tblPrEx>
          <w:tblCellMar>
            <w:top w:w="0" w:type="dxa"/>
            <w:left w:w="108" w:type="dxa"/>
            <w:bottom w:w="0" w:type="dxa"/>
            <w:right w:w="108" w:type="dxa"/>
          </w:tblCellMar>
        </w:tblPrEx>
        <w:trPr>
          <w:trHeight w:val="420"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A92638">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序号</w:t>
            </w:r>
          </w:p>
        </w:tc>
        <w:tc>
          <w:tcPr>
            <w:tcW w:w="5780" w:type="dxa"/>
            <w:tcBorders>
              <w:top w:val="single" w:color="auto" w:sz="4" w:space="0"/>
              <w:left w:val="nil"/>
              <w:bottom w:val="single" w:color="auto" w:sz="4" w:space="0"/>
              <w:right w:val="single" w:color="auto" w:sz="4" w:space="0"/>
            </w:tcBorders>
            <w:shd w:val="clear" w:color="auto" w:fill="auto"/>
            <w:noWrap/>
            <w:vAlign w:val="center"/>
          </w:tcPr>
          <w:p w14:paraId="24BD54E9">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评分要点及说明</w:t>
            </w:r>
          </w:p>
        </w:tc>
        <w:tc>
          <w:tcPr>
            <w:tcW w:w="1660" w:type="dxa"/>
            <w:tcBorders>
              <w:top w:val="single" w:color="auto" w:sz="4" w:space="0"/>
              <w:left w:val="nil"/>
              <w:bottom w:val="single" w:color="auto" w:sz="4" w:space="0"/>
              <w:right w:val="single" w:color="auto" w:sz="4" w:space="0"/>
            </w:tcBorders>
            <w:shd w:val="clear" w:color="auto" w:fill="auto"/>
            <w:noWrap/>
            <w:vAlign w:val="center"/>
          </w:tcPr>
          <w:p w14:paraId="16359C18">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分值</w:t>
            </w:r>
          </w:p>
        </w:tc>
      </w:tr>
      <w:tr w14:paraId="10AB78C4">
        <w:tblPrEx>
          <w:tblCellMar>
            <w:top w:w="0" w:type="dxa"/>
            <w:left w:w="108" w:type="dxa"/>
            <w:bottom w:w="0" w:type="dxa"/>
            <w:right w:w="108" w:type="dxa"/>
          </w:tblCellMar>
        </w:tblPrEx>
        <w:trPr>
          <w:trHeight w:val="1440" w:hRule="atLeast"/>
          <w:jc w:val="center"/>
        </w:trPr>
        <w:tc>
          <w:tcPr>
            <w:tcW w:w="820" w:type="dxa"/>
            <w:tcBorders>
              <w:top w:val="nil"/>
              <w:left w:val="single" w:color="auto" w:sz="4" w:space="0"/>
              <w:bottom w:val="single" w:color="auto" w:sz="4" w:space="0"/>
              <w:right w:val="single" w:color="auto" w:sz="4" w:space="0"/>
            </w:tcBorders>
            <w:shd w:val="clear" w:color="auto" w:fill="auto"/>
            <w:noWrap/>
            <w:vAlign w:val="center"/>
          </w:tcPr>
          <w:p w14:paraId="5BA95EF8">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5780" w:type="dxa"/>
            <w:tcBorders>
              <w:top w:val="nil"/>
              <w:left w:val="nil"/>
              <w:bottom w:val="single" w:color="auto" w:sz="4" w:space="0"/>
              <w:right w:val="single" w:color="auto" w:sz="4" w:space="0"/>
            </w:tcBorders>
            <w:shd w:val="clear" w:color="auto" w:fill="auto"/>
            <w:vAlign w:val="center"/>
          </w:tcPr>
          <w:p w14:paraId="49FF5B49">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投标人提供</w:t>
            </w:r>
            <w:r>
              <w:rPr>
                <w:rFonts w:hint="eastAsia" w:ascii="宋体" w:hAnsi="宋体" w:eastAsia="宋体" w:cs="宋体"/>
                <w:color w:val="000000"/>
                <w:kern w:val="0"/>
                <w:sz w:val="22"/>
                <w:lang w:eastAsia="zh-CN"/>
              </w:rPr>
              <w:t>活动策划方案，根据方案是否契合主题、是否覆盖全面、是否轻松舒适、是否科学合理等</w:t>
            </w:r>
            <w:r>
              <w:rPr>
                <w:rFonts w:hint="eastAsia" w:ascii="宋体" w:hAnsi="宋体" w:eastAsia="宋体" w:cs="宋体"/>
                <w:color w:val="000000"/>
                <w:kern w:val="0"/>
                <w:sz w:val="22"/>
              </w:rPr>
              <w:t>进行综合比较打分。</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A 档（</w:t>
            </w:r>
            <w:r>
              <w:rPr>
                <w:rFonts w:hint="eastAsia" w:ascii="宋体" w:hAnsi="宋体" w:eastAsia="宋体" w:cs="宋体"/>
                <w:color w:val="000000"/>
                <w:kern w:val="0"/>
                <w:sz w:val="22"/>
                <w:lang w:val="en-US" w:eastAsia="zh-CN"/>
              </w:rPr>
              <w:t>40-35</w:t>
            </w:r>
            <w:r>
              <w:rPr>
                <w:rFonts w:hint="eastAsia" w:ascii="宋体" w:hAnsi="宋体" w:eastAsia="宋体" w:cs="宋体"/>
                <w:color w:val="000000"/>
                <w:kern w:val="0"/>
                <w:sz w:val="22"/>
              </w:rPr>
              <w:t xml:space="preserve"> 分）：方案完整覆盖主题，包含详细活动流程、应急预案、创新性环节（如音乐疗愈剧场具体设计）、时间安排合理，且提供备选方案应对天气等因素。</w:t>
            </w:r>
          </w:p>
          <w:p w14:paraId="41DDAE6C">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B 档（</w:t>
            </w:r>
            <w:r>
              <w:rPr>
                <w:rFonts w:hint="eastAsia" w:ascii="宋体" w:hAnsi="宋体" w:eastAsia="宋体" w:cs="宋体"/>
                <w:color w:val="000000"/>
                <w:kern w:val="0"/>
                <w:sz w:val="22"/>
                <w:lang w:val="en-US" w:eastAsia="zh-CN"/>
              </w:rPr>
              <w:t>34-20</w:t>
            </w:r>
            <w:r>
              <w:rPr>
                <w:rFonts w:hint="eastAsia" w:ascii="宋体" w:hAnsi="宋体" w:eastAsia="宋体" w:cs="宋体"/>
                <w:color w:val="000000"/>
                <w:kern w:val="0"/>
                <w:sz w:val="22"/>
              </w:rPr>
              <w:t xml:space="preserve"> 分）：方案基本符合主题，流程完整但创新性不足，应急预案简单。</w:t>
            </w:r>
          </w:p>
          <w:p w14:paraId="0B6678EE">
            <w:pPr>
              <w:widowControl/>
              <w:jc w:val="left"/>
              <w:rPr>
                <w:rFonts w:ascii="宋体" w:hAnsi="宋体" w:eastAsia="宋体" w:cs="宋体"/>
                <w:color w:val="000000"/>
                <w:kern w:val="0"/>
                <w:sz w:val="22"/>
              </w:rPr>
            </w:pPr>
            <w:r>
              <w:rPr>
                <w:rFonts w:hint="eastAsia" w:ascii="宋体" w:hAnsi="宋体" w:eastAsia="宋体" w:cs="宋体"/>
                <w:color w:val="000000"/>
                <w:kern w:val="0"/>
                <w:sz w:val="22"/>
              </w:rPr>
              <w:t>C 档（</w:t>
            </w:r>
            <w:r>
              <w:rPr>
                <w:rFonts w:hint="eastAsia" w:ascii="宋体" w:hAnsi="宋体" w:eastAsia="宋体" w:cs="宋体"/>
                <w:color w:val="000000"/>
                <w:kern w:val="0"/>
                <w:sz w:val="22"/>
                <w:lang w:val="en-US" w:eastAsia="zh-CN"/>
              </w:rPr>
              <w:t xml:space="preserve">19-0  </w:t>
            </w:r>
            <w:r>
              <w:rPr>
                <w:rFonts w:hint="eastAsia" w:ascii="宋体" w:hAnsi="宋体" w:eastAsia="宋体" w:cs="宋体"/>
                <w:color w:val="000000"/>
                <w:kern w:val="0"/>
                <w:sz w:val="22"/>
              </w:rPr>
              <w:t>分）：方案偏离主题或内容不完整，缺乏关键环节。</w:t>
            </w:r>
          </w:p>
        </w:tc>
        <w:tc>
          <w:tcPr>
            <w:tcW w:w="1660" w:type="dxa"/>
            <w:tcBorders>
              <w:top w:val="nil"/>
              <w:left w:val="nil"/>
              <w:bottom w:val="single" w:color="auto" w:sz="4" w:space="0"/>
              <w:right w:val="single" w:color="auto" w:sz="4" w:space="0"/>
            </w:tcBorders>
            <w:shd w:val="clear" w:color="auto" w:fill="auto"/>
            <w:noWrap/>
            <w:vAlign w:val="center"/>
          </w:tcPr>
          <w:p w14:paraId="2C599142">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4</w:t>
            </w:r>
            <w:r>
              <w:rPr>
                <w:rFonts w:hint="eastAsia" w:ascii="宋体" w:hAnsi="宋体" w:eastAsia="宋体" w:cs="宋体"/>
                <w:color w:val="000000"/>
                <w:kern w:val="0"/>
                <w:sz w:val="22"/>
              </w:rPr>
              <w:t>0分</w:t>
            </w:r>
          </w:p>
        </w:tc>
      </w:tr>
      <w:tr w14:paraId="3753943B">
        <w:tblPrEx>
          <w:tblCellMar>
            <w:top w:w="0" w:type="dxa"/>
            <w:left w:w="108" w:type="dxa"/>
            <w:bottom w:w="0" w:type="dxa"/>
            <w:right w:w="108" w:type="dxa"/>
          </w:tblCellMar>
        </w:tblPrEx>
        <w:trPr>
          <w:trHeight w:val="1230"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D4314">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5780" w:type="dxa"/>
            <w:tcBorders>
              <w:top w:val="single" w:color="auto" w:sz="4" w:space="0"/>
              <w:left w:val="single" w:color="auto" w:sz="4" w:space="0"/>
              <w:bottom w:val="single" w:color="auto" w:sz="4" w:space="0"/>
              <w:right w:val="single" w:color="auto" w:sz="4" w:space="0"/>
            </w:tcBorders>
            <w:shd w:val="clear" w:color="auto" w:fill="auto"/>
            <w:vAlign w:val="center"/>
          </w:tcPr>
          <w:p w14:paraId="63F2647A">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根据</w:t>
            </w:r>
            <w:r>
              <w:rPr>
                <w:rFonts w:hint="eastAsia" w:ascii="宋体" w:hAnsi="宋体" w:eastAsia="宋体" w:cs="宋体"/>
                <w:color w:val="000000"/>
                <w:kern w:val="0"/>
                <w:sz w:val="22"/>
                <w:lang w:eastAsia="zh-CN"/>
              </w:rPr>
              <w:t>安全及服务质量保障，包括但不限于旅游意外险、团建过程中的安全全方面的承诺及服务质量保障措施等进行综合打分</w:t>
            </w:r>
            <w:r>
              <w:rPr>
                <w:rFonts w:hint="eastAsia" w:ascii="宋体" w:hAnsi="宋体" w:eastAsia="宋体" w:cs="宋体"/>
                <w:color w:val="000000"/>
                <w:kern w:val="0"/>
                <w:sz w:val="22"/>
              </w:rPr>
              <w:t>。</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A档：</w:t>
            </w:r>
            <w:r>
              <w:rPr>
                <w:rFonts w:hint="eastAsia" w:ascii="宋体" w:hAnsi="宋体" w:eastAsia="宋体" w:cs="宋体"/>
                <w:color w:val="000000"/>
                <w:kern w:val="0"/>
                <w:sz w:val="22"/>
                <w:lang w:val="en-US" w:eastAsia="zh-CN"/>
              </w:rPr>
              <w:t>10</w:t>
            </w:r>
            <w:r>
              <w:rPr>
                <w:rFonts w:hint="eastAsia" w:ascii="宋体" w:hAnsi="宋体" w:eastAsia="宋体" w:cs="宋体"/>
                <w:color w:val="000000"/>
                <w:kern w:val="0"/>
                <w:sz w:val="22"/>
              </w:rPr>
              <w:t>-</w:t>
            </w:r>
            <w:r>
              <w:rPr>
                <w:rFonts w:hint="eastAsia" w:ascii="宋体" w:hAnsi="宋体" w:eastAsia="宋体" w:cs="宋体"/>
                <w:color w:val="000000"/>
                <w:kern w:val="0"/>
                <w:sz w:val="22"/>
                <w:lang w:val="en-US" w:eastAsia="zh-CN"/>
              </w:rPr>
              <w:t>7</w:t>
            </w:r>
            <w:r>
              <w:rPr>
                <w:rFonts w:hint="eastAsia" w:ascii="宋体" w:hAnsi="宋体" w:eastAsia="宋体" w:cs="宋体"/>
                <w:color w:val="000000"/>
                <w:kern w:val="0"/>
                <w:sz w:val="22"/>
              </w:rPr>
              <w:t>分；B档：</w:t>
            </w:r>
            <w:r>
              <w:rPr>
                <w:rFonts w:hint="eastAsia" w:ascii="宋体" w:hAnsi="宋体" w:eastAsia="宋体" w:cs="宋体"/>
                <w:color w:val="000000"/>
                <w:kern w:val="0"/>
                <w:sz w:val="22"/>
                <w:lang w:val="en-US" w:eastAsia="zh-CN"/>
              </w:rPr>
              <w:t>6</w:t>
            </w:r>
            <w:r>
              <w:rPr>
                <w:rFonts w:hint="eastAsia" w:ascii="宋体" w:hAnsi="宋体" w:eastAsia="宋体" w:cs="宋体"/>
                <w:color w:val="000000"/>
                <w:kern w:val="0"/>
                <w:sz w:val="22"/>
              </w:rPr>
              <w:t>-</w:t>
            </w:r>
            <w:r>
              <w:rPr>
                <w:rFonts w:hint="eastAsia" w:ascii="宋体" w:hAnsi="宋体" w:eastAsia="宋体" w:cs="宋体"/>
                <w:color w:val="000000"/>
                <w:kern w:val="0"/>
                <w:sz w:val="22"/>
                <w:lang w:val="en-US" w:eastAsia="zh-CN"/>
              </w:rPr>
              <w:t>4</w:t>
            </w:r>
            <w:r>
              <w:rPr>
                <w:rFonts w:hint="eastAsia" w:ascii="宋体" w:hAnsi="宋体" w:eastAsia="宋体" w:cs="宋体"/>
                <w:color w:val="000000"/>
                <w:kern w:val="0"/>
                <w:sz w:val="22"/>
              </w:rPr>
              <w:t>分 ；C档：</w:t>
            </w: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-0分</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ADFF31">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10分</w:t>
            </w:r>
          </w:p>
        </w:tc>
      </w:tr>
      <w:tr w14:paraId="0BE873A3">
        <w:tblPrEx>
          <w:tblCellMar>
            <w:top w:w="0" w:type="dxa"/>
            <w:left w:w="108" w:type="dxa"/>
            <w:bottom w:w="0" w:type="dxa"/>
            <w:right w:w="108" w:type="dxa"/>
          </w:tblCellMar>
        </w:tblPrEx>
        <w:trPr>
          <w:trHeight w:val="1230"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CD1228">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3</w:t>
            </w:r>
          </w:p>
        </w:tc>
        <w:tc>
          <w:tcPr>
            <w:tcW w:w="5780" w:type="dxa"/>
            <w:tcBorders>
              <w:top w:val="single" w:color="auto" w:sz="4" w:space="0"/>
              <w:left w:val="single" w:color="auto" w:sz="4" w:space="0"/>
              <w:bottom w:val="single" w:color="auto" w:sz="4" w:space="0"/>
              <w:right w:val="single" w:color="auto" w:sz="4" w:space="0"/>
            </w:tcBorders>
            <w:shd w:val="clear" w:color="auto" w:fill="auto"/>
            <w:vAlign w:val="center"/>
          </w:tcPr>
          <w:p w14:paraId="4409F838">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根据提供菜单</w:t>
            </w:r>
            <w:r>
              <w:rPr>
                <w:rFonts w:hint="eastAsia" w:ascii="宋体" w:hAnsi="宋体" w:eastAsia="宋体" w:cs="宋体"/>
                <w:color w:val="000000"/>
                <w:kern w:val="0"/>
                <w:sz w:val="22"/>
                <w:lang w:eastAsia="zh-CN"/>
              </w:rPr>
              <w:t>清单</w:t>
            </w:r>
            <w:r>
              <w:rPr>
                <w:rFonts w:hint="eastAsia" w:ascii="宋体" w:hAnsi="宋体" w:eastAsia="宋体" w:cs="宋体"/>
                <w:color w:val="000000"/>
                <w:kern w:val="0"/>
                <w:sz w:val="22"/>
              </w:rPr>
              <w:t>（含荤素搭配、饮品、水果）</w:t>
            </w:r>
            <w:r>
              <w:rPr>
                <w:rFonts w:hint="eastAsia" w:ascii="宋体" w:hAnsi="宋体" w:eastAsia="宋体" w:cs="宋体"/>
                <w:color w:val="000000"/>
                <w:kern w:val="0"/>
                <w:sz w:val="22"/>
                <w:lang w:eastAsia="zh-CN"/>
              </w:rPr>
              <w:t>安排情况进行综合打分</w:t>
            </w:r>
            <w:r>
              <w:rPr>
                <w:rFonts w:hint="eastAsia" w:ascii="宋体" w:hAnsi="宋体" w:eastAsia="宋体" w:cs="宋体"/>
                <w:color w:val="000000"/>
                <w:kern w:val="0"/>
                <w:sz w:val="22"/>
              </w:rPr>
              <w:t>。</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A档：</w:t>
            </w:r>
            <w:r>
              <w:rPr>
                <w:rFonts w:hint="eastAsia" w:ascii="宋体" w:hAnsi="宋体" w:eastAsia="宋体" w:cs="宋体"/>
                <w:color w:val="000000"/>
                <w:kern w:val="0"/>
                <w:sz w:val="22"/>
                <w:lang w:val="en-US" w:eastAsia="zh-CN"/>
              </w:rPr>
              <w:t>7-5</w:t>
            </w:r>
            <w:r>
              <w:rPr>
                <w:rFonts w:hint="eastAsia" w:ascii="宋体" w:hAnsi="宋体" w:eastAsia="宋体" w:cs="宋体"/>
                <w:color w:val="000000"/>
                <w:kern w:val="0"/>
                <w:sz w:val="22"/>
              </w:rPr>
              <w:t>分；B档：</w:t>
            </w:r>
            <w:r>
              <w:rPr>
                <w:rFonts w:hint="eastAsia" w:ascii="宋体" w:hAnsi="宋体" w:eastAsia="宋体" w:cs="宋体"/>
                <w:color w:val="000000"/>
                <w:kern w:val="0"/>
                <w:sz w:val="22"/>
                <w:lang w:val="en-US" w:eastAsia="zh-CN"/>
              </w:rPr>
              <w:t>4</w:t>
            </w:r>
            <w:r>
              <w:rPr>
                <w:rFonts w:hint="eastAsia" w:ascii="宋体" w:hAnsi="宋体" w:eastAsia="宋体" w:cs="宋体"/>
                <w:color w:val="000000"/>
                <w:kern w:val="0"/>
                <w:sz w:val="22"/>
              </w:rPr>
              <w:t>-</w:t>
            </w: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分 ；C档：</w:t>
            </w: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-0分</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4B1DF">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7分</w:t>
            </w:r>
          </w:p>
        </w:tc>
      </w:tr>
      <w:tr w14:paraId="61DA2B70">
        <w:tblPrEx>
          <w:tblCellMar>
            <w:top w:w="0" w:type="dxa"/>
            <w:left w:w="108" w:type="dxa"/>
            <w:bottom w:w="0" w:type="dxa"/>
            <w:right w:w="108" w:type="dxa"/>
          </w:tblCellMar>
        </w:tblPrEx>
        <w:trPr>
          <w:trHeight w:val="1230" w:hRule="atLeast"/>
          <w:jc w:val="center"/>
        </w:trPr>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D34D0C">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4</w:t>
            </w:r>
          </w:p>
        </w:tc>
        <w:tc>
          <w:tcPr>
            <w:tcW w:w="5780" w:type="dxa"/>
            <w:tcBorders>
              <w:top w:val="single" w:color="auto" w:sz="4" w:space="0"/>
              <w:left w:val="single" w:color="auto" w:sz="4" w:space="0"/>
              <w:bottom w:val="single" w:color="auto" w:sz="4" w:space="0"/>
              <w:right w:val="single" w:color="auto" w:sz="4" w:space="0"/>
            </w:tcBorders>
            <w:shd w:val="clear" w:color="auto" w:fill="auto"/>
            <w:vAlign w:val="center"/>
          </w:tcPr>
          <w:p w14:paraId="389DF326">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提供20</w:t>
            </w:r>
            <w:r>
              <w:rPr>
                <w:rFonts w:hint="eastAsia" w:ascii="宋体" w:hAnsi="宋体" w:eastAsia="宋体" w:cs="宋体"/>
                <w:color w:val="000000"/>
                <w:kern w:val="0"/>
                <w:sz w:val="22"/>
                <w:lang w:val="en-US" w:eastAsia="zh-CN"/>
              </w:rPr>
              <w:t>21</w:t>
            </w:r>
            <w:r>
              <w:rPr>
                <w:rFonts w:hint="eastAsia" w:ascii="宋体" w:hAnsi="宋体" w:eastAsia="宋体" w:cs="宋体"/>
                <w:color w:val="000000"/>
                <w:kern w:val="0"/>
                <w:sz w:val="22"/>
              </w:rPr>
              <w:t>年1月1日同类项目经验业绩。每提供一个合同得</w:t>
            </w:r>
            <w:r>
              <w:rPr>
                <w:rFonts w:hint="eastAsia" w:ascii="宋体" w:hAnsi="宋体" w:eastAsia="宋体" w:cs="宋体"/>
                <w:color w:val="000000"/>
                <w:kern w:val="0"/>
                <w:sz w:val="22"/>
                <w:lang w:val="en-US" w:eastAsia="zh-CN"/>
              </w:rPr>
              <w:t>1</w:t>
            </w:r>
            <w:r>
              <w:rPr>
                <w:rFonts w:hint="eastAsia" w:ascii="宋体" w:hAnsi="宋体" w:eastAsia="宋体" w:cs="宋体"/>
                <w:color w:val="000000"/>
                <w:kern w:val="0"/>
                <w:sz w:val="22"/>
              </w:rPr>
              <w:t>分，最高得</w:t>
            </w: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分。</w:t>
            </w:r>
          </w:p>
          <w:p w14:paraId="446BDC56">
            <w:pPr>
              <w:widowControl/>
              <w:jc w:val="left"/>
              <w:rPr>
                <w:rFonts w:hint="eastAsia" w:ascii="宋体" w:hAnsi="宋体" w:eastAsia="宋体" w:cs="宋体"/>
                <w:color w:val="000000"/>
                <w:kern w:val="0"/>
                <w:sz w:val="22"/>
              </w:rPr>
            </w:pPr>
            <w:r>
              <w:rPr>
                <w:rFonts w:hint="eastAsia" w:ascii="宋体" w:hAnsi="宋体" w:eastAsia="宋体" w:cs="宋体"/>
                <w:color w:val="000000"/>
                <w:kern w:val="0"/>
                <w:sz w:val="22"/>
              </w:rPr>
              <w:t>(提供合同复印件)</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FBC319">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3分</w:t>
            </w:r>
          </w:p>
        </w:tc>
      </w:tr>
    </w:tbl>
    <w:p w14:paraId="444CBECD">
      <w:pPr>
        <w:spacing w:line="360" w:lineRule="auto"/>
        <w:rPr>
          <w:rFonts w:hint="eastAsia" w:asciiTheme="majorEastAsia" w:hAnsiTheme="majorEastAsia" w:eastAsiaTheme="majorEastAsia" w:cstheme="majorEastAsia"/>
          <w:color w:val="auto"/>
          <w:sz w:val="24"/>
          <w:szCs w:val="24"/>
          <w:highlight w:val="none"/>
        </w:rPr>
      </w:pPr>
    </w:p>
    <w:p w14:paraId="10A18184">
      <w:pPr>
        <w:spacing w:line="360" w:lineRule="auto"/>
        <w:ind w:firstLine="588" w:firstLineChars="245"/>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（二）商务（报价）分的评定（</w:t>
      </w:r>
      <w:r>
        <w:rPr>
          <w:rFonts w:hint="eastAsia" w:asciiTheme="majorEastAsia" w:hAnsiTheme="majorEastAsia" w:eastAsiaTheme="majorEastAsia" w:cstheme="majorEastAsia"/>
          <w:color w:val="auto"/>
          <w:sz w:val="24"/>
          <w:szCs w:val="24"/>
          <w:highlight w:val="none"/>
          <w:lang w:val="en-US" w:eastAsia="zh-CN"/>
        </w:rPr>
        <w:t>4</w:t>
      </w:r>
      <w:r>
        <w:rPr>
          <w:rFonts w:hint="eastAsia" w:asciiTheme="majorEastAsia" w:hAnsiTheme="majorEastAsia" w:eastAsiaTheme="majorEastAsia" w:cstheme="majorEastAsia"/>
          <w:color w:val="auto"/>
          <w:sz w:val="24"/>
          <w:szCs w:val="24"/>
          <w:highlight w:val="none"/>
        </w:rPr>
        <w:t>0分）（权值</w:t>
      </w:r>
      <w:r>
        <w:rPr>
          <w:rFonts w:hint="eastAsia" w:asciiTheme="majorEastAsia" w:hAnsiTheme="majorEastAsia" w:eastAsiaTheme="majorEastAsia" w:cstheme="majorEastAsia"/>
          <w:color w:val="auto"/>
          <w:sz w:val="24"/>
          <w:szCs w:val="24"/>
          <w:highlight w:val="none"/>
          <w:lang w:val="en-US" w:eastAsia="zh-CN"/>
        </w:rPr>
        <w:t>4</w:t>
      </w:r>
      <w:r>
        <w:rPr>
          <w:rFonts w:hint="eastAsia" w:asciiTheme="majorEastAsia" w:hAnsiTheme="majorEastAsia" w:eastAsiaTheme="majorEastAsia" w:cstheme="majorEastAsia"/>
          <w:color w:val="auto"/>
          <w:sz w:val="24"/>
          <w:szCs w:val="24"/>
          <w:highlight w:val="none"/>
        </w:rPr>
        <w:t>0%）</w:t>
      </w:r>
    </w:p>
    <w:p w14:paraId="7A5EA916">
      <w:pPr>
        <w:spacing w:line="360" w:lineRule="auto"/>
        <w:ind w:firstLine="590"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ab/>
      </w:r>
      <w:r>
        <w:rPr>
          <w:rFonts w:hint="eastAsia" w:asciiTheme="majorEastAsia" w:hAnsiTheme="majorEastAsia" w:eastAsiaTheme="majorEastAsia" w:cstheme="majorEastAsia"/>
          <w:b/>
          <w:bCs/>
          <w:color w:val="auto"/>
          <w:sz w:val="24"/>
          <w:szCs w:val="24"/>
          <w:highlight w:val="none"/>
        </w:rPr>
        <w:t>满足招标文件要求且投标报价面值最低的投标报价为评标基准价，如报价低于</w:t>
      </w:r>
      <w:r>
        <w:rPr>
          <w:rFonts w:hint="eastAsia" w:asciiTheme="majorEastAsia" w:hAnsiTheme="majorEastAsia" w:eastAsiaTheme="majorEastAsia" w:cstheme="majorEastAsia"/>
          <w:b/>
          <w:bCs/>
          <w:color w:val="auto"/>
          <w:sz w:val="24"/>
          <w:szCs w:val="24"/>
          <w:highlight w:val="none"/>
          <w:lang w:eastAsia="zh-CN"/>
        </w:rPr>
        <w:t>所有投标人</w:t>
      </w:r>
      <w:r>
        <w:rPr>
          <w:rFonts w:hint="eastAsia" w:asciiTheme="majorEastAsia" w:hAnsiTheme="majorEastAsia" w:eastAsiaTheme="majorEastAsia" w:cstheme="majorEastAsia"/>
          <w:b/>
          <w:bCs/>
          <w:color w:val="auto"/>
          <w:sz w:val="24"/>
          <w:szCs w:val="24"/>
          <w:highlight w:val="none"/>
        </w:rPr>
        <w:t>平均</w:t>
      </w:r>
      <w:r>
        <w:rPr>
          <w:rFonts w:hint="eastAsia" w:asciiTheme="majorEastAsia" w:hAnsiTheme="majorEastAsia" w:eastAsiaTheme="majorEastAsia" w:cstheme="majorEastAsia"/>
          <w:b/>
          <w:bCs/>
          <w:color w:val="auto"/>
          <w:sz w:val="24"/>
          <w:szCs w:val="24"/>
          <w:highlight w:val="none"/>
          <w:lang w:eastAsia="zh-CN"/>
        </w:rPr>
        <w:t>报</w:t>
      </w:r>
      <w:r>
        <w:rPr>
          <w:rFonts w:hint="eastAsia" w:asciiTheme="majorEastAsia" w:hAnsiTheme="majorEastAsia" w:eastAsiaTheme="majorEastAsia" w:cstheme="majorEastAsia"/>
          <w:b/>
          <w:bCs/>
          <w:color w:val="auto"/>
          <w:sz w:val="24"/>
          <w:szCs w:val="24"/>
          <w:highlight w:val="none"/>
        </w:rPr>
        <w:t>价</w:t>
      </w:r>
      <w:r>
        <w:rPr>
          <w:rFonts w:hint="eastAsia" w:asciiTheme="majorEastAsia" w:hAnsiTheme="majorEastAsia" w:eastAsiaTheme="majorEastAsia" w:cstheme="majorEastAsia"/>
          <w:b/>
          <w:bCs/>
          <w:color w:val="auto"/>
          <w:sz w:val="24"/>
          <w:szCs w:val="24"/>
          <w:highlight w:val="none"/>
          <w:lang w:eastAsia="zh-CN"/>
        </w:rPr>
        <w:t>的</w:t>
      </w:r>
      <w:r>
        <w:rPr>
          <w:rFonts w:hint="eastAsia" w:asciiTheme="majorEastAsia" w:hAnsiTheme="majorEastAsia" w:eastAsiaTheme="majorEastAsia" w:cstheme="majorEastAsia"/>
          <w:b/>
          <w:bCs/>
          <w:color w:val="auto"/>
          <w:sz w:val="24"/>
          <w:szCs w:val="24"/>
          <w:highlight w:val="none"/>
          <w:lang w:val="en-US" w:eastAsia="zh-CN"/>
        </w:rPr>
        <w:t>50%</w:t>
      </w:r>
      <w:r>
        <w:rPr>
          <w:rFonts w:hint="eastAsia" w:asciiTheme="majorEastAsia" w:hAnsiTheme="majorEastAsia" w:eastAsiaTheme="majorEastAsia" w:cstheme="majorEastAsia"/>
          <w:b/>
          <w:bCs/>
          <w:color w:val="auto"/>
          <w:sz w:val="24"/>
          <w:szCs w:val="24"/>
          <w:highlight w:val="none"/>
        </w:rPr>
        <w:t>时，需提供成本说明，否则视为无效投标</w:t>
      </w:r>
      <w:r>
        <w:rPr>
          <w:rFonts w:hint="eastAsia" w:asciiTheme="majorEastAsia" w:hAnsiTheme="majorEastAsia" w:eastAsiaTheme="majorEastAsia" w:cstheme="majorEastAsia"/>
          <w:b/>
          <w:bCs/>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rPr>
        <w:t>其余投标人投标报价与该基准价对比，计算出商务报价评分值（保留小数2位）：</w:t>
      </w:r>
    </w:p>
    <w:p w14:paraId="3218531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4</w:t>
      </w:r>
      <w:r>
        <w:rPr>
          <w:rFonts w:hint="eastAsia" w:asciiTheme="majorEastAsia" w:hAnsiTheme="majorEastAsia" w:eastAsiaTheme="majorEastAsia" w:cstheme="majorEastAsia"/>
          <w:color w:val="auto"/>
          <w:sz w:val="24"/>
          <w:szCs w:val="24"/>
          <w:highlight w:val="none"/>
        </w:rPr>
        <w:t>0分；</w:t>
      </w:r>
    </w:p>
    <w:p w14:paraId="35082EAD">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（2）其他投标人的价格分按以下公式计算：</w:t>
      </w:r>
    </w:p>
    <w:p w14:paraId="588BE35C">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投标报价得分=（评分基准价/投标人投标报价）× 价格权值 ×100（保留小数2位）</w:t>
      </w:r>
    </w:p>
    <w:p w14:paraId="04B46ED8">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11D76DE">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（4）投标人所报总价不得超过预算金额，否则当无效标处理。</w:t>
      </w:r>
    </w:p>
    <w:p w14:paraId="7E87AD17">
      <w:pPr>
        <w:spacing w:line="360" w:lineRule="auto"/>
        <w:ind w:firstLine="588" w:firstLineChars="245"/>
        <w:rPr>
          <w:rFonts w:hint="eastAsia" w:asciiTheme="majorEastAsia" w:hAnsiTheme="majorEastAsia" w:eastAsiaTheme="majorEastAsia" w:cstheme="majorEastAsia"/>
          <w:color w:val="auto"/>
          <w:sz w:val="24"/>
          <w:szCs w:val="24"/>
          <w:highlight w:val="none"/>
        </w:rPr>
      </w:pPr>
    </w:p>
    <w:p w14:paraId="4B487F35">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（三）综合得分（100分）（权值100%）</w:t>
      </w:r>
    </w:p>
    <w:p w14:paraId="1FD654B4">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3126684">
      <w:pPr>
        <w:spacing w:line="360" w:lineRule="auto"/>
        <w:rPr>
          <w:rFonts w:hint="default"/>
          <w:highlight w:val="none"/>
          <w:lang w:val="en-US" w:eastAsia="zh-CN"/>
        </w:rPr>
      </w:pPr>
    </w:p>
    <w:p w14:paraId="6E6BF2FA">
      <w:pPr>
        <w:rPr>
          <w:rFonts w:hint="default"/>
          <w:highlight w:val="none"/>
          <w:lang w:val="en-US" w:eastAsia="zh-CN"/>
        </w:rPr>
      </w:pPr>
      <w:r>
        <w:rPr>
          <w:rFonts w:hint="eastAsia" w:ascii="新宋体" w:hAnsi="新宋体" w:eastAsia="新宋体" w:cs="宋体"/>
          <w:b/>
          <w:bCs/>
          <w:kern w:val="0"/>
          <w:sz w:val="32"/>
          <w:szCs w:val="32"/>
          <w:highlight w:val="none"/>
          <w:lang w:val="en-US" w:eastAsia="zh-CN" w:bidi="ar-SA"/>
        </w:rPr>
        <w:br w:type="page"/>
      </w: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63A267B8">
      <w:pPr>
        <w:widowControl/>
        <w:spacing w:line="360" w:lineRule="auto"/>
        <w:jc w:val="left"/>
        <w:rPr>
          <w:sz w:val="24"/>
          <w:szCs w:val="24"/>
          <w:highlight w:val="none"/>
        </w:rPr>
      </w:pPr>
      <w:r>
        <w:rPr>
          <w:sz w:val="24"/>
          <w:szCs w:val="24"/>
          <w:highlight w:val="none"/>
        </w:rPr>
        <w:br w:type="page"/>
      </w: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3"/>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5"/>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693733"/>
    <w:rsid w:val="02702D13"/>
    <w:rsid w:val="02AE55E9"/>
    <w:rsid w:val="03A32C74"/>
    <w:rsid w:val="03B81543"/>
    <w:rsid w:val="03BE5308"/>
    <w:rsid w:val="03F4702C"/>
    <w:rsid w:val="04137DFA"/>
    <w:rsid w:val="041E1407"/>
    <w:rsid w:val="043A5387"/>
    <w:rsid w:val="04581CB1"/>
    <w:rsid w:val="046805A7"/>
    <w:rsid w:val="046C7126"/>
    <w:rsid w:val="048177A5"/>
    <w:rsid w:val="05104339"/>
    <w:rsid w:val="05252DE6"/>
    <w:rsid w:val="054935FC"/>
    <w:rsid w:val="057D45C7"/>
    <w:rsid w:val="05B2719F"/>
    <w:rsid w:val="05D37841"/>
    <w:rsid w:val="063437DC"/>
    <w:rsid w:val="063F15D1"/>
    <w:rsid w:val="0663284C"/>
    <w:rsid w:val="06770E4D"/>
    <w:rsid w:val="07B40FAC"/>
    <w:rsid w:val="07F608F1"/>
    <w:rsid w:val="084367D4"/>
    <w:rsid w:val="08A43261"/>
    <w:rsid w:val="09181A0E"/>
    <w:rsid w:val="09414AC1"/>
    <w:rsid w:val="09682EB8"/>
    <w:rsid w:val="09701596"/>
    <w:rsid w:val="09B01196"/>
    <w:rsid w:val="09EF276F"/>
    <w:rsid w:val="0ABB16FD"/>
    <w:rsid w:val="0B280B93"/>
    <w:rsid w:val="0B9E1294"/>
    <w:rsid w:val="0C0F6D61"/>
    <w:rsid w:val="0C3E373D"/>
    <w:rsid w:val="0C48260B"/>
    <w:rsid w:val="0C811679"/>
    <w:rsid w:val="0C88659A"/>
    <w:rsid w:val="0C9814B5"/>
    <w:rsid w:val="0CB67574"/>
    <w:rsid w:val="0CD74F4E"/>
    <w:rsid w:val="0D625D59"/>
    <w:rsid w:val="0DCF4D92"/>
    <w:rsid w:val="0DD57DA6"/>
    <w:rsid w:val="0E1D50C2"/>
    <w:rsid w:val="0E2B3F92"/>
    <w:rsid w:val="0FC6104D"/>
    <w:rsid w:val="0FD86205"/>
    <w:rsid w:val="102D3FF1"/>
    <w:rsid w:val="107C5C0E"/>
    <w:rsid w:val="10F36FE9"/>
    <w:rsid w:val="110E0BAC"/>
    <w:rsid w:val="114C494B"/>
    <w:rsid w:val="11CB32F9"/>
    <w:rsid w:val="127B54E8"/>
    <w:rsid w:val="12B22195"/>
    <w:rsid w:val="131E40C5"/>
    <w:rsid w:val="13823917"/>
    <w:rsid w:val="13CA1F19"/>
    <w:rsid w:val="13DD44F2"/>
    <w:rsid w:val="144E2A5F"/>
    <w:rsid w:val="14CA0061"/>
    <w:rsid w:val="14D507B4"/>
    <w:rsid w:val="14E32ED1"/>
    <w:rsid w:val="15E52C78"/>
    <w:rsid w:val="16325C9C"/>
    <w:rsid w:val="166B13D0"/>
    <w:rsid w:val="16B234A2"/>
    <w:rsid w:val="16BF796D"/>
    <w:rsid w:val="173845ED"/>
    <w:rsid w:val="17FD24FB"/>
    <w:rsid w:val="182201B4"/>
    <w:rsid w:val="184E706F"/>
    <w:rsid w:val="187B02C7"/>
    <w:rsid w:val="18F00A8A"/>
    <w:rsid w:val="196C08F1"/>
    <w:rsid w:val="1A2521DD"/>
    <w:rsid w:val="1A846F04"/>
    <w:rsid w:val="1A935399"/>
    <w:rsid w:val="1AAF0E80"/>
    <w:rsid w:val="1AC51655"/>
    <w:rsid w:val="1ADA6B24"/>
    <w:rsid w:val="1B4D379A"/>
    <w:rsid w:val="1B676A58"/>
    <w:rsid w:val="1B6D2EC4"/>
    <w:rsid w:val="1B943177"/>
    <w:rsid w:val="1B9969DF"/>
    <w:rsid w:val="1BCD3B84"/>
    <w:rsid w:val="1BD532AE"/>
    <w:rsid w:val="1C275729"/>
    <w:rsid w:val="1C8431EB"/>
    <w:rsid w:val="1CCE26B8"/>
    <w:rsid w:val="1CDE389D"/>
    <w:rsid w:val="1D525097"/>
    <w:rsid w:val="1DD27E51"/>
    <w:rsid w:val="1DDC2BB3"/>
    <w:rsid w:val="1DF63C75"/>
    <w:rsid w:val="1E01086B"/>
    <w:rsid w:val="1E05197A"/>
    <w:rsid w:val="1E6432D4"/>
    <w:rsid w:val="1E82375A"/>
    <w:rsid w:val="1E960FB4"/>
    <w:rsid w:val="1EEA7AC6"/>
    <w:rsid w:val="1F090697"/>
    <w:rsid w:val="1F7B5265"/>
    <w:rsid w:val="1FD92A7D"/>
    <w:rsid w:val="20140D2A"/>
    <w:rsid w:val="203B6D03"/>
    <w:rsid w:val="206A26F8"/>
    <w:rsid w:val="20825C93"/>
    <w:rsid w:val="20AC4ABE"/>
    <w:rsid w:val="20B300B6"/>
    <w:rsid w:val="20BE4494"/>
    <w:rsid w:val="210B5C89"/>
    <w:rsid w:val="213056EF"/>
    <w:rsid w:val="214B19AF"/>
    <w:rsid w:val="219C2D85"/>
    <w:rsid w:val="21E30D42"/>
    <w:rsid w:val="22201238"/>
    <w:rsid w:val="22617B2B"/>
    <w:rsid w:val="226A4C31"/>
    <w:rsid w:val="226B2757"/>
    <w:rsid w:val="22B74B50"/>
    <w:rsid w:val="22C500B9"/>
    <w:rsid w:val="22F4274D"/>
    <w:rsid w:val="23696C97"/>
    <w:rsid w:val="23CB5BA3"/>
    <w:rsid w:val="23DD5975"/>
    <w:rsid w:val="23FA2DFB"/>
    <w:rsid w:val="242D0576"/>
    <w:rsid w:val="24BE3012"/>
    <w:rsid w:val="250003E1"/>
    <w:rsid w:val="250032EF"/>
    <w:rsid w:val="25396B3D"/>
    <w:rsid w:val="256F255E"/>
    <w:rsid w:val="2601367E"/>
    <w:rsid w:val="260E1459"/>
    <w:rsid w:val="26647BE9"/>
    <w:rsid w:val="26CB1FFA"/>
    <w:rsid w:val="277327DA"/>
    <w:rsid w:val="278A02F5"/>
    <w:rsid w:val="27BA6FBE"/>
    <w:rsid w:val="282707F3"/>
    <w:rsid w:val="28F33F9C"/>
    <w:rsid w:val="290B7C96"/>
    <w:rsid w:val="299E3412"/>
    <w:rsid w:val="29CC6E69"/>
    <w:rsid w:val="2A24600D"/>
    <w:rsid w:val="2A4B17EC"/>
    <w:rsid w:val="2A5A1159"/>
    <w:rsid w:val="2B0D5F6D"/>
    <w:rsid w:val="2B683928"/>
    <w:rsid w:val="2C025EDA"/>
    <w:rsid w:val="2C273B93"/>
    <w:rsid w:val="2C412EA7"/>
    <w:rsid w:val="2C8402CC"/>
    <w:rsid w:val="2C8965FC"/>
    <w:rsid w:val="2C9F3729"/>
    <w:rsid w:val="2CD25DAF"/>
    <w:rsid w:val="2D381852"/>
    <w:rsid w:val="2D511CA4"/>
    <w:rsid w:val="2DAF3E40"/>
    <w:rsid w:val="2DDA4C9A"/>
    <w:rsid w:val="2DE55AB4"/>
    <w:rsid w:val="2DFA155F"/>
    <w:rsid w:val="2E0C3A22"/>
    <w:rsid w:val="2E0D1483"/>
    <w:rsid w:val="2E3D7EEF"/>
    <w:rsid w:val="2EBB4BEE"/>
    <w:rsid w:val="2F137233"/>
    <w:rsid w:val="2FEF49C8"/>
    <w:rsid w:val="30393E95"/>
    <w:rsid w:val="309B0E6F"/>
    <w:rsid w:val="319C6045"/>
    <w:rsid w:val="31B41C0A"/>
    <w:rsid w:val="31B45EC9"/>
    <w:rsid w:val="31D54EF7"/>
    <w:rsid w:val="31EB11BF"/>
    <w:rsid w:val="32351D06"/>
    <w:rsid w:val="324B2329"/>
    <w:rsid w:val="32A83B15"/>
    <w:rsid w:val="32AE46C6"/>
    <w:rsid w:val="32E6579B"/>
    <w:rsid w:val="33395E7A"/>
    <w:rsid w:val="3345781A"/>
    <w:rsid w:val="33950813"/>
    <w:rsid w:val="33B91786"/>
    <w:rsid w:val="33D60378"/>
    <w:rsid w:val="33EA7980"/>
    <w:rsid w:val="356419B4"/>
    <w:rsid w:val="35F9034E"/>
    <w:rsid w:val="365A27C8"/>
    <w:rsid w:val="3694744F"/>
    <w:rsid w:val="373F4487"/>
    <w:rsid w:val="37894282"/>
    <w:rsid w:val="378C2AA9"/>
    <w:rsid w:val="38A6160E"/>
    <w:rsid w:val="38C34C43"/>
    <w:rsid w:val="38C43CA9"/>
    <w:rsid w:val="39826B31"/>
    <w:rsid w:val="39A6259B"/>
    <w:rsid w:val="3B781D15"/>
    <w:rsid w:val="3B9052B1"/>
    <w:rsid w:val="3BE55E13"/>
    <w:rsid w:val="3C2D2B00"/>
    <w:rsid w:val="3C4B3FC2"/>
    <w:rsid w:val="3C990FCB"/>
    <w:rsid w:val="3D7E46A8"/>
    <w:rsid w:val="3DF81D2A"/>
    <w:rsid w:val="3E1A70B4"/>
    <w:rsid w:val="3E4A79FC"/>
    <w:rsid w:val="3E5E1BF9"/>
    <w:rsid w:val="3E75078E"/>
    <w:rsid w:val="3EA03A5D"/>
    <w:rsid w:val="3ECF1148"/>
    <w:rsid w:val="3EDC25BB"/>
    <w:rsid w:val="3F1F65DD"/>
    <w:rsid w:val="3FB757CD"/>
    <w:rsid w:val="3FBD724F"/>
    <w:rsid w:val="3FEE56D0"/>
    <w:rsid w:val="3FFD4EDF"/>
    <w:rsid w:val="40034CE0"/>
    <w:rsid w:val="4045722C"/>
    <w:rsid w:val="40D7128C"/>
    <w:rsid w:val="40EB11DB"/>
    <w:rsid w:val="41272213"/>
    <w:rsid w:val="413F4786"/>
    <w:rsid w:val="41DF2AEE"/>
    <w:rsid w:val="42162BD2"/>
    <w:rsid w:val="42186000"/>
    <w:rsid w:val="423A5616"/>
    <w:rsid w:val="426923B8"/>
    <w:rsid w:val="42CE4911"/>
    <w:rsid w:val="42E12896"/>
    <w:rsid w:val="42E303BC"/>
    <w:rsid w:val="436B215F"/>
    <w:rsid w:val="43703F00"/>
    <w:rsid w:val="43F319C0"/>
    <w:rsid w:val="43F53D29"/>
    <w:rsid w:val="44052F6D"/>
    <w:rsid w:val="445C54F5"/>
    <w:rsid w:val="44867251"/>
    <w:rsid w:val="44CD4E80"/>
    <w:rsid w:val="44ED72D0"/>
    <w:rsid w:val="458A4B1F"/>
    <w:rsid w:val="45B84D5C"/>
    <w:rsid w:val="461C6516"/>
    <w:rsid w:val="46217054"/>
    <w:rsid w:val="46226C7C"/>
    <w:rsid w:val="46254F1A"/>
    <w:rsid w:val="47B02837"/>
    <w:rsid w:val="48485148"/>
    <w:rsid w:val="48861F15"/>
    <w:rsid w:val="48A905A4"/>
    <w:rsid w:val="48BB1493"/>
    <w:rsid w:val="49044BE8"/>
    <w:rsid w:val="491D3EFC"/>
    <w:rsid w:val="498D2E30"/>
    <w:rsid w:val="49F45D1E"/>
    <w:rsid w:val="4A5C0AFE"/>
    <w:rsid w:val="4ACB490C"/>
    <w:rsid w:val="4B2D35EC"/>
    <w:rsid w:val="4B3F63AB"/>
    <w:rsid w:val="4B6173B9"/>
    <w:rsid w:val="4BA12BC2"/>
    <w:rsid w:val="4BF1634C"/>
    <w:rsid w:val="4C1A1186"/>
    <w:rsid w:val="4C1E4213"/>
    <w:rsid w:val="4C7240D0"/>
    <w:rsid w:val="4C8C2F4B"/>
    <w:rsid w:val="4CA3296A"/>
    <w:rsid w:val="4D4C6D24"/>
    <w:rsid w:val="4D8412CA"/>
    <w:rsid w:val="4DAE072C"/>
    <w:rsid w:val="4DC40B01"/>
    <w:rsid w:val="4DD17574"/>
    <w:rsid w:val="4E3F7EF2"/>
    <w:rsid w:val="4E50411F"/>
    <w:rsid w:val="4E53118F"/>
    <w:rsid w:val="4E535E94"/>
    <w:rsid w:val="4EBC7D13"/>
    <w:rsid w:val="4ED67027"/>
    <w:rsid w:val="4F0F3AB7"/>
    <w:rsid w:val="4F156EDC"/>
    <w:rsid w:val="4F195165"/>
    <w:rsid w:val="4F525FCE"/>
    <w:rsid w:val="4F936CC6"/>
    <w:rsid w:val="4FA17CA6"/>
    <w:rsid w:val="4FEB04D1"/>
    <w:rsid w:val="4FED432F"/>
    <w:rsid w:val="501C315F"/>
    <w:rsid w:val="50760AC1"/>
    <w:rsid w:val="50EC3E2B"/>
    <w:rsid w:val="510032E3"/>
    <w:rsid w:val="514840EF"/>
    <w:rsid w:val="51B21297"/>
    <w:rsid w:val="51E97071"/>
    <w:rsid w:val="523302EC"/>
    <w:rsid w:val="524547A9"/>
    <w:rsid w:val="525613B6"/>
    <w:rsid w:val="52741FD4"/>
    <w:rsid w:val="52B43B6C"/>
    <w:rsid w:val="537E1A3B"/>
    <w:rsid w:val="54D73EC6"/>
    <w:rsid w:val="54ED444E"/>
    <w:rsid w:val="552D3719"/>
    <w:rsid w:val="55961CE5"/>
    <w:rsid w:val="55E55977"/>
    <w:rsid w:val="56B72E79"/>
    <w:rsid w:val="5730129E"/>
    <w:rsid w:val="57DF67F9"/>
    <w:rsid w:val="57F56770"/>
    <w:rsid w:val="582C415B"/>
    <w:rsid w:val="585039A6"/>
    <w:rsid w:val="58F702C5"/>
    <w:rsid w:val="58FD5F53"/>
    <w:rsid w:val="59883613"/>
    <w:rsid w:val="59D74F82"/>
    <w:rsid w:val="5A807902"/>
    <w:rsid w:val="5B044F1C"/>
    <w:rsid w:val="5B235531"/>
    <w:rsid w:val="5B5F03A4"/>
    <w:rsid w:val="5BB300C0"/>
    <w:rsid w:val="5BC43B2B"/>
    <w:rsid w:val="5C1E200D"/>
    <w:rsid w:val="5C3F2F33"/>
    <w:rsid w:val="5C7E30BB"/>
    <w:rsid w:val="5C7E5810"/>
    <w:rsid w:val="5CA54D24"/>
    <w:rsid w:val="5CD87317"/>
    <w:rsid w:val="5CE70651"/>
    <w:rsid w:val="5D5B41FF"/>
    <w:rsid w:val="5D7F0889"/>
    <w:rsid w:val="5D944335"/>
    <w:rsid w:val="5DBF01BE"/>
    <w:rsid w:val="5DEE5043"/>
    <w:rsid w:val="5E117222"/>
    <w:rsid w:val="5E4775F9"/>
    <w:rsid w:val="5E5674C7"/>
    <w:rsid w:val="5E67480F"/>
    <w:rsid w:val="5EA17159"/>
    <w:rsid w:val="5EEB267A"/>
    <w:rsid w:val="5F8748DA"/>
    <w:rsid w:val="5FDE1234"/>
    <w:rsid w:val="60566219"/>
    <w:rsid w:val="607E12CC"/>
    <w:rsid w:val="60C21E5F"/>
    <w:rsid w:val="6171498D"/>
    <w:rsid w:val="61E6537B"/>
    <w:rsid w:val="621E2D67"/>
    <w:rsid w:val="628030DA"/>
    <w:rsid w:val="62AA45FB"/>
    <w:rsid w:val="62D33A10"/>
    <w:rsid w:val="62E775FD"/>
    <w:rsid w:val="63604C33"/>
    <w:rsid w:val="63653CAD"/>
    <w:rsid w:val="63F7532D"/>
    <w:rsid w:val="643407A7"/>
    <w:rsid w:val="64656A2B"/>
    <w:rsid w:val="647B1A55"/>
    <w:rsid w:val="64DB0A9B"/>
    <w:rsid w:val="65561E5B"/>
    <w:rsid w:val="6573295C"/>
    <w:rsid w:val="6582360D"/>
    <w:rsid w:val="65931DA1"/>
    <w:rsid w:val="65B5026D"/>
    <w:rsid w:val="65B50990"/>
    <w:rsid w:val="65C14135"/>
    <w:rsid w:val="65C23A09"/>
    <w:rsid w:val="65D17642"/>
    <w:rsid w:val="661701F9"/>
    <w:rsid w:val="66292968"/>
    <w:rsid w:val="667761EE"/>
    <w:rsid w:val="669D6869"/>
    <w:rsid w:val="66EB7B2A"/>
    <w:rsid w:val="67201A8D"/>
    <w:rsid w:val="673E0C66"/>
    <w:rsid w:val="675170DC"/>
    <w:rsid w:val="675F33B7"/>
    <w:rsid w:val="68103152"/>
    <w:rsid w:val="68A13DAA"/>
    <w:rsid w:val="68A25790"/>
    <w:rsid w:val="68CC52CB"/>
    <w:rsid w:val="69643755"/>
    <w:rsid w:val="69DC26B1"/>
    <w:rsid w:val="6A184540"/>
    <w:rsid w:val="6A2151A2"/>
    <w:rsid w:val="6A373075"/>
    <w:rsid w:val="6A665113"/>
    <w:rsid w:val="6AF74490"/>
    <w:rsid w:val="6B144E28"/>
    <w:rsid w:val="6BFF59B7"/>
    <w:rsid w:val="6C403671"/>
    <w:rsid w:val="6C6B4DFB"/>
    <w:rsid w:val="6C6D4A58"/>
    <w:rsid w:val="6CCD33BF"/>
    <w:rsid w:val="6D154D66"/>
    <w:rsid w:val="6D905053"/>
    <w:rsid w:val="6DD469CF"/>
    <w:rsid w:val="6E542593"/>
    <w:rsid w:val="6E573888"/>
    <w:rsid w:val="6ECD3B4B"/>
    <w:rsid w:val="6ED8429D"/>
    <w:rsid w:val="6F556684"/>
    <w:rsid w:val="6F9E54E7"/>
    <w:rsid w:val="6FDC1B6B"/>
    <w:rsid w:val="6FE3114C"/>
    <w:rsid w:val="70134ABB"/>
    <w:rsid w:val="70377E36"/>
    <w:rsid w:val="70A703CB"/>
    <w:rsid w:val="70B3479D"/>
    <w:rsid w:val="70F75741"/>
    <w:rsid w:val="712029B9"/>
    <w:rsid w:val="7174432C"/>
    <w:rsid w:val="728C5ACB"/>
    <w:rsid w:val="7298621E"/>
    <w:rsid w:val="72B76A57"/>
    <w:rsid w:val="73565C82"/>
    <w:rsid w:val="73D9089C"/>
    <w:rsid w:val="73D94D40"/>
    <w:rsid w:val="745B5217"/>
    <w:rsid w:val="747B2D8F"/>
    <w:rsid w:val="74C01E69"/>
    <w:rsid w:val="74D067FF"/>
    <w:rsid w:val="74D64461"/>
    <w:rsid w:val="755C628B"/>
    <w:rsid w:val="755E58D5"/>
    <w:rsid w:val="755F74C6"/>
    <w:rsid w:val="75995B4F"/>
    <w:rsid w:val="76036494"/>
    <w:rsid w:val="761360D7"/>
    <w:rsid w:val="762439FD"/>
    <w:rsid w:val="76312C11"/>
    <w:rsid w:val="76375D4D"/>
    <w:rsid w:val="76992E80"/>
    <w:rsid w:val="769E7490"/>
    <w:rsid w:val="76DE455C"/>
    <w:rsid w:val="77D00208"/>
    <w:rsid w:val="77D5581E"/>
    <w:rsid w:val="77D9530E"/>
    <w:rsid w:val="77F03ED5"/>
    <w:rsid w:val="77FC0FFD"/>
    <w:rsid w:val="78A44248"/>
    <w:rsid w:val="78C935D5"/>
    <w:rsid w:val="78C95383"/>
    <w:rsid w:val="794E57F6"/>
    <w:rsid w:val="79972073"/>
    <w:rsid w:val="79BF70EF"/>
    <w:rsid w:val="7A195E96"/>
    <w:rsid w:val="7A3E58FC"/>
    <w:rsid w:val="7A434CC1"/>
    <w:rsid w:val="7A9A058E"/>
    <w:rsid w:val="7AB6266E"/>
    <w:rsid w:val="7ADB139D"/>
    <w:rsid w:val="7B68601A"/>
    <w:rsid w:val="7B713AB0"/>
    <w:rsid w:val="7BAB3527"/>
    <w:rsid w:val="7BE349AD"/>
    <w:rsid w:val="7C38637B"/>
    <w:rsid w:val="7C4C159F"/>
    <w:rsid w:val="7C857813"/>
    <w:rsid w:val="7CC935D6"/>
    <w:rsid w:val="7DE25B31"/>
    <w:rsid w:val="7E1F77F3"/>
    <w:rsid w:val="7E9D2BEE"/>
    <w:rsid w:val="7F361298"/>
    <w:rsid w:val="7F4E65E2"/>
    <w:rsid w:val="7FA513FD"/>
    <w:rsid w:val="7FA77AA0"/>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szCs w:val="24"/>
    </w:rPr>
  </w:style>
  <w:style w:type="paragraph" w:styleId="17">
    <w:name w:val="Body Text First Indent 2"/>
    <w:basedOn w:val="7"/>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2"/>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3742</Words>
  <Characters>3925</Characters>
  <Lines>0</Lines>
  <Paragraphs>0</Paragraphs>
  <TotalTime>1</TotalTime>
  <ScaleCrop>false</ScaleCrop>
  <LinksUpToDate>false</LinksUpToDate>
  <CharactersWithSpaces>4690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2025-04-09T05:36:15Z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