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376D01E">
      <w:pPr>
        <w:jc w:val="distribute"/>
        <w:rPr>
          <w:rFonts w:hint="eastAsia" w:ascii="新宋体" w:hAnsi="新宋体" w:eastAsia="新宋体" w:cs="新宋体"/>
          <w:b/>
          <w:bCs/>
          <w:color w:val="auto"/>
          <w:sz w:val="96"/>
          <w:szCs w:val="96"/>
          <w:highlight w:val="none"/>
        </w:rPr>
      </w:pPr>
      <w:bookmarkStart w:id="107" w:name="_GoBack"/>
    </w:p>
    <w:p w14:paraId="2E177F96">
      <w:pPr>
        <w:jc w:val="distribute"/>
        <w:rPr>
          <w:rFonts w:hint="eastAsia" w:ascii="新宋体" w:hAnsi="新宋体" w:eastAsia="新宋体" w:cs="新宋体"/>
          <w:b/>
          <w:bCs/>
          <w:color w:val="auto"/>
          <w:sz w:val="96"/>
          <w:szCs w:val="96"/>
          <w:highlight w:val="none"/>
          <w:lang w:eastAsia="zh-CN"/>
        </w:rPr>
      </w:pPr>
      <w:r>
        <w:rPr>
          <w:rFonts w:hint="eastAsia" w:ascii="新宋体" w:hAnsi="新宋体" w:eastAsia="新宋体" w:cs="新宋体"/>
          <w:b/>
          <w:bCs/>
          <w:color w:val="auto"/>
          <w:sz w:val="96"/>
          <w:szCs w:val="96"/>
          <w:highlight w:val="none"/>
          <w:lang w:eastAsia="zh-CN"/>
        </w:rPr>
        <w:t>温州市第七人民医院</w:t>
      </w:r>
    </w:p>
    <w:p w14:paraId="331014FB">
      <w:pPr>
        <w:rPr>
          <w:rFonts w:hint="eastAsia" w:ascii="新宋体" w:hAnsi="新宋体" w:eastAsia="新宋体" w:cs="新宋体"/>
          <w:color w:val="auto"/>
          <w:spacing w:val="140"/>
          <w:sz w:val="72"/>
          <w:highlight w:val="none"/>
        </w:rPr>
      </w:pPr>
    </w:p>
    <w:p w14:paraId="6C82A33C">
      <w:pPr>
        <w:jc w:val="both"/>
        <w:rPr>
          <w:rFonts w:hint="eastAsia" w:ascii="新宋体" w:hAnsi="新宋体" w:eastAsia="新宋体" w:cs="新宋体"/>
          <w:color w:val="auto"/>
          <w:spacing w:val="140"/>
          <w:sz w:val="72"/>
          <w:highlight w:val="none"/>
        </w:rPr>
      </w:pPr>
    </w:p>
    <w:p w14:paraId="07B3347E">
      <w:pPr>
        <w:adjustRightInd w:val="0"/>
        <w:snapToGrid w:val="0"/>
        <w:spacing w:line="480" w:lineRule="auto"/>
        <w:ind w:right="361"/>
        <w:jc w:val="center"/>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72"/>
          <w:szCs w:val="72"/>
          <w:highlight w:val="none"/>
        </w:rPr>
        <w:t>招 标 文 件</w:t>
      </w:r>
    </w:p>
    <w:p w14:paraId="05984A73">
      <w:pPr>
        <w:spacing w:line="800" w:lineRule="exact"/>
        <w:ind w:firstLine="1500" w:firstLineChars="500"/>
        <w:rPr>
          <w:rFonts w:hint="eastAsia" w:ascii="新宋体" w:hAnsi="新宋体" w:eastAsia="新宋体" w:cs="新宋体"/>
          <w:color w:val="auto"/>
          <w:spacing w:val="40"/>
          <w:sz w:val="30"/>
          <w:szCs w:val="30"/>
          <w:highlight w:val="none"/>
          <w:lang w:eastAsia="zh-CN"/>
        </w:rPr>
      </w:pPr>
      <w:r>
        <w:rPr>
          <w:rFonts w:hint="eastAsia" w:ascii="新宋体" w:hAnsi="新宋体" w:eastAsia="新宋体" w:cs="新宋体"/>
          <w:b w:val="0"/>
          <w:bCs w:val="0"/>
          <w:color w:val="auto"/>
          <w:sz w:val="30"/>
          <w:szCs w:val="30"/>
          <w:highlight w:val="none"/>
          <w:lang w:val="en-US" w:eastAsia="zh-CN"/>
        </w:rPr>
        <w:t>项目编号：</w:t>
      </w:r>
      <w:r>
        <w:rPr>
          <w:rFonts w:hint="eastAsia" w:ascii="新宋体" w:hAnsi="新宋体" w:eastAsia="新宋体" w:cs="新宋体"/>
          <w:b/>
          <w:bCs/>
          <w:color w:val="auto"/>
          <w:sz w:val="30"/>
          <w:szCs w:val="30"/>
          <w:highlight w:val="none"/>
          <w:lang w:val="en-US" w:eastAsia="zh-CN"/>
        </w:rPr>
        <w:t>WZLCZB（L）-2025-04097</w:t>
      </w:r>
    </w:p>
    <w:p w14:paraId="5348D1F4">
      <w:pPr>
        <w:keepNext w:val="0"/>
        <w:keepLines w:val="0"/>
        <w:pageBreakBefore w:val="0"/>
        <w:widowControl w:val="0"/>
        <w:kinsoku/>
        <w:wordWrap/>
        <w:overflowPunct/>
        <w:topLinePunct w:val="0"/>
        <w:autoSpaceDE/>
        <w:autoSpaceDN/>
        <w:bidi w:val="0"/>
        <w:adjustRightInd/>
        <w:snapToGrid/>
        <w:spacing w:line="800" w:lineRule="exact"/>
        <w:ind w:firstLine="1500" w:firstLineChars="500"/>
        <w:textAlignment w:val="auto"/>
        <w:rPr>
          <w:rFonts w:hint="eastAsia" w:ascii="新宋体" w:hAnsi="新宋体" w:eastAsia="新宋体" w:cs="新宋体"/>
          <w:color w:val="auto"/>
          <w:highlight w:val="none"/>
          <w:lang w:val="en-US" w:eastAsia="zh-CN"/>
        </w:rPr>
      </w:pPr>
      <w:r>
        <w:rPr>
          <w:rFonts w:hint="eastAsia" w:ascii="新宋体" w:hAnsi="新宋体" w:eastAsia="新宋体" w:cs="新宋体"/>
          <w:b w:val="0"/>
          <w:bCs w:val="0"/>
          <w:color w:val="auto"/>
          <w:sz w:val="30"/>
          <w:szCs w:val="30"/>
          <w:highlight w:val="none"/>
          <w:lang w:val="en-US" w:eastAsia="zh-CN"/>
        </w:rPr>
        <w:t>项目名称：</w:t>
      </w:r>
      <w:r>
        <w:rPr>
          <w:rFonts w:hint="eastAsia" w:ascii="新宋体" w:hAnsi="新宋体" w:eastAsia="新宋体" w:cs="新宋体"/>
          <w:b/>
          <w:bCs/>
          <w:color w:val="auto"/>
          <w:sz w:val="30"/>
          <w:szCs w:val="30"/>
          <w:highlight w:val="none"/>
          <w:lang w:val="en-US" w:eastAsia="zh-CN"/>
        </w:rPr>
        <w:t>打印机外包服务</w:t>
      </w:r>
    </w:p>
    <w:p w14:paraId="1661C662">
      <w:pPr>
        <w:spacing w:line="800" w:lineRule="exact"/>
        <w:ind w:firstLine="1500" w:firstLineChars="500"/>
        <w:rPr>
          <w:rFonts w:hint="eastAsia" w:ascii="新宋体" w:hAnsi="新宋体" w:eastAsia="新宋体" w:cs="新宋体"/>
          <w:color w:val="auto"/>
          <w:spacing w:val="40"/>
          <w:sz w:val="30"/>
          <w:szCs w:val="30"/>
          <w:highlight w:val="none"/>
        </w:rPr>
      </w:pPr>
      <w:r>
        <w:rPr>
          <w:rFonts w:hint="eastAsia" w:ascii="新宋体" w:hAnsi="新宋体" w:eastAsia="新宋体" w:cs="新宋体"/>
          <w:b w:val="0"/>
          <w:bCs w:val="0"/>
          <w:color w:val="auto"/>
          <w:sz w:val="30"/>
          <w:szCs w:val="30"/>
          <w:highlight w:val="none"/>
          <w:lang w:val="en-US" w:eastAsia="zh-CN"/>
        </w:rPr>
        <w:t>采购方式：</w:t>
      </w:r>
      <w:r>
        <w:rPr>
          <w:rFonts w:hint="eastAsia" w:ascii="新宋体" w:hAnsi="新宋体" w:eastAsia="新宋体" w:cs="新宋体"/>
          <w:b/>
          <w:bCs/>
          <w:color w:val="auto"/>
          <w:sz w:val="30"/>
          <w:szCs w:val="30"/>
          <w:highlight w:val="none"/>
          <w:lang w:val="en-US" w:eastAsia="zh-CN"/>
        </w:rPr>
        <w:t>公开招标</w:t>
      </w:r>
    </w:p>
    <w:p w14:paraId="382C0CA5">
      <w:pPr>
        <w:spacing w:line="800" w:lineRule="exact"/>
        <w:ind w:firstLine="1500" w:firstLineChars="500"/>
        <w:rPr>
          <w:rFonts w:hint="eastAsia" w:ascii="新宋体" w:hAnsi="新宋体" w:eastAsia="新宋体" w:cs="新宋体"/>
          <w:color w:val="auto"/>
          <w:spacing w:val="40"/>
          <w:sz w:val="30"/>
          <w:szCs w:val="30"/>
          <w:highlight w:val="none"/>
        </w:rPr>
      </w:pPr>
      <w:r>
        <w:rPr>
          <w:rFonts w:hint="eastAsia" w:ascii="新宋体" w:hAnsi="新宋体" w:eastAsia="新宋体" w:cs="新宋体"/>
          <w:b w:val="0"/>
          <w:bCs w:val="0"/>
          <w:color w:val="auto"/>
          <w:sz w:val="30"/>
          <w:szCs w:val="30"/>
          <w:highlight w:val="none"/>
          <w:lang w:val="en-US" w:eastAsia="zh-CN"/>
        </w:rPr>
        <w:t>评审方式：</w:t>
      </w:r>
      <w:r>
        <w:rPr>
          <w:rFonts w:hint="eastAsia" w:ascii="新宋体" w:hAnsi="新宋体" w:eastAsia="新宋体" w:cs="新宋体"/>
          <w:b/>
          <w:bCs/>
          <w:color w:val="auto"/>
          <w:sz w:val="30"/>
          <w:szCs w:val="30"/>
          <w:highlight w:val="none"/>
          <w:lang w:val="en-US" w:eastAsia="zh-CN"/>
        </w:rPr>
        <w:t>线上电子招投标</w:t>
      </w:r>
    </w:p>
    <w:p w14:paraId="55F4889B">
      <w:pPr>
        <w:bidi w:val="0"/>
        <w:rPr>
          <w:rFonts w:hint="eastAsia" w:ascii="新宋体" w:hAnsi="新宋体" w:eastAsia="新宋体" w:cs="新宋体"/>
          <w:color w:val="auto"/>
          <w:highlight w:val="none"/>
        </w:rPr>
      </w:pPr>
    </w:p>
    <w:p w14:paraId="17CAE28A">
      <w:pPr>
        <w:bidi w:val="0"/>
        <w:rPr>
          <w:rFonts w:hint="eastAsia" w:ascii="新宋体" w:hAnsi="新宋体" w:eastAsia="新宋体" w:cs="新宋体"/>
          <w:color w:val="auto"/>
          <w:highlight w:val="none"/>
        </w:rPr>
      </w:pPr>
    </w:p>
    <w:p w14:paraId="485A6ACB">
      <w:pPr>
        <w:bidi w:val="0"/>
        <w:rPr>
          <w:rFonts w:hint="eastAsia" w:ascii="新宋体" w:hAnsi="新宋体" w:eastAsia="新宋体" w:cs="新宋体"/>
          <w:color w:val="auto"/>
          <w:highlight w:val="none"/>
        </w:rPr>
      </w:pPr>
    </w:p>
    <w:p w14:paraId="515A1CCA">
      <w:pPr>
        <w:bidi w:val="0"/>
        <w:rPr>
          <w:rFonts w:hint="eastAsia" w:ascii="新宋体" w:hAnsi="新宋体" w:eastAsia="新宋体" w:cs="新宋体"/>
          <w:color w:val="auto"/>
          <w:highlight w:val="none"/>
        </w:rPr>
      </w:pPr>
    </w:p>
    <w:p w14:paraId="3E56D92F">
      <w:pPr>
        <w:rPr>
          <w:rFonts w:hint="eastAsia" w:ascii="新宋体" w:hAnsi="新宋体" w:eastAsia="新宋体" w:cs="新宋体"/>
          <w:color w:val="auto"/>
          <w:highlight w:val="none"/>
        </w:rPr>
      </w:pPr>
    </w:p>
    <w:p w14:paraId="17309A3F">
      <w:pPr>
        <w:spacing w:line="600" w:lineRule="exact"/>
        <w:jc w:val="center"/>
        <w:rPr>
          <w:rFonts w:hint="eastAsia" w:ascii="新宋体" w:hAnsi="新宋体" w:eastAsia="新宋体" w:cs="新宋体"/>
          <w:color w:val="auto"/>
          <w:spacing w:val="30"/>
          <w:sz w:val="30"/>
          <w:highlight w:val="none"/>
          <w:lang w:val="en-US" w:eastAsia="zh-CN"/>
        </w:rPr>
      </w:pPr>
      <w:r>
        <w:rPr>
          <w:rFonts w:hint="eastAsia" w:ascii="新宋体" w:hAnsi="新宋体" w:eastAsia="新宋体" w:cs="新宋体"/>
          <w:color w:val="auto"/>
          <w:spacing w:val="30"/>
          <w:sz w:val="30"/>
          <w:highlight w:val="none"/>
        </w:rPr>
        <w:t>招 标 人：</w:t>
      </w:r>
      <w:r>
        <w:rPr>
          <w:rFonts w:hint="eastAsia" w:ascii="新宋体" w:hAnsi="新宋体" w:eastAsia="新宋体" w:cs="新宋体"/>
          <w:color w:val="auto"/>
          <w:spacing w:val="30"/>
          <w:sz w:val="30"/>
          <w:highlight w:val="none"/>
          <w:lang w:eastAsia="zh-CN"/>
        </w:rPr>
        <w:t>温州市第七人民医院</w:t>
      </w:r>
    </w:p>
    <w:p w14:paraId="5E16640D">
      <w:pPr>
        <w:spacing w:line="600" w:lineRule="exact"/>
        <w:jc w:val="center"/>
        <w:rPr>
          <w:rFonts w:hint="eastAsia" w:ascii="新宋体" w:hAnsi="新宋体" w:eastAsia="新宋体" w:cs="新宋体"/>
          <w:color w:val="auto"/>
          <w:spacing w:val="30"/>
          <w:sz w:val="30"/>
          <w:highlight w:val="none"/>
        </w:rPr>
      </w:pPr>
      <w:r>
        <w:rPr>
          <w:rFonts w:hint="eastAsia" w:ascii="新宋体" w:hAnsi="新宋体" w:eastAsia="新宋体" w:cs="新宋体"/>
          <w:color w:val="auto"/>
          <w:spacing w:val="30"/>
          <w:sz w:val="30"/>
          <w:highlight w:val="none"/>
        </w:rPr>
        <w:t>招标代理公司：温州历程招标有限公司</w:t>
      </w:r>
    </w:p>
    <w:p w14:paraId="6D0A8135">
      <w:pPr>
        <w:spacing w:line="600" w:lineRule="exact"/>
        <w:jc w:val="center"/>
        <w:rPr>
          <w:rFonts w:hint="default" w:ascii="新宋体" w:hAnsi="新宋体" w:eastAsia="新宋体" w:cs="新宋体"/>
          <w:b/>
          <w:color w:val="auto"/>
          <w:sz w:val="36"/>
          <w:szCs w:val="36"/>
          <w:highlight w:val="none"/>
          <w:lang w:val="en-US" w:eastAsia="zh-CN"/>
        </w:rPr>
      </w:pPr>
      <w:r>
        <w:rPr>
          <w:rFonts w:hint="eastAsia" w:ascii="新宋体" w:hAnsi="新宋体" w:eastAsia="新宋体" w:cs="新宋体"/>
          <w:color w:val="auto"/>
          <w:spacing w:val="30"/>
          <w:sz w:val="30"/>
          <w:highlight w:val="none"/>
        </w:rPr>
        <w:t>二〇二</w:t>
      </w:r>
      <w:r>
        <w:rPr>
          <w:rFonts w:hint="eastAsia" w:ascii="新宋体" w:hAnsi="新宋体" w:eastAsia="新宋体" w:cs="新宋体"/>
          <w:color w:val="auto"/>
          <w:spacing w:val="30"/>
          <w:sz w:val="30"/>
          <w:highlight w:val="none"/>
          <w:lang w:val="en-US" w:eastAsia="zh-CN"/>
        </w:rPr>
        <w:t>五</w:t>
      </w:r>
      <w:r>
        <w:rPr>
          <w:rFonts w:hint="eastAsia" w:ascii="新宋体" w:hAnsi="新宋体" w:eastAsia="新宋体" w:cs="新宋体"/>
          <w:color w:val="auto"/>
          <w:spacing w:val="30"/>
          <w:sz w:val="30"/>
          <w:highlight w:val="none"/>
        </w:rPr>
        <w:t>年</w:t>
      </w:r>
    </w:p>
    <w:p w14:paraId="509AD840">
      <w:pPr>
        <w:bidi w:val="0"/>
        <w:rPr>
          <w:rFonts w:hint="eastAsia" w:ascii="新宋体" w:hAnsi="新宋体" w:eastAsia="新宋体" w:cs="新宋体"/>
          <w:color w:val="auto"/>
          <w:highlight w:val="none"/>
        </w:rPr>
      </w:pPr>
    </w:p>
    <w:p w14:paraId="416ABCCA">
      <w:pPr>
        <w:bidi w:val="0"/>
        <w:rPr>
          <w:rFonts w:hint="eastAsia" w:ascii="新宋体" w:hAnsi="新宋体" w:eastAsia="新宋体" w:cs="新宋体"/>
          <w:color w:val="auto"/>
          <w:highlight w:val="none"/>
        </w:rPr>
        <w:sectPr>
          <w:headerReference r:id="rId4" w:type="first"/>
          <w:headerReference r:id="rId3" w:type="default"/>
          <w:pgSz w:w="11907" w:h="16840"/>
          <w:pgMar w:top="1134" w:right="1134" w:bottom="1134" w:left="1134" w:header="851" w:footer="992" w:gutter="0"/>
          <w:pgNumType w:fmt="decimal"/>
          <w:cols w:space="720" w:num="1"/>
          <w:titlePg/>
          <w:docGrid w:linePitch="312" w:charSpace="0"/>
        </w:sectPr>
      </w:pPr>
    </w:p>
    <w:p w14:paraId="66A529CB">
      <w:pPr>
        <w:spacing w:before="100" w:beforeAutospacing="1" w:after="100" w:afterAutospacing="1" w:line="440" w:lineRule="exact"/>
        <w:jc w:val="center"/>
        <w:outlineLvl w:val="0"/>
        <w:rPr>
          <w:rFonts w:hint="eastAsia" w:ascii="新宋体" w:hAnsi="新宋体" w:eastAsia="新宋体" w:cs="新宋体"/>
          <w:b/>
          <w:bCs/>
          <w:color w:val="auto"/>
          <w:sz w:val="32"/>
          <w:szCs w:val="32"/>
          <w:highlight w:val="none"/>
        </w:rPr>
      </w:pPr>
      <w:bookmarkStart w:id="0" w:name="_Toc10415"/>
      <w:bookmarkStart w:id="1" w:name="_Toc5007"/>
      <w:bookmarkStart w:id="2" w:name="_Toc13563"/>
      <w:r>
        <w:rPr>
          <w:rFonts w:hint="eastAsia" w:ascii="新宋体" w:hAnsi="新宋体" w:eastAsia="新宋体" w:cs="新宋体"/>
          <w:b/>
          <w:bCs/>
          <w:color w:val="auto"/>
          <w:sz w:val="32"/>
          <w:szCs w:val="32"/>
          <w:highlight w:val="none"/>
        </w:rPr>
        <w:t>目    录</w:t>
      </w:r>
      <w:bookmarkEnd w:id="0"/>
      <w:bookmarkEnd w:id="1"/>
      <w:bookmarkEnd w:id="2"/>
    </w:p>
    <w:p w14:paraId="7C1D0FC1">
      <w:pPr>
        <w:pStyle w:val="41"/>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TOC \o "1-3" \h \u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_Toc13563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目    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_Toc13563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BE5D1CE">
      <w:pPr>
        <w:pStyle w:val="41"/>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_Toc6838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招标公告</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_Toc6838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90334B2">
      <w:pPr>
        <w:pStyle w:val="41"/>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_Toc18754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第一部分  投标人须知</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_Toc18754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7FDCFB5">
      <w:pPr>
        <w:pStyle w:val="4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_Toc11091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前 附 表</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_Toc11091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2CD229E">
      <w:pPr>
        <w:pStyle w:val="4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_Toc21811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一、 说   明</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_Toc21811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08A25F2">
      <w:pPr>
        <w:pStyle w:val="4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_Toc23500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二、 招标文件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_Toc23500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34312DD">
      <w:pPr>
        <w:pStyle w:val="4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_Toc7686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三、 投标文件的编制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_Toc7686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E1698B3">
      <w:pPr>
        <w:pStyle w:val="4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_Toc27959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四、 投标文件的递交</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_Toc27959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2DE67EB">
      <w:pPr>
        <w:pStyle w:val="4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_Toc13876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五、 开标和评标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_Toc13876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635054A">
      <w:pPr>
        <w:pStyle w:val="4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_Toc3840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 授予合同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_Toc3840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857CBBC">
      <w:pPr>
        <w:pStyle w:val="41"/>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_Toc8964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第二部分  合同主要条款</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_Toc8964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1B94B7EE">
      <w:pPr>
        <w:pStyle w:val="41"/>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_Toc7857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第三部分  附件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_Toc7857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75E4E1E">
      <w:pPr>
        <w:pStyle w:val="4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_Toc2993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附件一</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_Toc2993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9E23490">
      <w:pPr>
        <w:pStyle w:val="3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_Toc20233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lang w:val="zh-CN"/>
        </w:rPr>
        <w:t>资格证明文件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_Toc20233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1867D6A">
      <w:pPr>
        <w:pStyle w:val="4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_Toc9895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_Toc9895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F401BFE">
      <w:pPr>
        <w:pStyle w:val="3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_Toc14538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报价文件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_Toc14538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06A510F">
      <w:pPr>
        <w:pStyle w:val="4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_Toc32157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附件三</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_Toc32157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37</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6054022">
      <w:pPr>
        <w:pStyle w:val="30"/>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_Toc10973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lang w:val="zh-CN"/>
        </w:rPr>
        <w:t>商务技术文件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_Toc10973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37</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1C1E8CA">
      <w:pPr>
        <w:pStyle w:val="41"/>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_Toc10143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第四部分  项目技术规范和服务要求</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_Toc10143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53</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1845F8E">
      <w:pPr>
        <w:pStyle w:val="41"/>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_Toc31941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第五部分  评标原则及方法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_Toc31941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AD2A396">
      <w:pPr>
        <w:pStyle w:val="4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_Toc20545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一、总 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_Toc20545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EE368A8">
      <w:pPr>
        <w:pStyle w:val="4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_Toc32117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二、评标组织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_Toc32117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6298C87">
      <w:pPr>
        <w:pStyle w:val="4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_Toc23954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三、评标程序</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_Toc23954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3704FCD">
      <w:pPr>
        <w:pStyle w:val="4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_Toc10754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四、评标办法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_Toc10754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6D605C3">
      <w:pPr>
        <w:pStyle w:val="4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_Toc21132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五、评分细则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_Toc21132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8374D5C">
      <w:pPr>
        <w:pStyle w:val="4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_Toc29392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六、定标办法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_Toc29392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63</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2BFFE84">
      <w:pPr>
        <w:pStyle w:val="4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_Toc14862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七、投标人义务</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_Toc14862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63</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ED21975">
      <w:pPr>
        <w:keepNext w:val="0"/>
        <w:keepLines w:val="0"/>
        <w:pageBreakBefore w:val="0"/>
        <w:widowControl w:val="0"/>
        <w:kinsoku/>
        <w:wordWrap/>
        <w:overflowPunct/>
        <w:topLinePunct w:val="0"/>
        <w:autoSpaceDE/>
        <w:autoSpaceDN/>
        <w:bidi w:val="0"/>
        <w:adjustRightInd/>
        <w:snapToGrid/>
        <w:spacing w:line="460" w:lineRule="exact"/>
        <w:ind w:firstLine="550" w:firstLineChars="250"/>
        <w:textAlignment w:val="auto"/>
        <w:rPr>
          <w:rFonts w:hint="eastAsia" w:ascii="新宋体" w:hAnsi="新宋体" w:eastAsia="新宋体" w:cs="新宋体"/>
          <w:color w:val="auto"/>
          <w:sz w:val="22"/>
          <w:highlight w:val="none"/>
        </w:rPr>
      </w:pPr>
      <w:r>
        <w:rPr>
          <w:rFonts w:hint="eastAsia" w:ascii="新宋体" w:hAnsi="新宋体" w:eastAsia="新宋体" w:cs="新宋体"/>
          <w:color w:val="auto"/>
          <w:sz w:val="22"/>
          <w:szCs w:val="22"/>
          <w:highlight w:val="none"/>
        </w:rPr>
        <w:fldChar w:fldCharType="end"/>
      </w:r>
    </w:p>
    <w:p w14:paraId="790E5928">
      <w:pPr>
        <w:pStyle w:val="24"/>
        <w:spacing w:line="460" w:lineRule="exact"/>
        <w:ind w:left="-2" w:firstLine="0" w:firstLineChars="0"/>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3" w:name="_Toc32186"/>
      <w:bookmarkStart w:id="4" w:name="_Toc6838"/>
      <w:bookmarkStart w:id="5" w:name="_Toc12859"/>
      <w:r>
        <w:rPr>
          <w:rFonts w:hint="eastAsia" w:ascii="新宋体" w:hAnsi="新宋体" w:eastAsia="新宋体" w:cs="新宋体"/>
          <w:b/>
          <w:color w:val="auto"/>
          <w:sz w:val="30"/>
          <w:highlight w:val="none"/>
        </w:rPr>
        <w:t>温州历程招标有限公司关于</w:t>
      </w:r>
      <w:r>
        <w:rPr>
          <w:rFonts w:hint="eastAsia" w:ascii="新宋体" w:hAnsi="新宋体" w:eastAsia="新宋体" w:cs="新宋体"/>
          <w:b/>
          <w:color w:val="auto"/>
          <w:sz w:val="30"/>
          <w:highlight w:val="none"/>
          <w:lang w:eastAsia="zh-CN"/>
        </w:rPr>
        <w:t>温州市第七人民医院</w:t>
      </w:r>
      <w:r>
        <w:rPr>
          <w:rFonts w:hint="eastAsia" w:ascii="新宋体" w:hAnsi="新宋体" w:eastAsia="新宋体" w:cs="新宋体"/>
          <w:b/>
          <w:color w:val="auto"/>
          <w:sz w:val="30"/>
          <w:highlight w:val="none"/>
          <w:lang w:val="en-US" w:eastAsia="zh-CN"/>
        </w:rPr>
        <w:t>打印机外包服务</w:t>
      </w:r>
      <w:r>
        <w:rPr>
          <w:rFonts w:hint="eastAsia" w:ascii="新宋体" w:hAnsi="新宋体" w:eastAsia="新宋体" w:cs="新宋体"/>
          <w:b/>
          <w:color w:val="auto"/>
          <w:sz w:val="30"/>
          <w:highlight w:val="none"/>
        </w:rPr>
        <w:t>项目的公开招标公告</w:t>
      </w:r>
      <w:bookmarkEnd w:id="3"/>
      <w:bookmarkEnd w:id="4"/>
      <w:bookmarkEnd w:id="5"/>
    </w:p>
    <w:tbl>
      <w:tblPr>
        <w:tblStyle w:val="5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5"/>
      </w:tblGrid>
      <w:tr w14:paraId="6D00D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9855" w:type="dxa"/>
          </w:tcPr>
          <w:p w14:paraId="6A918B3E">
            <w:pPr>
              <w:spacing w:line="460" w:lineRule="exact"/>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bCs/>
                <w:color w:val="auto"/>
                <w:sz w:val="22"/>
                <w:szCs w:val="22"/>
                <w:highlight w:val="none"/>
              </w:rPr>
              <w:t>项目概况</w:t>
            </w:r>
          </w:p>
          <w:p w14:paraId="0224EE8C">
            <w:pPr>
              <w:spacing w:line="460" w:lineRule="exact"/>
              <w:ind w:firstLine="440" w:firstLineChars="200"/>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eastAsia="zh-CN"/>
              </w:rPr>
              <w:t>打印机外包服务</w:t>
            </w:r>
            <w:r>
              <w:rPr>
                <w:rFonts w:hint="eastAsia" w:ascii="新宋体" w:hAnsi="新宋体" w:eastAsia="新宋体" w:cs="新宋体"/>
                <w:b w:val="0"/>
                <w:bCs w:val="0"/>
                <w:color w:val="auto"/>
                <w:sz w:val="22"/>
                <w:szCs w:val="22"/>
                <w:highlight w:val="none"/>
              </w:rPr>
              <w:t>招标项目的潜在投标人应在乐采云平台(https://www.lecaiyun.com/)线上获取招标文件，并于</w:t>
            </w:r>
            <w:r>
              <w:rPr>
                <w:rFonts w:hint="eastAsia" w:ascii="新宋体" w:hAnsi="新宋体" w:eastAsia="新宋体" w:cs="新宋体"/>
                <w:b w:val="0"/>
                <w:bCs w:val="0"/>
                <w:color w:val="auto"/>
                <w:sz w:val="22"/>
                <w:szCs w:val="22"/>
                <w:highlight w:val="none"/>
                <w:lang w:eastAsia="zh-CN"/>
              </w:rPr>
              <w:t>2025年</w:t>
            </w:r>
            <w:r>
              <w:rPr>
                <w:rFonts w:hint="eastAsia" w:ascii="新宋体" w:hAnsi="新宋体" w:eastAsia="新宋体" w:cs="新宋体"/>
                <w:b w:val="0"/>
                <w:bCs w:val="0"/>
                <w:color w:val="auto"/>
                <w:sz w:val="22"/>
                <w:szCs w:val="22"/>
                <w:highlight w:val="none"/>
                <w:lang w:val="en-US" w:eastAsia="zh-CN"/>
              </w:rPr>
              <w:t>04</w:t>
            </w:r>
            <w:r>
              <w:rPr>
                <w:rFonts w:hint="eastAsia" w:ascii="新宋体" w:hAnsi="新宋体" w:eastAsia="新宋体" w:cs="新宋体"/>
                <w:b w:val="0"/>
                <w:bCs w:val="0"/>
                <w:color w:val="auto"/>
                <w:sz w:val="22"/>
                <w:szCs w:val="22"/>
                <w:highlight w:val="none"/>
                <w:lang w:eastAsia="zh-CN"/>
              </w:rPr>
              <w:t>月</w:t>
            </w:r>
            <w:r>
              <w:rPr>
                <w:rFonts w:hint="eastAsia" w:ascii="新宋体" w:hAnsi="新宋体" w:eastAsia="新宋体" w:cs="新宋体"/>
                <w:b w:val="0"/>
                <w:bCs w:val="0"/>
                <w:color w:val="auto"/>
                <w:sz w:val="22"/>
                <w:szCs w:val="22"/>
                <w:highlight w:val="none"/>
                <w:lang w:val="en-US" w:eastAsia="zh-CN"/>
              </w:rPr>
              <w:t>24</w:t>
            </w:r>
            <w:r>
              <w:rPr>
                <w:rFonts w:hint="eastAsia" w:ascii="新宋体" w:hAnsi="新宋体" w:eastAsia="新宋体" w:cs="新宋体"/>
                <w:b w:val="0"/>
                <w:bCs w:val="0"/>
                <w:color w:val="auto"/>
                <w:sz w:val="22"/>
                <w:szCs w:val="22"/>
                <w:highlight w:val="none"/>
                <w:lang w:eastAsia="zh-CN"/>
              </w:rPr>
              <w:t>日</w:t>
            </w:r>
            <w:r>
              <w:rPr>
                <w:rFonts w:hint="eastAsia" w:ascii="新宋体" w:hAnsi="新宋体" w:eastAsia="新宋体" w:cs="新宋体"/>
                <w:b w:val="0"/>
                <w:bCs w:val="0"/>
                <w:color w:val="auto"/>
                <w:sz w:val="22"/>
                <w:szCs w:val="22"/>
                <w:highlight w:val="none"/>
                <w:lang w:val="en-US" w:eastAsia="zh-CN"/>
              </w:rPr>
              <w:t>09：30</w:t>
            </w:r>
            <w:r>
              <w:rPr>
                <w:rFonts w:hint="eastAsia" w:ascii="新宋体" w:hAnsi="新宋体" w:eastAsia="新宋体" w:cs="新宋体"/>
                <w:b w:val="0"/>
                <w:bCs w:val="0"/>
                <w:color w:val="auto"/>
                <w:sz w:val="22"/>
                <w:szCs w:val="22"/>
                <w:highlight w:val="none"/>
              </w:rPr>
              <w:t>（北京时间）前递交投标文件。</w:t>
            </w:r>
          </w:p>
        </w:tc>
      </w:tr>
    </w:tbl>
    <w:p w14:paraId="63E53F41">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一、项目基本情况</w:t>
      </w:r>
    </w:p>
    <w:p w14:paraId="755B329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项目编号：</w:t>
      </w:r>
      <w:r>
        <w:rPr>
          <w:rFonts w:hint="eastAsia" w:ascii="新宋体" w:hAnsi="新宋体" w:eastAsia="新宋体" w:cs="新宋体"/>
          <w:b w:val="0"/>
          <w:bCs w:val="0"/>
          <w:color w:val="auto"/>
          <w:sz w:val="22"/>
          <w:szCs w:val="22"/>
          <w:highlight w:val="none"/>
          <w:lang w:eastAsia="zh-CN"/>
        </w:rPr>
        <w:t>WZLCZB（L）-2025-04097</w:t>
      </w:r>
    </w:p>
    <w:p w14:paraId="40C84D59">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r>
        <w:rPr>
          <w:rFonts w:hint="eastAsia" w:ascii="新宋体" w:hAnsi="新宋体" w:eastAsia="新宋体" w:cs="新宋体"/>
          <w:b w:val="0"/>
          <w:bCs w:val="0"/>
          <w:color w:val="auto"/>
          <w:sz w:val="22"/>
          <w:szCs w:val="22"/>
          <w:highlight w:val="none"/>
          <w:lang w:eastAsia="zh-CN"/>
        </w:rPr>
        <w:t>打印机外包服务</w:t>
      </w:r>
    </w:p>
    <w:p w14:paraId="501984EB">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default"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预算金额（元）：</w:t>
      </w:r>
      <w:r>
        <w:rPr>
          <w:rFonts w:hint="eastAsia" w:ascii="新宋体" w:hAnsi="新宋体" w:eastAsia="新宋体" w:cs="新宋体"/>
          <w:b w:val="0"/>
          <w:bCs w:val="0"/>
          <w:color w:val="auto"/>
          <w:sz w:val="22"/>
          <w:szCs w:val="22"/>
          <w:highlight w:val="none"/>
          <w:lang w:val="en-US" w:eastAsia="zh-CN"/>
        </w:rPr>
        <w:t>190000.00</w:t>
      </w:r>
    </w:p>
    <w:p w14:paraId="531EEBE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最高限价（元）：</w:t>
      </w:r>
      <w:r>
        <w:rPr>
          <w:rFonts w:hint="eastAsia" w:ascii="新宋体" w:hAnsi="新宋体" w:eastAsia="新宋体" w:cs="新宋体"/>
          <w:color w:val="auto"/>
          <w:sz w:val="22"/>
          <w:szCs w:val="22"/>
          <w:highlight w:val="none"/>
          <w:lang w:val="en-US" w:eastAsia="zh-CN"/>
        </w:rPr>
        <w:t>190000.00</w:t>
      </w:r>
    </w:p>
    <w:p w14:paraId="4DE2F4B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采购需求：</w:t>
      </w:r>
    </w:p>
    <w:p w14:paraId="7F8DE1D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标项名称</w:t>
      </w:r>
      <w:r>
        <w:rPr>
          <w:rFonts w:hint="eastAsia" w:ascii="新宋体" w:hAnsi="新宋体" w:eastAsia="新宋体" w:cs="新宋体"/>
          <w:b w:val="0"/>
          <w:bCs w:val="0"/>
          <w:color w:val="auto"/>
          <w:sz w:val="22"/>
          <w:szCs w:val="22"/>
          <w:highlight w:val="none"/>
          <w:lang w:eastAsia="zh-CN"/>
        </w:rPr>
        <w:t>：打印机外包服务</w:t>
      </w:r>
    </w:p>
    <w:p w14:paraId="5D13FE5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数量</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lang w:val="en-US" w:eastAsia="zh-CN"/>
        </w:rPr>
        <w:t>1批</w:t>
      </w:r>
    </w:p>
    <w:p w14:paraId="2715259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预算金额（元）：</w:t>
      </w:r>
      <w:r>
        <w:rPr>
          <w:rFonts w:hint="eastAsia" w:ascii="新宋体" w:hAnsi="新宋体" w:eastAsia="新宋体" w:cs="新宋体"/>
          <w:b w:val="0"/>
          <w:bCs w:val="0"/>
          <w:color w:val="auto"/>
          <w:sz w:val="22"/>
          <w:szCs w:val="22"/>
          <w:highlight w:val="none"/>
          <w:lang w:val="en-US" w:eastAsia="zh-CN"/>
        </w:rPr>
        <w:t>190000.00</w:t>
      </w:r>
    </w:p>
    <w:p w14:paraId="06D0B231">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简要规格描述或项目基本概况介绍、用途：</w:t>
      </w:r>
      <w:r>
        <w:rPr>
          <w:rFonts w:hint="eastAsia" w:ascii="新宋体" w:hAnsi="新宋体" w:eastAsia="新宋体" w:cs="新宋体"/>
          <w:b w:val="0"/>
          <w:bCs/>
          <w:color w:val="auto"/>
          <w:sz w:val="22"/>
          <w:szCs w:val="22"/>
          <w:highlight w:val="none"/>
          <w:lang w:val="en-US" w:eastAsia="zh-CN"/>
        </w:rPr>
        <w:t>具体</w:t>
      </w:r>
      <w:r>
        <w:rPr>
          <w:rFonts w:hint="eastAsia" w:ascii="新宋体" w:hAnsi="新宋体" w:eastAsia="新宋体" w:cs="新宋体"/>
          <w:b w:val="0"/>
          <w:bCs w:val="0"/>
          <w:color w:val="auto"/>
          <w:sz w:val="22"/>
          <w:szCs w:val="22"/>
          <w:highlight w:val="none"/>
        </w:rPr>
        <w:t>详见招标文件</w:t>
      </w:r>
    </w:p>
    <w:p w14:paraId="49E8C2B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default"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备注：</w:t>
      </w:r>
    </w:p>
    <w:p w14:paraId="39BD93D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合同履约期限：标项 1，</w:t>
      </w:r>
      <w:r>
        <w:rPr>
          <w:rFonts w:hint="eastAsia" w:ascii="新宋体" w:hAnsi="新宋体" w:eastAsia="新宋体" w:cs="新宋体"/>
          <w:b w:val="0"/>
          <w:bCs w:val="0"/>
          <w:color w:val="auto"/>
          <w:sz w:val="22"/>
          <w:szCs w:val="22"/>
          <w:highlight w:val="none"/>
          <w:lang w:val="en-US" w:eastAsia="zh-CN"/>
        </w:rPr>
        <w:t>具体</w:t>
      </w:r>
      <w:r>
        <w:rPr>
          <w:rFonts w:hint="eastAsia" w:ascii="新宋体" w:hAnsi="新宋体" w:eastAsia="新宋体" w:cs="新宋体"/>
          <w:b w:val="0"/>
          <w:bCs w:val="0"/>
          <w:color w:val="auto"/>
          <w:sz w:val="22"/>
          <w:szCs w:val="22"/>
          <w:highlight w:val="none"/>
        </w:rPr>
        <w:t>详见招标文件</w:t>
      </w:r>
    </w:p>
    <w:p w14:paraId="2A312D8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本项目（</w:t>
      </w:r>
      <w:r>
        <w:rPr>
          <w:rFonts w:hint="eastAsia" w:ascii="新宋体" w:hAnsi="新宋体" w:eastAsia="新宋体" w:cs="新宋体"/>
          <w:b w:val="0"/>
          <w:bCs w:val="0"/>
          <w:color w:val="auto"/>
          <w:sz w:val="22"/>
          <w:szCs w:val="22"/>
          <w:highlight w:val="none"/>
          <w:lang w:val="en-US" w:eastAsia="zh-CN"/>
        </w:rPr>
        <w:t>是</w:t>
      </w:r>
      <w:r>
        <w:rPr>
          <w:rFonts w:hint="eastAsia" w:ascii="新宋体" w:hAnsi="新宋体" w:eastAsia="新宋体" w:cs="新宋体"/>
          <w:b w:val="0"/>
          <w:bCs w:val="0"/>
          <w:color w:val="auto"/>
          <w:sz w:val="22"/>
          <w:szCs w:val="22"/>
          <w:highlight w:val="none"/>
        </w:rPr>
        <w:t>）接受联合体投标。</w:t>
      </w:r>
    </w:p>
    <w:p w14:paraId="21E4A5A0">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二、申请人的资格要求</w:t>
      </w:r>
    </w:p>
    <w:p w14:paraId="2D7830B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1.满足《中华人民共和国政府采购法》第二十二条规定；未被“信用中国”（www.creditchina.gov.cn）、中国政府采购网（www.ccgp.gov.cn）列入失信被执行人、重大税收违法案件当事人名单、政府采购严重违法失信行为记录名单。</w:t>
      </w:r>
    </w:p>
    <w:p w14:paraId="5987E2C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default"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2.落实政府采购政策需满足的资格要求：标项1：</w:t>
      </w:r>
      <w:r>
        <w:rPr>
          <w:rFonts w:hint="eastAsia" w:ascii="新宋体" w:hAnsi="新宋体" w:eastAsia="新宋体" w:cs="新宋体"/>
          <w:b w:val="0"/>
          <w:bCs w:val="0"/>
          <w:color w:val="auto"/>
          <w:sz w:val="22"/>
          <w:szCs w:val="22"/>
          <w:highlight w:val="none"/>
          <w:lang w:val="en-US" w:eastAsia="zh-CN"/>
        </w:rPr>
        <w:t>本项目专门面向中小企业，提供中小企业声明函</w:t>
      </w:r>
    </w:p>
    <w:p w14:paraId="43BE2A5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3.本项目的特定资格要求：无</w:t>
      </w:r>
    </w:p>
    <w:p w14:paraId="6A58BD8F">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三、获取招标文件</w:t>
      </w:r>
    </w:p>
    <w:p w14:paraId="7AC51F04">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时间：</w:t>
      </w:r>
      <w:r>
        <w:rPr>
          <w:rFonts w:hint="eastAsia" w:ascii="新宋体" w:hAnsi="新宋体" w:eastAsia="新宋体" w:cs="新宋体"/>
          <w:b w:val="0"/>
          <w:bCs w:val="0"/>
          <w:color w:val="auto"/>
          <w:sz w:val="22"/>
          <w:szCs w:val="22"/>
          <w:highlight w:val="none"/>
          <w:lang w:val="en-US" w:eastAsia="zh-CN"/>
        </w:rPr>
        <w:t>/</w:t>
      </w:r>
      <w:r>
        <w:rPr>
          <w:rFonts w:hint="eastAsia" w:ascii="新宋体" w:hAnsi="新宋体" w:eastAsia="新宋体" w:cs="新宋体"/>
          <w:b w:val="0"/>
          <w:bCs w:val="0"/>
          <w:color w:val="auto"/>
          <w:sz w:val="22"/>
          <w:szCs w:val="22"/>
          <w:highlight w:val="none"/>
        </w:rPr>
        <w:t>至</w:t>
      </w:r>
      <w:r>
        <w:rPr>
          <w:rFonts w:hint="eastAsia" w:ascii="新宋体" w:hAnsi="新宋体" w:eastAsia="新宋体" w:cs="新宋体"/>
          <w:b w:val="0"/>
          <w:bCs w:val="0"/>
          <w:color w:val="auto"/>
          <w:sz w:val="22"/>
          <w:szCs w:val="22"/>
          <w:highlight w:val="none"/>
          <w:lang w:eastAsia="zh-CN"/>
        </w:rPr>
        <w:t>2025年</w:t>
      </w:r>
      <w:r>
        <w:rPr>
          <w:rFonts w:hint="eastAsia" w:ascii="新宋体" w:hAnsi="新宋体" w:eastAsia="新宋体" w:cs="新宋体"/>
          <w:b w:val="0"/>
          <w:bCs w:val="0"/>
          <w:color w:val="auto"/>
          <w:sz w:val="22"/>
          <w:szCs w:val="22"/>
          <w:highlight w:val="none"/>
          <w:lang w:val="en-US" w:eastAsia="zh-CN"/>
        </w:rPr>
        <w:t>04</w:t>
      </w:r>
      <w:r>
        <w:rPr>
          <w:rFonts w:hint="eastAsia" w:ascii="新宋体" w:hAnsi="新宋体" w:eastAsia="新宋体" w:cs="新宋体"/>
          <w:b w:val="0"/>
          <w:bCs w:val="0"/>
          <w:color w:val="auto"/>
          <w:sz w:val="22"/>
          <w:szCs w:val="22"/>
          <w:highlight w:val="none"/>
          <w:lang w:eastAsia="zh-CN"/>
        </w:rPr>
        <w:t>月</w:t>
      </w:r>
      <w:r>
        <w:rPr>
          <w:rFonts w:hint="eastAsia" w:ascii="新宋体" w:hAnsi="新宋体" w:eastAsia="新宋体" w:cs="新宋体"/>
          <w:b w:val="0"/>
          <w:bCs w:val="0"/>
          <w:color w:val="auto"/>
          <w:sz w:val="22"/>
          <w:szCs w:val="22"/>
          <w:highlight w:val="none"/>
          <w:lang w:val="en-US" w:eastAsia="zh-CN"/>
        </w:rPr>
        <w:t>24</w:t>
      </w:r>
      <w:r>
        <w:rPr>
          <w:rFonts w:hint="eastAsia" w:ascii="新宋体" w:hAnsi="新宋体" w:eastAsia="新宋体" w:cs="新宋体"/>
          <w:b w:val="0"/>
          <w:bCs w:val="0"/>
          <w:color w:val="auto"/>
          <w:sz w:val="22"/>
          <w:szCs w:val="22"/>
          <w:highlight w:val="none"/>
          <w:lang w:eastAsia="zh-CN"/>
        </w:rPr>
        <w:t>日</w:t>
      </w:r>
      <w:r>
        <w:rPr>
          <w:rFonts w:hint="eastAsia" w:ascii="新宋体" w:hAnsi="新宋体" w:eastAsia="新宋体" w:cs="新宋体"/>
          <w:b w:val="0"/>
          <w:bCs w:val="0"/>
          <w:color w:val="auto"/>
          <w:sz w:val="22"/>
          <w:szCs w:val="22"/>
          <w:highlight w:val="none"/>
        </w:rPr>
        <w:t>，每天上午00</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00至12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00，下午12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00至23</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59（北京时间，法定节假日除外）</w:t>
      </w:r>
    </w:p>
    <w:p w14:paraId="524F683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地点：乐采云平台(https://www.lecaiyun.com/)线上</w:t>
      </w:r>
    </w:p>
    <w:p w14:paraId="4CF6EE5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方式：供应商乐采云平台https://www.lecaiyun.com/在线申请获取</w:t>
      </w:r>
      <w:r>
        <w:rPr>
          <w:rFonts w:hint="eastAsia" w:ascii="新宋体" w:hAnsi="新宋体" w:eastAsia="新宋体" w:cs="新宋体"/>
          <w:b w:val="0"/>
          <w:bCs w:val="0"/>
          <w:color w:val="auto"/>
          <w:sz w:val="22"/>
          <w:szCs w:val="22"/>
          <w:highlight w:val="none"/>
          <w:lang w:val="en-US" w:eastAsia="zh-CN"/>
        </w:rPr>
        <w:t>招标</w:t>
      </w:r>
      <w:r>
        <w:rPr>
          <w:rFonts w:hint="eastAsia" w:ascii="新宋体" w:hAnsi="新宋体" w:eastAsia="新宋体" w:cs="新宋体"/>
          <w:b w:val="0"/>
          <w:bCs w:val="0"/>
          <w:color w:val="auto"/>
          <w:sz w:val="22"/>
          <w:szCs w:val="22"/>
          <w:highlight w:val="none"/>
        </w:rPr>
        <w:t>文件</w:t>
      </w:r>
    </w:p>
    <w:p w14:paraId="1B6DA5AC">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售价（元）：0</w:t>
      </w:r>
    </w:p>
    <w:p w14:paraId="3E4716F1">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四、提交投标文件截止时间、开标时间和地点</w:t>
      </w:r>
    </w:p>
    <w:p w14:paraId="2485AA85">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提交投标文件截止时间：</w:t>
      </w:r>
      <w:r>
        <w:rPr>
          <w:rFonts w:hint="eastAsia" w:ascii="新宋体" w:hAnsi="新宋体" w:eastAsia="新宋体" w:cs="新宋体"/>
          <w:b w:val="0"/>
          <w:bCs w:val="0"/>
          <w:color w:val="auto"/>
          <w:sz w:val="22"/>
          <w:szCs w:val="22"/>
          <w:highlight w:val="none"/>
          <w:lang w:eastAsia="zh-CN"/>
        </w:rPr>
        <w:t>2025年</w:t>
      </w:r>
      <w:r>
        <w:rPr>
          <w:rFonts w:hint="eastAsia" w:ascii="新宋体" w:hAnsi="新宋体" w:eastAsia="新宋体" w:cs="新宋体"/>
          <w:b w:val="0"/>
          <w:bCs w:val="0"/>
          <w:color w:val="auto"/>
          <w:sz w:val="22"/>
          <w:szCs w:val="22"/>
          <w:highlight w:val="none"/>
          <w:lang w:val="en-US" w:eastAsia="zh-CN"/>
        </w:rPr>
        <w:t>04</w:t>
      </w:r>
      <w:r>
        <w:rPr>
          <w:rFonts w:hint="eastAsia" w:ascii="新宋体" w:hAnsi="新宋体" w:eastAsia="新宋体" w:cs="新宋体"/>
          <w:b w:val="0"/>
          <w:bCs w:val="0"/>
          <w:color w:val="auto"/>
          <w:sz w:val="22"/>
          <w:szCs w:val="22"/>
          <w:highlight w:val="none"/>
          <w:lang w:eastAsia="zh-CN"/>
        </w:rPr>
        <w:t>月</w:t>
      </w:r>
      <w:r>
        <w:rPr>
          <w:rFonts w:hint="eastAsia" w:ascii="新宋体" w:hAnsi="新宋体" w:eastAsia="新宋体" w:cs="新宋体"/>
          <w:b w:val="0"/>
          <w:bCs w:val="0"/>
          <w:color w:val="auto"/>
          <w:sz w:val="22"/>
          <w:szCs w:val="22"/>
          <w:highlight w:val="none"/>
          <w:lang w:val="en-US" w:eastAsia="zh-CN"/>
        </w:rPr>
        <w:t>24</w:t>
      </w:r>
      <w:r>
        <w:rPr>
          <w:rFonts w:hint="eastAsia" w:ascii="新宋体" w:hAnsi="新宋体" w:eastAsia="新宋体" w:cs="新宋体"/>
          <w:b w:val="0"/>
          <w:bCs w:val="0"/>
          <w:color w:val="auto"/>
          <w:sz w:val="22"/>
          <w:szCs w:val="22"/>
          <w:highlight w:val="none"/>
          <w:lang w:eastAsia="zh-CN"/>
        </w:rPr>
        <w:t>日</w:t>
      </w:r>
      <w:r>
        <w:rPr>
          <w:rFonts w:hint="eastAsia" w:ascii="新宋体" w:hAnsi="新宋体" w:eastAsia="新宋体" w:cs="新宋体"/>
          <w:b w:val="0"/>
          <w:bCs w:val="0"/>
          <w:color w:val="auto"/>
          <w:sz w:val="22"/>
          <w:szCs w:val="22"/>
          <w:highlight w:val="none"/>
          <w:lang w:val="en-US" w:eastAsia="zh-CN"/>
        </w:rPr>
        <w:t>09：30</w:t>
      </w:r>
      <w:r>
        <w:rPr>
          <w:rFonts w:hint="eastAsia" w:ascii="新宋体" w:hAnsi="新宋体" w:eastAsia="新宋体" w:cs="新宋体"/>
          <w:b w:val="0"/>
          <w:bCs w:val="0"/>
          <w:color w:val="auto"/>
          <w:sz w:val="22"/>
          <w:szCs w:val="22"/>
          <w:highlight w:val="none"/>
        </w:rPr>
        <w:t>（北京时间）</w:t>
      </w:r>
    </w:p>
    <w:p w14:paraId="323DD754">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投标地点（网址）：请登录乐采云投标客户端投标</w:t>
      </w:r>
    </w:p>
    <w:p w14:paraId="54ABB31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default"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开标时间：</w:t>
      </w:r>
      <w:r>
        <w:rPr>
          <w:rFonts w:hint="eastAsia" w:ascii="新宋体" w:hAnsi="新宋体" w:eastAsia="新宋体" w:cs="新宋体"/>
          <w:b w:val="0"/>
          <w:bCs w:val="0"/>
          <w:color w:val="auto"/>
          <w:sz w:val="22"/>
          <w:szCs w:val="22"/>
          <w:highlight w:val="none"/>
          <w:lang w:eastAsia="zh-CN"/>
        </w:rPr>
        <w:t>2025年</w:t>
      </w:r>
      <w:r>
        <w:rPr>
          <w:rFonts w:hint="eastAsia" w:ascii="新宋体" w:hAnsi="新宋体" w:eastAsia="新宋体" w:cs="新宋体"/>
          <w:b w:val="0"/>
          <w:bCs w:val="0"/>
          <w:color w:val="auto"/>
          <w:sz w:val="22"/>
          <w:szCs w:val="22"/>
          <w:highlight w:val="none"/>
          <w:lang w:val="en-US" w:eastAsia="zh-CN"/>
        </w:rPr>
        <w:t>04</w:t>
      </w:r>
      <w:r>
        <w:rPr>
          <w:rFonts w:hint="eastAsia" w:ascii="新宋体" w:hAnsi="新宋体" w:eastAsia="新宋体" w:cs="新宋体"/>
          <w:b w:val="0"/>
          <w:bCs w:val="0"/>
          <w:color w:val="auto"/>
          <w:sz w:val="22"/>
          <w:szCs w:val="22"/>
          <w:highlight w:val="none"/>
          <w:lang w:eastAsia="zh-CN"/>
        </w:rPr>
        <w:t>月</w:t>
      </w:r>
      <w:r>
        <w:rPr>
          <w:rFonts w:hint="eastAsia" w:ascii="新宋体" w:hAnsi="新宋体" w:eastAsia="新宋体" w:cs="新宋体"/>
          <w:b w:val="0"/>
          <w:bCs w:val="0"/>
          <w:color w:val="auto"/>
          <w:sz w:val="22"/>
          <w:szCs w:val="22"/>
          <w:highlight w:val="none"/>
          <w:lang w:val="en-US" w:eastAsia="zh-CN"/>
        </w:rPr>
        <w:t>24</w:t>
      </w:r>
      <w:r>
        <w:rPr>
          <w:rFonts w:hint="eastAsia" w:ascii="新宋体" w:hAnsi="新宋体" w:eastAsia="新宋体" w:cs="新宋体"/>
          <w:b w:val="0"/>
          <w:bCs w:val="0"/>
          <w:color w:val="auto"/>
          <w:sz w:val="22"/>
          <w:szCs w:val="22"/>
          <w:highlight w:val="none"/>
          <w:lang w:eastAsia="zh-CN"/>
        </w:rPr>
        <w:t>日</w:t>
      </w:r>
      <w:r>
        <w:rPr>
          <w:rFonts w:hint="eastAsia" w:ascii="新宋体" w:hAnsi="新宋体" w:eastAsia="新宋体" w:cs="新宋体"/>
          <w:b w:val="0"/>
          <w:bCs w:val="0"/>
          <w:color w:val="auto"/>
          <w:sz w:val="22"/>
          <w:szCs w:val="22"/>
          <w:highlight w:val="none"/>
          <w:lang w:val="en-US" w:eastAsia="zh-CN"/>
        </w:rPr>
        <w:t>09：30</w:t>
      </w:r>
    </w:p>
    <w:p w14:paraId="163160D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开标地点：</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https://www.lecaiyun.com/</w:t>
      </w:r>
      <w:r>
        <w:rPr>
          <w:rFonts w:hint="eastAsia" w:ascii="新宋体" w:hAnsi="新宋体" w:eastAsia="新宋体" w:cs="新宋体"/>
          <w:color w:val="auto"/>
          <w:sz w:val="22"/>
          <w:szCs w:val="22"/>
          <w:highlight w:val="none"/>
        </w:rPr>
        <w:t>）</w:t>
      </w:r>
    </w:p>
    <w:p w14:paraId="4CEF9FC7">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五、公告期限</w:t>
      </w:r>
    </w:p>
    <w:p w14:paraId="4BB43FA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自本公告发布之日起5个工作日。</w:t>
      </w:r>
    </w:p>
    <w:p w14:paraId="66D9CF63">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六、其他补充事宜</w:t>
      </w:r>
    </w:p>
    <w:p w14:paraId="3B32056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1</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本项目通过“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w:t>
      </w:r>
      <w:r>
        <w:rPr>
          <w:rFonts w:hint="eastAsia" w:ascii="新宋体" w:hAnsi="新宋体" w:eastAsia="新宋体" w:cs="新宋体"/>
          <w:b w:val="0"/>
          <w:bCs w:val="0"/>
          <w:color w:val="auto"/>
          <w:sz w:val="22"/>
          <w:szCs w:val="22"/>
          <w:highlight w:val="none"/>
          <w:lang w:eastAsia="zh-CN"/>
        </w:rPr>
        <w:t>https://www.lecaiyun.com/</w:t>
      </w:r>
      <w:r>
        <w:rPr>
          <w:rFonts w:hint="eastAsia" w:ascii="新宋体" w:hAnsi="新宋体" w:eastAsia="新宋体" w:cs="新宋体"/>
          <w:b w:val="0"/>
          <w:bCs w:val="0"/>
          <w:color w:val="auto"/>
          <w:sz w:val="22"/>
          <w:szCs w:val="22"/>
          <w:highlight w:val="none"/>
        </w:rPr>
        <w:t>）”实行在线投标响应（电子投标），供应商应先安装“</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电子交易客户端”，并按照本招标文件和“</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”的要求，通过“</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电子交易客户端”编制并加密投标文件。供应商未按规定加密的投标文件，“</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”将予以拒收。</w:t>
      </w:r>
    </w:p>
    <w:p w14:paraId="4677C5A1">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电子交易客户端”请自行前往“</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”进行下载；通过“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”参与在线投标时如遇平台技术问题详询95763。</w:t>
      </w:r>
    </w:p>
    <w:p w14:paraId="47C76D3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为确保网上操作合法、有效和安全，投标人应当在投标截止时间前完成在“</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”的身份认证，确保在电子投标过程中能够对相关数据电文进行加密和使用电子签章。使用“</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电子交易客户端”需要提前申领CA数字证书，申领流程请自行前往“</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”进行查阅；</w:t>
      </w:r>
    </w:p>
    <w:p w14:paraId="32921860">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3</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投标人应当在投标截止时间前，将生成的“电子加密投标文件”上传递交至“</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”。投标截止时间以后上传递交的投标文件将被“</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”拒收。</w:t>
      </w:r>
    </w:p>
    <w:p w14:paraId="7C158060">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4</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投标人在“</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完成“电子加密投标文件”的上传递交后，还可以在投标截止时间前递交以介质（U盘）存储的数据电文形式的“备份投标文件”，“备份投标文件”应当密封包装并在包装上标注投标项目名称、投标人名称并加盖公章。（可以（邮寄形式，建议顺丰）在投标截止时间前递交，并需招标代理机构确认是否收到）</w:t>
      </w:r>
    </w:p>
    <w:p w14:paraId="25B060D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5</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”上传递交的“电子加密投标文件”无法按时解密，投标人递交了备份投标文件的，以备份投标文件为依据，否则视为投标文件撤回。通过“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”上传递交的“电子加密投标文件”已按时解密的，“备份投标文件”自动失效。投标人仅递交备份投标文件的，投标无效。</w:t>
      </w:r>
    </w:p>
    <w:p w14:paraId="129EC61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6.</w:t>
      </w:r>
      <w:r>
        <w:rPr>
          <w:rFonts w:hint="eastAsia" w:ascii="新宋体" w:hAnsi="新宋体" w:eastAsia="新宋体" w:cs="新宋体"/>
          <w:b w:val="0"/>
          <w:bCs w:val="0"/>
          <w:color w:val="auto"/>
          <w:sz w:val="22"/>
          <w:szCs w:val="22"/>
          <w:highlight w:val="none"/>
        </w:rPr>
        <w:t>供应商认为招标文件使自己的权益受到损害的，可以自获取到招标文件之日（公告期限截止日之后获取到招标文件的，以公告期限截止日为准）起7个工作日内，且应当在投标截止时间之前以书面形式向招标人和招标代理机构提出质疑。质疑供应商对招标人、招标代理机构的答复不满意或者招标人、招标代理机构未在规定的时间内作出答复的，可以在答复期满后十五个工作日内向采购监督管理部门投诉。</w:t>
      </w:r>
    </w:p>
    <w:p w14:paraId="449056A6">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7.</w:t>
      </w:r>
      <w:r>
        <w:rPr>
          <w:rFonts w:hint="eastAsia" w:ascii="新宋体" w:hAnsi="新宋体" w:eastAsia="新宋体" w:cs="新宋体"/>
          <w:b w:val="0"/>
          <w:bCs w:val="0"/>
          <w:color w:val="auto"/>
          <w:sz w:val="22"/>
          <w:szCs w:val="22"/>
          <w:highlight w:val="none"/>
        </w:rPr>
        <w:t>书面质疑受理地点：</w:t>
      </w:r>
      <w:r>
        <w:rPr>
          <w:rFonts w:hint="eastAsia" w:ascii="新宋体" w:hAnsi="新宋体" w:eastAsia="新宋体" w:cs="新宋体"/>
          <w:b w:val="0"/>
          <w:bCs w:val="0"/>
          <w:color w:val="auto"/>
          <w:sz w:val="22"/>
          <w:szCs w:val="22"/>
          <w:highlight w:val="none"/>
          <w:lang w:eastAsia="zh-CN"/>
        </w:rPr>
        <w:t>温州市鹿城区南汇街道勤民路鹿城壹号18幢803室，</w:t>
      </w:r>
      <w:r>
        <w:rPr>
          <w:rFonts w:hint="eastAsia" w:ascii="新宋体" w:hAnsi="新宋体" w:eastAsia="新宋体" w:cs="新宋体"/>
          <w:b w:val="0"/>
          <w:bCs w:val="0"/>
          <w:color w:val="auto"/>
          <w:sz w:val="22"/>
          <w:szCs w:val="22"/>
          <w:highlight w:val="none"/>
        </w:rPr>
        <w:t>联系人：肖女士</w:t>
      </w:r>
    </w:p>
    <w:p w14:paraId="112DAC0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8.</w:t>
      </w:r>
      <w:r>
        <w:rPr>
          <w:rFonts w:hint="eastAsia" w:ascii="新宋体" w:hAnsi="新宋体" w:eastAsia="新宋体" w:cs="新宋体"/>
          <w:b w:val="0"/>
          <w:bCs w:val="0"/>
          <w:color w:val="auto"/>
          <w:sz w:val="22"/>
          <w:szCs w:val="22"/>
          <w:highlight w:val="none"/>
        </w:rPr>
        <w:t>本项目对符合财政扶持政策的中小企业（小型、微型）、监狱企业、残疾人福利性单位给予价格优惠扶持，执行节能产品政府强制采购和优先采购政策，执行环境标志产品政府优先采购政策。</w:t>
      </w:r>
    </w:p>
    <w:p w14:paraId="1DD349A2">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七、对本次采购提出询问，请按以下方式联系</w:t>
      </w:r>
    </w:p>
    <w:p w14:paraId="348ED18A">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招标人</w:t>
      </w:r>
      <w:r>
        <w:rPr>
          <w:rFonts w:hint="eastAsia" w:ascii="新宋体" w:hAnsi="新宋体" w:eastAsia="新宋体" w:cs="新宋体"/>
          <w:color w:val="auto"/>
          <w:sz w:val="22"/>
          <w:szCs w:val="22"/>
          <w:highlight w:val="none"/>
        </w:rPr>
        <w:t>信息</w:t>
      </w:r>
    </w:p>
    <w:p w14:paraId="12A378A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w:t>
      </w:r>
      <w:r>
        <w:rPr>
          <w:rFonts w:hint="eastAsia" w:ascii="新宋体" w:hAnsi="新宋体" w:eastAsia="新宋体" w:cs="新宋体"/>
          <w:color w:val="auto"/>
          <w:sz w:val="22"/>
          <w:szCs w:val="22"/>
          <w:highlight w:val="none"/>
          <w:lang w:eastAsia="zh-CN"/>
        </w:rPr>
        <w:t>温州市第七人民医院</w:t>
      </w:r>
    </w:p>
    <w:p w14:paraId="3500C2A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温州市瓯海区学士前路</w:t>
      </w:r>
    </w:p>
    <w:p w14:paraId="25ABE78C">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06C2CC9E">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项目联系人（询问）：王女士</w:t>
      </w:r>
    </w:p>
    <w:p w14:paraId="5C652D44">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项目联系方式（询问）：0577-8987015</w:t>
      </w:r>
      <w:r>
        <w:rPr>
          <w:rFonts w:hint="eastAsia" w:ascii="新宋体" w:hAnsi="新宋体" w:eastAsia="新宋体" w:cs="新宋体"/>
          <w:color w:val="auto"/>
          <w:sz w:val="22"/>
          <w:szCs w:val="22"/>
          <w:highlight w:val="none"/>
          <w:lang w:val="en-US" w:eastAsia="zh-CN"/>
        </w:rPr>
        <w:t>3</w:t>
      </w:r>
    </w:p>
    <w:p w14:paraId="337E05D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质疑联系人：王女士</w:t>
      </w:r>
    </w:p>
    <w:p w14:paraId="53108AB9">
      <w:pPr>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质疑联系方式：0577-8987015</w:t>
      </w:r>
      <w:r>
        <w:rPr>
          <w:rFonts w:hint="eastAsia" w:ascii="新宋体" w:hAnsi="新宋体" w:eastAsia="新宋体" w:cs="新宋体"/>
          <w:color w:val="auto"/>
          <w:sz w:val="22"/>
          <w:szCs w:val="22"/>
          <w:highlight w:val="none"/>
          <w:lang w:val="en-US" w:eastAsia="zh-CN"/>
        </w:rPr>
        <w:t>3</w:t>
      </w:r>
    </w:p>
    <w:p w14:paraId="5C3457C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招标</w:t>
      </w:r>
      <w:r>
        <w:rPr>
          <w:rFonts w:hint="eastAsia" w:ascii="新宋体" w:hAnsi="新宋体" w:eastAsia="新宋体" w:cs="新宋体"/>
          <w:color w:val="auto"/>
          <w:sz w:val="22"/>
          <w:szCs w:val="22"/>
          <w:highlight w:val="none"/>
        </w:rPr>
        <w:t>代理机构信息</w:t>
      </w:r>
    </w:p>
    <w:p w14:paraId="6CE95F4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w:t>
      </w:r>
      <w:bookmarkStart w:id="6" w:name="OLE_LINK12"/>
      <w:r>
        <w:rPr>
          <w:rFonts w:hint="eastAsia" w:ascii="新宋体" w:hAnsi="新宋体" w:eastAsia="新宋体" w:cs="新宋体"/>
          <w:color w:val="auto"/>
          <w:sz w:val="22"/>
          <w:szCs w:val="22"/>
          <w:highlight w:val="none"/>
        </w:rPr>
        <w:t>温州历程招标有限公司</w:t>
      </w:r>
    </w:p>
    <w:bookmarkEnd w:id="6"/>
    <w:p w14:paraId="13118156">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温州市鹿城区南汇街道勤民路鹿城壹号18幢803室</w:t>
      </w:r>
    </w:p>
    <w:p w14:paraId="30A4AD8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76AD2A2A">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w:t>
      </w:r>
      <w:bookmarkStart w:id="7" w:name="OLE_LINK13"/>
      <w:r>
        <w:rPr>
          <w:rFonts w:hint="eastAsia" w:ascii="新宋体" w:hAnsi="新宋体" w:eastAsia="新宋体" w:cs="新宋体"/>
          <w:color w:val="auto"/>
          <w:sz w:val="22"/>
          <w:szCs w:val="22"/>
          <w:highlight w:val="none"/>
        </w:rPr>
        <w:t>郑永强</w:t>
      </w:r>
    </w:p>
    <w:bookmarkEnd w:id="7"/>
    <w:p w14:paraId="1A33CB1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项目联系方式（询问）：13757727199</w:t>
      </w:r>
    </w:p>
    <w:p w14:paraId="28BDB25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质疑联系人：肖忠文</w:t>
      </w:r>
    </w:p>
    <w:p w14:paraId="5C5D6595">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质疑联系方式：0577-89887322</w:t>
      </w:r>
    </w:p>
    <w:p w14:paraId="66CF688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3.同级采购监督管理部门</w:t>
      </w:r>
    </w:p>
    <w:p w14:paraId="64D766B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称：温州市第七人民医院纪检监察室</w:t>
      </w:r>
    </w:p>
    <w:p w14:paraId="2D83B8C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温州市瓯海区学士前路</w:t>
      </w:r>
    </w:p>
    <w:p w14:paraId="41594B3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4088587C">
      <w:pPr>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联系人：</w:t>
      </w:r>
      <w:r>
        <w:rPr>
          <w:rFonts w:hint="eastAsia" w:ascii="新宋体" w:hAnsi="新宋体" w:eastAsia="新宋体" w:cs="新宋体"/>
          <w:color w:val="auto"/>
          <w:sz w:val="22"/>
          <w:szCs w:val="22"/>
          <w:highlight w:val="none"/>
          <w:lang w:val="en-US" w:eastAsia="zh-CN"/>
        </w:rPr>
        <w:t>/</w:t>
      </w:r>
    </w:p>
    <w:p w14:paraId="2E8C01C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监督投诉电话：0577-89870113</w:t>
      </w:r>
    </w:p>
    <w:p w14:paraId="3847B75C">
      <w:pPr>
        <w:keepNext w:val="0"/>
        <w:keepLines w:val="0"/>
        <w:pageBreakBefore w:val="0"/>
        <w:kinsoku/>
        <w:wordWrap/>
        <w:overflowPunct/>
        <w:topLinePunct w:val="0"/>
        <w:autoSpaceDE/>
        <w:autoSpaceDN/>
        <w:bidi w:val="0"/>
        <w:adjustRightInd/>
        <w:spacing w:line="460" w:lineRule="exact"/>
        <w:jc w:val="righ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sz w:val="22"/>
          <w:szCs w:val="22"/>
          <w:highlight w:val="none"/>
          <w:lang w:eastAsia="zh-CN"/>
        </w:rPr>
        <w:t>温州市第七人民医院</w:t>
      </w:r>
    </w:p>
    <w:p w14:paraId="37CC5FA6">
      <w:pPr>
        <w:keepNext w:val="0"/>
        <w:keepLines w:val="0"/>
        <w:pageBreakBefore w:val="0"/>
        <w:kinsoku/>
        <w:wordWrap/>
        <w:overflowPunct/>
        <w:topLinePunct w:val="0"/>
        <w:autoSpaceDE/>
        <w:autoSpaceDN/>
        <w:bidi w:val="0"/>
        <w:adjustRightInd/>
        <w:spacing w:line="460" w:lineRule="exact"/>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温州历程招标有限公司</w:t>
      </w:r>
    </w:p>
    <w:p w14:paraId="4FA98666">
      <w:pPr>
        <w:keepNext w:val="0"/>
        <w:keepLines w:val="0"/>
        <w:pageBreakBefore w:val="0"/>
        <w:tabs>
          <w:tab w:val="left" w:pos="360"/>
        </w:tabs>
        <w:kinsoku/>
        <w:wordWrap/>
        <w:overflowPunct/>
        <w:topLinePunct w:val="0"/>
        <w:autoSpaceDE/>
        <w:autoSpaceDN/>
        <w:bidi w:val="0"/>
        <w:adjustRightInd/>
        <w:spacing w:line="460" w:lineRule="exact"/>
        <w:ind w:firstLine="7920" w:firstLineChars="3600"/>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202</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年</w:t>
      </w:r>
      <w:r>
        <w:rPr>
          <w:rFonts w:hint="eastAsia" w:ascii="新宋体" w:hAnsi="新宋体" w:eastAsia="新宋体" w:cs="新宋体"/>
          <w:color w:val="auto"/>
          <w:sz w:val="22"/>
          <w:szCs w:val="22"/>
          <w:highlight w:val="none"/>
          <w:lang w:val="en-US" w:eastAsia="zh-CN"/>
        </w:rPr>
        <w:t>04</w:t>
      </w:r>
      <w:r>
        <w:rPr>
          <w:rFonts w:hint="eastAsia" w:ascii="新宋体" w:hAnsi="新宋体" w:eastAsia="新宋体" w:cs="新宋体"/>
          <w:color w:val="auto"/>
          <w:sz w:val="22"/>
          <w:szCs w:val="22"/>
          <w:highlight w:val="none"/>
        </w:rPr>
        <w:t>月</w:t>
      </w:r>
    </w:p>
    <w:p w14:paraId="207B5FE8">
      <w:pPr>
        <w:pStyle w:val="24"/>
        <w:spacing w:line="460" w:lineRule="exact"/>
        <w:ind w:left="602" w:hanging="602"/>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8" w:name="_Toc18754"/>
      <w:bookmarkStart w:id="9" w:name="_Toc20958"/>
      <w:bookmarkStart w:id="10" w:name="_Toc18429"/>
      <w:r>
        <w:rPr>
          <w:rFonts w:hint="eastAsia" w:ascii="新宋体" w:hAnsi="新宋体" w:eastAsia="新宋体" w:cs="新宋体"/>
          <w:b/>
          <w:color w:val="auto"/>
          <w:sz w:val="30"/>
          <w:highlight w:val="none"/>
        </w:rPr>
        <w:t>第一部分  投标人须知</w:t>
      </w:r>
      <w:bookmarkEnd w:id="8"/>
      <w:bookmarkEnd w:id="9"/>
      <w:bookmarkEnd w:id="10"/>
    </w:p>
    <w:p w14:paraId="1B236E68">
      <w:pPr>
        <w:keepNext/>
        <w:keepLines/>
        <w:shd w:val="clear" w:color="auto" w:fill="FFFFFF"/>
        <w:tabs>
          <w:tab w:val="left" w:pos="706"/>
        </w:tabs>
        <w:snapToGrid w:val="0"/>
        <w:spacing w:line="360" w:lineRule="auto"/>
        <w:jc w:val="center"/>
        <w:outlineLvl w:val="1"/>
        <w:rPr>
          <w:rFonts w:hint="eastAsia" w:ascii="新宋体" w:hAnsi="新宋体" w:eastAsia="新宋体" w:cs="新宋体"/>
          <w:b/>
          <w:bCs/>
          <w:color w:val="auto"/>
          <w:sz w:val="24"/>
          <w:highlight w:val="none"/>
        </w:rPr>
      </w:pPr>
      <w:bookmarkStart w:id="11" w:name="_Toc233618971"/>
      <w:bookmarkStart w:id="12" w:name="_Toc354996695"/>
      <w:bookmarkStart w:id="13" w:name="_Toc11091"/>
      <w:bookmarkStart w:id="14" w:name="_Toc22170"/>
      <w:bookmarkStart w:id="15" w:name="_Toc23775"/>
      <w:bookmarkStart w:id="16" w:name="_Toc33194387"/>
      <w:r>
        <w:rPr>
          <w:rFonts w:hint="eastAsia" w:ascii="新宋体" w:hAnsi="新宋体" w:eastAsia="新宋体" w:cs="新宋体"/>
          <w:b/>
          <w:bCs/>
          <w:color w:val="auto"/>
          <w:sz w:val="24"/>
          <w:highlight w:val="none"/>
        </w:rPr>
        <w:t>前 附 表</w:t>
      </w:r>
      <w:bookmarkEnd w:id="11"/>
      <w:bookmarkEnd w:id="12"/>
      <w:bookmarkEnd w:id="13"/>
      <w:bookmarkEnd w:id="14"/>
      <w:bookmarkEnd w:id="15"/>
      <w:bookmarkEnd w:id="16"/>
    </w:p>
    <w:tbl>
      <w:tblPr>
        <w:tblStyle w:val="55"/>
        <w:tblW w:w="966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51"/>
        <w:gridCol w:w="9114"/>
      </w:tblGrid>
      <w:tr w14:paraId="7E7288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8" w:space="0"/>
              <w:left w:val="single" w:color="000000" w:sz="8" w:space="0"/>
              <w:bottom w:val="single" w:color="000000" w:sz="2" w:space="0"/>
              <w:right w:val="single" w:color="000000" w:sz="2" w:space="0"/>
            </w:tcBorders>
            <w:vAlign w:val="center"/>
          </w:tcPr>
          <w:p w14:paraId="38B68539">
            <w:pPr>
              <w:snapToGrid w:val="0"/>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条款</w:t>
            </w:r>
          </w:p>
        </w:tc>
        <w:tc>
          <w:tcPr>
            <w:tcW w:w="9114" w:type="dxa"/>
            <w:tcBorders>
              <w:top w:val="single" w:color="000000" w:sz="8" w:space="0"/>
              <w:left w:val="single" w:color="000000" w:sz="2" w:space="0"/>
              <w:bottom w:val="single" w:color="000000" w:sz="2" w:space="0"/>
              <w:right w:val="single" w:color="000000" w:sz="8" w:space="0"/>
            </w:tcBorders>
            <w:vAlign w:val="center"/>
          </w:tcPr>
          <w:p w14:paraId="70F53397">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内容规定</w:t>
            </w:r>
          </w:p>
        </w:tc>
      </w:tr>
      <w:tr w14:paraId="43788A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4316" w:hRule="atLeast"/>
          <w:jc w:val="center"/>
        </w:trPr>
        <w:tc>
          <w:tcPr>
            <w:tcW w:w="551" w:type="dxa"/>
            <w:tcBorders>
              <w:top w:val="single" w:color="000000" w:sz="2" w:space="0"/>
              <w:left w:val="single" w:color="000000" w:sz="8" w:space="0"/>
              <w:bottom w:val="single" w:color="000000" w:sz="2" w:space="0"/>
              <w:right w:val="single" w:color="000000" w:sz="2" w:space="0"/>
            </w:tcBorders>
            <w:shd w:val="clear" w:color="auto" w:fill="auto"/>
            <w:vAlign w:val="center"/>
          </w:tcPr>
          <w:p w14:paraId="47006243">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w:t>
            </w:r>
          </w:p>
        </w:tc>
        <w:tc>
          <w:tcPr>
            <w:tcW w:w="9114" w:type="dxa"/>
            <w:tcBorders>
              <w:top w:val="single" w:color="000000" w:sz="2" w:space="0"/>
              <w:left w:val="single" w:color="000000" w:sz="2" w:space="0"/>
              <w:bottom w:val="single" w:color="000000" w:sz="2" w:space="0"/>
              <w:right w:val="single" w:color="000000" w:sz="8" w:space="0"/>
            </w:tcBorders>
            <w:shd w:val="clear" w:color="auto" w:fill="FFFFFF"/>
          </w:tcPr>
          <w:p w14:paraId="54435BCE">
            <w:pPr>
              <w:tabs>
                <w:tab w:val="left" w:pos="3780"/>
              </w:tabs>
              <w:snapToGrid w:val="0"/>
              <w:spacing w:line="460" w:lineRule="exact"/>
              <w:rPr>
                <w:rFonts w:hint="eastAsia" w:ascii="新宋体" w:hAnsi="新宋体" w:eastAsia="新宋体" w:cs="新宋体"/>
                <w:bCs/>
                <w:color w:val="auto"/>
                <w:sz w:val="22"/>
                <w:szCs w:val="22"/>
                <w:highlight w:val="none"/>
                <w:lang w:val="en-US" w:eastAsia="zh-CN"/>
              </w:rPr>
            </w:pPr>
            <w:r>
              <w:rPr>
                <w:rFonts w:hint="eastAsia" w:ascii="新宋体" w:hAnsi="新宋体" w:eastAsia="新宋体" w:cs="新宋体"/>
                <w:b/>
                <w:color w:val="auto"/>
                <w:sz w:val="22"/>
                <w:szCs w:val="22"/>
                <w:highlight w:val="none"/>
              </w:rPr>
              <w:t>一、项目名称：</w:t>
            </w:r>
            <w:bookmarkStart w:id="17" w:name="_Hlt75139851"/>
            <w:bookmarkEnd w:id="17"/>
            <w:r>
              <w:rPr>
                <w:rFonts w:hint="eastAsia" w:ascii="新宋体" w:hAnsi="新宋体" w:eastAsia="新宋体" w:cs="新宋体"/>
                <w:bCs/>
                <w:color w:val="auto"/>
                <w:sz w:val="22"/>
                <w:szCs w:val="22"/>
                <w:highlight w:val="none"/>
                <w:lang w:val="en-US" w:eastAsia="zh-CN"/>
              </w:rPr>
              <w:t>打印机外包服务</w:t>
            </w:r>
          </w:p>
          <w:p w14:paraId="2F88B700">
            <w:pPr>
              <w:spacing w:line="460" w:lineRule="exact"/>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二、采购内容：</w:t>
            </w:r>
          </w:p>
          <w:tbl>
            <w:tblPr>
              <w:tblStyle w:val="55"/>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6"/>
              <w:gridCol w:w="2347"/>
              <w:gridCol w:w="1351"/>
              <w:gridCol w:w="1775"/>
              <w:gridCol w:w="2444"/>
            </w:tblGrid>
            <w:tr w14:paraId="7C655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22" w:type="pct"/>
                  <w:tcBorders>
                    <w:tl2br w:val="nil"/>
                    <w:tr2bl w:val="nil"/>
                  </w:tcBorders>
                  <w:vAlign w:val="center"/>
                </w:tcPr>
                <w:p w14:paraId="7DB27F0E">
                  <w:pPr>
                    <w:tabs>
                      <w:tab w:val="left" w:pos="360"/>
                    </w:tabs>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项目</w:t>
                  </w:r>
                  <w:r>
                    <w:rPr>
                      <w:rFonts w:hint="eastAsia" w:ascii="新宋体" w:hAnsi="新宋体" w:eastAsia="新宋体" w:cs="新宋体"/>
                      <w:color w:val="auto"/>
                      <w:sz w:val="22"/>
                      <w:szCs w:val="22"/>
                      <w:highlight w:val="none"/>
                    </w:rPr>
                    <w:t>名称</w:t>
                  </w:r>
                </w:p>
              </w:tc>
              <w:tc>
                <w:tcPr>
                  <w:tcW w:w="1297" w:type="pct"/>
                  <w:tcBorders>
                    <w:tl2br w:val="nil"/>
                    <w:tr2bl w:val="nil"/>
                  </w:tcBorders>
                  <w:vAlign w:val="center"/>
                </w:tcPr>
                <w:p w14:paraId="017F39B4">
                  <w:pPr>
                    <w:tabs>
                      <w:tab w:val="left" w:pos="360"/>
                    </w:tabs>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项目内容</w:t>
                  </w:r>
                </w:p>
              </w:tc>
              <w:tc>
                <w:tcPr>
                  <w:tcW w:w="746" w:type="pct"/>
                  <w:tcBorders>
                    <w:tl2br w:val="nil"/>
                    <w:tr2bl w:val="nil"/>
                  </w:tcBorders>
                  <w:vAlign w:val="center"/>
                </w:tcPr>
                <w:p w14:paraId="6F84696F">
                  <w:pPr>
                    <w:tabs>
                      <w:tab w:val="left" w:pos="360"/>
                    </w:tabs>
                    <w:spacing w:line="460" w:lineRule="exact"/>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预估数量</w:t>
                  </w:r>
                </w:p>
              </w:tc>
              <w:tc>
                <w:tcPr>
                  <w:tcW w:w="981" w:type="pct"/>
                  <w:tcBorders>
                    <w:tl2br w:val="nil"/>
                    <w:tr2bl w:val="nil"/>
                  </w:tcBorders>
                  <w:vAlign w:val="center"/>
                </w:tcPr>
                <w:p w14:paraId="48FDCE40">
                  <w:pPr>
                    <w:spacing w:line="460" w:lineRule="exact"/>
                    <w:jc w:val="center"/>
                    <w:rPr>
                      <w:rFonts w:hint="default" w:ascii="新宋体" w:hAnsi="新宋体" w:eastAsia="新宋体" w:cs="新宋体"/>
                      <w:color w:val="auto"/>
                      <w:sz w:val="22"/>
                      <w:szCs w:val="22"/>
                      <w:highlight w:val="none"/>
                      <w:shd w:val="clear" w:color="auto" w:fill="FFFFFF"/>
                      <w:lang w:val="en-US" w:eastAsia="zh-CN"/>
                    </w:rPr>
                  </w:pPr>
                  <w:r>
                    <w:rPr>
                      <w:rFonts w:hint="eastAsia" w:ascii="新宋体" w:hAnsi="新宋体" w:eastAsia="新宋体" w:cs="新宋体"/>
                      <w:color w:val="auto"/>
                      <w:sz w:val="22"/>
                      <w:szCs w:val="22"/>
                      <w:highlight w:val="none"/>
                    </w:rPr>
                    <w:t>预算（元/年）</w:t>
                  </w:r>
                </w:p>
              </w:tc>
              <w:tc>
                <w:tcPr>
                  <w:tcW w:w="1351" w:type="pct"/>
                  <w:tcBorders>
                    <w:tl2br w:val="nil"/>
                    <w:tr2bl w:val="nil"/>
                  </w:tcBorders>
                  <w:vAlign w:val="center"/>
                </w:tcPr>
                <w:p w14:paraId="5993D312">
                  <w:pPr>
                    <w:widowControl/>
                    <w:snapToGrid w:val="0"/>
                    <w:spacing w:line="460" w:lineRule="exact"/>
                    <w:jc w:val="center"/>
                    <w:rPr>
                      <w:rFonts w:hint="eastAsia" w:ascii="新宋体" w:hAnsi="新宋体" w:eastAsia="新宋体" w:cs="新宋体"/>
                      <w:color w:val="auto"/>
                      <w:kern w:val="0"/>
                      <w:sz w:val="22"/>
                      <w:szCs w:val="22"/>
                      <w:highlight w:val="none"/>
                    </w:rPr>
                  </w:pPr>
                  <w:r>
                    <w:rPr>
                      <w:rFonts w:hint="eastAsia" w:ascii="宋体" w:hAnsi="宋体" w:cs="宋体"/>
                      <w:b/>
                      <w:bCs/>
                      <w:color w:val="auto"/>
                      <w:kern w:val="0"/>
                      <w:sz w:val="22"/>
                      <w:szCs w:val="22"/>
                      <w:highlight w:val="none"/>
                    </w:rPr>
                    <w:t>简要技术要求、用途</w:t>
                  </w:r>
                </w:p>
              </w:tc>
            </w:tr>
            <w:tr w14:paraId="6AA8F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22" w:type="pct"/>
                  <w:vMerge w:val="restart"/>
                  <w:tcBorders>
                    <w:tl2br w:val="nil"/>
                    <w:tr2bl w:val="nil"/>
                  </w:tcBorders>
                  <w:vAlign w:val="center"/>
                </w:tcPr>
                <w:p w14:paraId="7D975383">
                  <w:pPr>
                    <w:tabs>
                      <w:tab w:val="left" w:pos="360"/>
                    </w:tabs>
                    <w:spacing w:line="460" w:lineRule="exact"/>
                    <w:jc w:val="center"/>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highlight w:val="none"/>
                      <w:lang w:eastAsia="zh-CN"/>
                    </w:rPr>
                    <w:t>打印机外包服务</w:t>
                  </w:r>
                </w:p>
              </w:tc>
              <w:tc>
                <w:tcPr>
                  <w:tcW w:w="1297" w:type="pct"/>
                  <w:tcBorders>
                    <w:tl2br w:val="nil"/>
                    <w:tr2bl w:val="nil"/>
                  </w:tcBorders>
                  <w:vAlign w:val="center"/>
                </w:tcPr>
                <w:p w14:paraId="14BD5FBD">
                  <w:pPr>
                    <w:spacing w:line="460" w:lineRule="exact"/>
                    <w:jc w:val="center"/>
                    <w:rPr>
                      <w:rFonts w:hint="eastAsia" w:ascii="新宋体" w:hAnsi="新宋体" w:eastAsia="新宋体" w:cs="新宋体"/>
                      <w:color w:val="auto"/>
                      <w:sz w:val="22"/>
                      <w:highlight w:val="none"/>
                      <w:lang w:eastAsia="zh-CN"/>
                    </w:rPr>
                  </w:pPr>
                  <w:r>
                    <w:rPr>
                      <w:rFonts w:hint="eastAsia" w:ascii="新宋体" w:hAnsi="新宋体" w:eastAsia="新宋体" w:cs="新宋体"/>
                      <w:color w:val="auto"/>
                      <w:sz w:val="22"/>
                      <w:szCs w:val="22"/>
                      <w:highlight w:val="none"/>
                    </w:rPr>
                    <w:t>常规打印机外包服务</w:t>
                  </w:r>
                </w:p>
              </w:tc>
              <w:tc>
                <w:tcPr>
                  <w:tcW w:w="746" w:type="pct"/>
                  <w:tcBorders>
                    <w:tl2br w:val="nil"/>
                    <w:tr2bl w:val="nil"/>
                  </w:tcBorders>
                  <w:vAlign w:val="center"/>
                </w:tcPr>
                <w:p w14:paraId="11263DD7">
                  <w:pPr>
                    <w:tabs>
                      <w:tab w:val="left" w:pos="360"/>
                    </w:tabs>
                    <w:spacing w:line="460" w:lineRule="exact"/>
                    <w:jc w:val="center"/>
                    <w:rPr>
                      <w:rFonts w:hint="default" w:ascii="新宋体" w:hAnsi="新宋体" w:eastAsia="新宋体" w:cs="新宋体"/>
                      <w:color w:val="auto"/>
                      <w:sz w:val="22"/>
                      <w:highlight w:val="none"/>
                      <w:lang w:val="en-US" w:eastAsia="zh-CN"/>
                    </w:rPr>
                  </w:pPr>
                  <w:r>
                    <w:rPr>
                      <w:rFonts w:hint="eastAsia" w:ascii="新宋体" w:hAnsi="新宋体" w:eastAsia="新宋体" w:cs="新宋体"/>
                      <w:color w:val="auto"/>
                      <w:sz w:val="22"/>
                      <w:highlight w:val="none"/>
                      <w:lang w:val="en-US" w:eastAsia="zh-CN"/>
                    </w:rPr>
                    <w:t>1项</w:t>
                  </w:r>
                </w:p>
              </w:tc>
              <w:tc>
                <w:tcPr>
                  <w:tcW w:w="981" w:type="pct"/>
                  <w:tcBorders>
                    <w:tl2br w:val="nil"/>
                    <w:tr2bl w:val="nil"/>
                  </w:tcBorders>
                  <w:vAlign w:val="center"/>
                </w:tcPr>
                <w:p w14:paraId="06447D1E">
                  <w:pPr>
                    <w:spacing w:line="460" w:lineRule="exact"/>
                    <w:jc w:val="center"/>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170000</w:t>
                  </w:r>
                  <w:r>
                    <w:rPr>
                      <w:rFonts w:hint="eastAsia" w:ascii="新宋体" w:hAnsi="新宋体" w:eastAsia="新宋体" w:cs="新宋体"/>
                      <w:color w:val="auto"/>
                      <w:sz w:val="22"/>
                      <w:szCs w:val="22"/>
                      <w:highlight w:val="none"/>
                      <w:lang w:val="en-US" w:eastAsia="zh-CN"/>
                    </w:rPr>
                    <w:t>.00</w:t>
                  </w:r>
                </w:p>
              </w:tc>
              <w:tc>
                <w:tcPr>
                  <w:tcW w:w="1351" w:type="pct"/>
                  <w:vMerge w:val="restart"/>
                  <w:tcBorders>
                    <w:tl2br w:val="nil"/>
                    <w:tr2bl w:val="nil"/>
                  </w:tcBorders>
                  <w:vAlign w:val="center"/>
                </w:tcPr>
                <w:p w14:paraId="25895E07">
                  <w:pPr>
                    <w:shd w:val="clear" w:color="auto" w:fill="FFFFFF"/>
                    <w:snapToGrid w:val="0"/>
                    <w:spacing w:line="460" w:lineRule="exact"/>
                    <w:jc w:val="center"/>
                    <w:rPr>
                      <w:rFonts w:hint="eastAsia" w:ascii="新宋体" w:hAnsi="新宋体" w:eastAsia="新宋体" w:cs="新宋体"/>
                      <w:color w:val="auto"/>
                      <w:sz w:val="22"/>
                      <w:szCs w:val="22"/>
                      <w:highlight w:val="none"/>
                      <w:lang w:val="en-US" w:eastAsia="zh-CN"/>
                    </w:rPr>
                  </w:pPr>
                  <w:r>
                    <w:rPr>
                      <w:rFonts w:hint="eastAsia" w:ascii="宋体" w:hAnsi="宋体" w:cs="宋体"/>
                      <w:color w:val="auto"/>
                      <w:sz w:val="22"/>
                      <w:szCs w:val="22"/>
                      <w:highlight w:val="none"/>
                    </w:rPr>
                    <w:t>详见招标文件“项目技术规范和服务要求”</w:t>
                  </w:r>
                </w:p>
              </w:tc>
            </w:tr>
            <w:tr w14:paraId="44C65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22" w:type="pct"/>
                  <w:vMerge w:val="continue"/>
                  <w:tcBorders>
                    <w:tl2br w:val="nil"/>
                    <w:tr2bl w:val="nil"/>
                  </w:tcBorders>
                  <w:vAlign w:val="center"/>
                </w:tcPr>
                <w:p w14:paraId="082409D1">
                  <w:pPr>
                    <w:tabs>
                      <w:tab w:val="left" w:pos="360"/>
                    </w:tabs>
                    <w:spacing w:line="460" w:lineRule="exact"/>
                    <w:jc w:val="center"/>
                    <w:rPr>
                      <w:rFonts w:hint="eastAsia" w:ascii="新宋体" w:hAnsi="新宋体" w:eastAsia="新宋体" w:cs="新宋体"/>
                      <w:bCs/>
                      <w:color w:val="auto"/>
                      <w:sz w:val="22"/>
                      <w:szCs w:val="22"/>
                      <w:highlight w:val="none"/>
                    </w:rPr>
                  </w:pPr>
                </w:p>
              </w:tc>
              <w:tc>
                <w:tcPr>
                  <w:tcW w:w="1297" w:type="pct"/>
                  <w:tcBorders>
                    <w:tl2br w:val="nil"/>
                    <w:tr2bl w:val="nil"/>
                  </w:tcBorders>
                  <w:vAlign w:val="center"/>
                </w:tcPr>
                <w:p w14:paraId="5AD63AB1">
                  <w:pPr>
                    <w:spacing w:line="460" w:lineRule="exact"/>
                    <w:jc w:val="center"/>
                    <w:rPr>
                      <w:rFonts w:hint="eastAsia" w:ascii="新宋体" w:hAnsi="新宋体" w:eastAsia="新宋体" w:cs="新宋体"/>
                      <w:color w:val="auto"/>
                      <w:sz w:val="22"/>
                      <w:highlight w:val="none"/>
                      <w:lang w:val="en-US" w:eastAsia="zh-CN"/>
                    </w:rPr>
                  </w:pPr>
                  <w:r>
                    <w:rPr>
                      <w:rFonts w:hint="eastAsia" w:ascii="新宋体" w:hAnsi="新宋体" w:eastAsia="新宋体" w:cs="新宋体"/>
                      <w:color w:val="auto"/>
                      <w:sz w:val="22"/>
                      <w:szCs w:val="22"/>
                      <w:highlight w:val="none"/>
                    </w:rPr>
                    <w:t>超额打印机外包服务</w:t>
                  </w:r>
                </w:p>
              </w:tc>
              <w:tc>
                <w:tcPr>
                  <w:tcW w:w="746" w:type="pct"/>
                  <w:tcBorders>
                    <w:tl2br w:val="nil"/>
                    <w:tr2bl w:val="nil"/>
                  </w:tcBorders>
                  <w:vAlign w:val="center"/>
                </w:tcPr>
                <w:p w14:paraId="1727A10C">
                  <w:pPr>
                    <w:tabs>
                      <w:tab w:val="left" w:pos="360"/>
                    </w:tabs>
                    <w:spacing w:line="460" w:lineRule="exact"/>
                    <w:jc w:val="center"/>
                    <w:rPr>
                      <w:rFonts w:hint="default" w:ascii="新宋体" w:hAnsi="新宋体" w:eastAsia="新宋体" w:cs="新宋体"/>
                      <w:color w:val="auto"/>
                      <w:sz w:val="22"/>
                      <w:highlight w:val="none"/>
                      <w:lang w:val="en-US" w:eastAsia="zh-CN"/>
                    </w:rPr>
                  </w:pPr>
                  <w:r>
                    <w:rPr>
                      <w:rFonts w:hint="eastAsia" w:ascii="新宋体" w:hAnsi="新宋体" w:eastAsia="新宋体" w:cs="新宋体"/>
                      <w:color w:val="auto"/>
                      <w:sz w:val="22"/>
                      <w:highlight w:val="none"/>
                      <w:lang w:val="en-US" w:eastAsia="zh-CN"/>
                    </w:rPr>
                    <w:t>1项</w:t>
                  </w:r>
                </w:p>
              </w:tc>
              <w:tc>
                <w:tcPr>
                  <w:tcW w:w="981" w:type="pct"/>
                  <w:tcBorders>
                    <w:tl2br w:val="nil"/>
                    <w:tr2bl w:val="nil"/>
                  </w:tcBorders>
                  <w:vAlign w:val="center"/>
                </w:tcPr>
                <w:p w14:paraId="071E7231">
                  <w:pPr>
                    <w:spacing w:line="460" w:lineRule="exact"/>
                    <w:jc w:val="center"/>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20000</w:t>
                  </w:r>
                  <w:r>
                    <w:rPr>
                      <w:rFonts w:hint="eastAsia" w:ascii="新宋体" w:hAnsi="新宋体" w:eastAsia="新宋体" w:cs="新宋体"/>
                      <w:color w:val="auto"/>
                      <w:sz w:val="22"/>
                      <w:szCs w:val="22"/>
                      <w:highlight w:val="none"/>
                      <w:lang w:val="en-US" w:eastAsia="zh-CN"/>
                    </w:rPr>
                    <w:t>.00</w:t>
                  </w:r>
                </w:p>
              </w:tc>
              <w:tc>
                <w:tcPr>
                  <w:tcW w:w="1351" w:type="pct"/>
                  <w:vMerge w:val="continue"/>
                  <w:tcBorders>
                    <w:tl2br w:val="nil"/>
                    <w:tr2bl w:val="nil"/>
                  </w:tcBorders>
                  <w:vAlign w:val="center"/>
                </w:tcPr>
                <w:p w14:paraId="67D1520E">
                  <w:pPr>
                    <w:shd w:val="clear" w:color="auto" w:fill="FFFFFF"/>
                    <w:snapToGrid w:val="0"/>
                    <w:spacing w:line="460" w:lineRule="exact"/>
                    <w:jc w:val="center"/>
                    <w:rPr>
                      <w:rFonts w:hint="eastAsia" w:ascii="新宋体" w:hAnsi="新宋体" w:eastAsia="新宋体" w:cs="新宋体"/>
                      <w:color w:val="auto"/>
                      <w:sz w:val="22"/>
                      <w:szCs w:val="22"/>
                      <w:highlight w:val="none"/>
                    </w:rPr>
                  </w:pPr>
                </w:p>
              </w:tc>
            </w:tr>
            <w:tr w14:paraId="548DD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67" w:type="pct"/>
                  <w:gridSpan w:val="3"/>
                  <w:tcBorders>
                    <w:tl2br w:val="nil"/>
                    <w:tr2bl w:val="nil"/>
                  </w:tcBorders>
                  <w:vAlign w:val="center"/>
                </w:tcPr>
                <w:p w14:paraId="59BA3892">
                  <w:pPr>
                    <w:tabs>
                      <w:tab w:val="left" w:pos="360"/>
                    </w:tabs>
                    <w:spacing w:line="460" w:lineRule="exact"/>
                    <w:jc w:val="center"/>
                    <w:rPr>
                      <w:rFonts w:hint="default" w:ascii="新宋体" w:hAnsi="新宋体" w:eastAsia="新宋体" w:cs="新宋体"/>
                      <w:color w:val="auto"/>
                      <w:sz w:val="22"/>
                      <w:highlight w:val="none"/>
                      <w:lang w:val="en-US" w:eastAsia="zh-CN"/>
                    </w:rPr>
                  </w:pPr>
                  <w:r>
                    <w:rPr>
                      <w:rFonts w:hint="eastAsia" w:ascii="新宋体" w:hAnsi="新宋体" w:eastAsia="新宋体" w:cs="新宋体"/>
                      <w:color w:val="auto"/>
                      <w:sz w:val="22"/>
                      <w:highlight w:val="none"/>
                      <w:lang w:val="en-US" w:eastAsia="zh-CN"/>
                    </w:rPr>
                    <w:t>合计</w:t>
                  </w:r>
                </w:p>
              </w:tc>
              <w:tc>
                <w:tcPr>
                  <w:tcW w:w="981" w:type="pct"/>
                  <w:tcBorders>
                    <w:tl2br w:val="nil"/>
                    <w:tr2bl w:val="nil"/>
                  </w:tcBorders>
                  <w:vAlign w:val="center"/>
                </w:tcPr>
                <w:p w14:paraId="1BD141E3">
                  <w:pPr>
                    <w:spacing w:line="460" w:lineRule="exact"/>
                    <w:jc w:val="center"/>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190000.00</w:t>
                  </w:r>
                </w:p>
              </w:tc>
              <w:tc>
                <w:tcPr>
                  <w:tcW w:w="1351" w:type="pct"/>
                  <w:vMerge w:val="continue"/>
                  <w:tcBorders>
                    <w:tl2br w:val="nil"/>
                    <w:tr2bl w:val="nil"/>
                  </w:tcBorders>
                  <w:vAlign w:val="center"/>
                </w:tcPr>
                <w:p w14:paraId="205B7633">
                  <w:pPr>
                    <w:spacing w:line="460" w:lineRule="exact"/>
                    <w:jc w:val="center"/>
                    <w:rPr>
                      <w:rFonts w:hint="eastAsia" w:ascii="新宋体" w:hAnsi="新宋体" w:eastAsia="新宋体" w:cs="新宋体"/>
                      <w:color w:val="auto"/>
                      <w:sz w:val="22"/>
                      <w:szCs w:val="22"/>
                      <w:highlight w:val="none"/>
                      <w:lang w:val="en-US" w:eastAsia="zh-CN"/>
                    </w:rPr>
                  </w:pPr>
                </w:p>
              </w:tc>
            </w:tr>
          </w:tbl>
          <w:p w14:paraId="0DD45C1F">
            <w:pPr>
              <w:tabs>
                <w:tab w:val="left" w:pos="360"/>
              </w:tabs>
              <w:spacing w:line="44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b/>
                <w:color w:val="auto"/>
                <w:sz w:val="22"/>
                <w:szCs w:val="22"/>
                <w:highlight w:val="none"/>
              </w:rPr>
              <w:t>如投标人报价超过</w:t>
            </w:r>
            <w:r>
              <w:rPr>
                <w:rFonts w:hint="eastAsia" w:ascii="新宋体" w:hAnsi="新宋体" w:eastAsia="新宋体" w:cs="新宋体"/>
                <w:b/>
                <w:color w:val="auto"/>
                <w:sz w:val="22"/>
                <w:szCs w:val="22"/>
                <w:highlight w:val="none"/>
                <w:lang w:val="en-US" w:eastAsia="zh-CN"/>
              </w:rPr>
              <w:t>预算金额</w:t>
            </w:r>
            <w:r>
              <w:rPr>
                <w:rFonts w:hint="eastAsia" w:ascii="新宋体" w:hAnsi="新宋体" w:eastAsia="新宋体" w:cs="新宋体"/>
                <w:b/>
                <w:color w:val="auto"/>
                <w:sz w:val="22"/>
                <w:szCs w:val="22"/>
                <w:highlight w:val="none"/>
              </w:rPr>
              <w:t>按无效标处理。</w:t>
            </w:r>
          </w:p>
          <w:p w14:paraId="1BEE41F8">
            <w:pPr>
              <w:tabs>
                <w:tab w:val="left" w:pos="360"/>
              </w:tabs>
              <w:spacing w:line="44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三、</w:t>
            </w:r>
            <w:r>
              <w:rPr>
                <w:rFonts w:hint="eastAsia" w:ascii="新宋体" w:hAnsi="新宋体" w:eastAsia="新宋体" w:cs="新宋体"/>
                <w:b/>
                <w:bCs/>
                <w:color w:val="auto"/>
                <w:sz w:val="22"/>
                <w:szCs w:val="22"/>
                <w:highlight w:val="none"/>
              </w:rPr>
              <w:t>本项目</w:t>
            </w:r>
            <w:r>
              <w:rPr>
                <w:rFonts w:hint="eastAsia" w:ascii="新宋体" w:hAnsi="新宋体" w:eastAsia="新宋体" w:cs="新宋体"/>
                <w:b/>
                <w:bCs/>
                <w:color w:val="auto"/>
                <w:sz w:val="22"/>
                <w:szCs w:val="22"/>
                <w:highlight w:val="none"/>
                <w:lang w:val="en-US" w:eastAsia="zh-CN"/>
              </w:rPr>
              <w:t>（是）</w:t>
            </w:r>
            <w:r>
              <w:rPr>
                <w:rFonts w:hint="eastAsia" w:ascii="新宋体" w:hAnsi="新宋体" w:eastAsia="新宋体" w:cs="新宋体"/>
                <w:b/>
                <w:bCs/>
                <w:color w:val="auto"/>
                <w:sz w:val="22"/>
                <w:szCs w:val="22"/>
                <w:highlight w:val="none"/>
              </w:rPr>
              <w:t>接受联合体投标</w:t>
            </w:r>
            <w:r>
              <w:rPr>
                <w:rFonts w:hint="eastAsia" w:ascii="新宋体" w:hAnsi="新宋体" w:eastAsia="新宋体" w:cs="新宋体"/>
                <w:b/>
                <w:bCs/>
                <w:color w:val="auto"/>
                <w:sz w:val="22"/>
                <w:szCs w:val="22"/>
                <w:highlight w:val="none"/>
                <w:lang w:eastAsia="zh-CN"/>
              </w:rPr>
              <w:t>，</w:t>
            </w:r>
            <w:r>
              <w:rPr>
                <w:rFonts w:hint="eastAsia" w:ascii="新宋体" w:hAnsi="新宋体" w:eastAsia="新宋体" w:cs="新宋体"/>
                <w:b/>
                <w:bCs/>
                <w:color w:val="auto"/>
                <w:sz w:val="22"/>
                <w:szCs w:val="22"/>
                <w:highlight w:val="none"/>
              </w:rPr>
              <w:t>组成的联合体须满足：①出具联合体共同投标协议书（须明确牵头人）；②以联合体形式参加采购活动的，联合体各方不得再单独参加或者与其他供应商另外组成联合体参加同一合同项下的采购活动</w:t>
            </w:r>
            <w:r>
              <w:rPr>
                <w:rFonts w:hint="eastAsia" w:ascii="新宋体" w:hAnsi="新宋体" w:eastAsia="新宋体" w:cs="新宋体"/>
                <w:b/>
                <w:bCs/>
                <w:color w:val="auto"/>
                <w:sz w:val="22"/>
                <w:szCs w:val="22"/>
                <w:highlight w:val="none"/>
                <w:lang w:eastAsia="zh-CN"/>
              </w:rPr>
              <w:t>；③</w:t>
            </w:r>
            <w:r>
              <w:rPr>
                <w:rFonts w:hint="eastAsia" w:ascii="新宋体" w:hAnsi="新宋体" w:eastAsia="新宋体" w:cs="新宋体"/>
                <w:b/>
                <w:bCs/>
                <w:color w:val="auto"/>
                <w:sz w:val="22"/>
                <w:szCs w:val="22"/>
                <w:highlight w:val="none"/>
                <w:lang w:val="en-US" w:eastAsia="zh-CN"/>
              </w:rPr>
              <w:t>联合体组成成员（含牵头人）不得超过2家。</w:t>
            </w:r>
          </w:p>
        </w:tc>
      </w:tr>
      <w:tr w14:paraId="44C2E1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6F2F7A4F">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w:t>
            </w:r>
          </w:p>
        </w:tc>
        <w:tc>
          <w:tcPr>
            <w:tcW w:w="9114" w:type="dxa"/>
            <w:tcBorders>
              <w:top w:val="single" w:color="000000" w:sz="2" w:space="0"/>
              <w:left w:val="single" w:color="000000" w:sz="2" w:space="0"/>
              <w:bottom w:val="single" w:color="000000" w:sz="2" w:space="0"/>
              <w:right w:val="single" w:color="000000" w:sz="8" w:space="0"/>
            </w:tcBorders>
            <w:vAlign w:val="center"/>
          </w:tcPr>
          <w:p w14:paraId="1E7B0244">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zh-CN"/>
              </w:rPr>
              <w:t>投标</w:t>
            </w:r>
            <w:r>
              <w:rPr>
                <w:rFonts w:hint="eastAsia" w:ascii="新宋体" w:hAnsi="新宋体" w:eastAsia="新宋体" w:cs="新宋体"/>
                <w:b/>
                <w:bCs/>
                <w:color w:val="auto"/>
                <w:sz w:val="22"/>
                <w:szCs w:val="22"/>
                <w:highlight w:val="none"/>
              </w:rPr>
              <w:t>有效期：</w:t>
            </w:r>
            <w:r>
              <w:rPr>
                <w:rFonts w:hint="eastAsia" w:ascii="新宋体" w:hAnsi="新宋体" w:eastAsia="新宋体" w:cs="新宋体"/>
                <w:color w:val="auto"/>
                <w:sz w:val="22"/>
                <w:szCs w:val="22"/>
                <w:highlight w:val="none"/>
              </w:rPr>
              <w:t>自投标截止日起</w:t>
            </w:r>
            <w:r>
              <w:rPr>
                <w:rFonts w:hint="eastAsia" w:ascii="新宋体" w:hAnsi="新宋体" w:eastAsia="新宋体" w:cs="新宋体"/>
                <w:color w:val="auto"/>
                <w:sz w:val="22"/>
                <w:szCs w:val="22"/>
                <w:highlight w:val="none"/>
                <w:lang w:val="en-US" w:eastAsia="zh-CN"/>
              </w:rPr>
              <w:t>90</w:t>
            </w:r>
            <w:r>
              <w:rPr>
                <w:rFonts w:hint="eastAsia" w:ascii="新宋体" w:hAnsi="新宋体" w:eastAsia="新宋体" w:cs="新宋体"/>
                <w:color w:val="auto"/>
                <w:sz w:val="22"/>
                <w:szCs w:val="22"/>
                <w:highlight w:val="none"/>
              </w:rPr>
              <w:t>天。</w:t>
            </w:r>
          </w:p>
        </w:tc>
      </w:tr>
      <w:tr w14:paraId="1C0609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1D7A9753">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w:t>
            </w:r>
          </w:p>
        </w:tc>
        <w:tc>
          <w:tcPr>
            <w:tcW w:w="9114" w:type="dxa"/>
            <w:tcBorders>
              <w:top w:val="single" w:color="000000" w:sz="2" w:space="0"/>
              <w:left w:val="single" w:color="000000" w:sz="2" w:space="0"/>
              <w:bottom w:val="single" w:color="000000" w:sz="2" w:space="0"/>
              <w:right w:val="single" w:color="000000" w:sz="8" w:space="0"/>
            </w:tcBorders>
            <w:vAlign w:val="center"/>
          </w:tcPr>
          <w:p w14:paraId="57DDC4D0">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投标保证金数额：无</w:t>
            </w:r>
            <w:r>
              <w:rPr>
                <w:rFonts w:hint="eastAsia" w:ascii="新宋体" w:hAnsi="新宋体" w:eastAsia="新宋体" w:cs="新宋体"/>
                <w:color w:val="auto"/>
                <w:sz w:val="22"/>
                <w:szCs w:val="22"/>
                <w:highlight w:val="none"/>
              </w:rPr>
              <w:t>。</w:t>
            </w:r>
          </w:p>
        </w:tc>
      </w:tr>
      <w:tr w14:paraId="3AE04C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7091651F">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val="en-US" w:eastAsia="zh-CN"/>
              </w:rPr>
              <w:t>4</w:t>
            </w:r>
          </w:p>
        </w:tc>
        <w:tc>
          <w:tcPr>
            <w:tcW w:w="9114" w:type="dxa"/>
            <w:tcBorders>
              <w:top w:val="single" w:color="000000" w:sz="2" w:space="0"/>
              <w:left w:val="single" w:color="000000" w:sz="2" w:space="0"/>
              <w:bottom w:val="single" w:color="000000" w:sz="2" w:space="0"/>
              <w:right w:val="single" w:color="000000" w:sz="8" w:space="0"/>
            </w:tcBorders>
            <w:vAlign w:val="center"/>
          </w:tcPr>
          <w:p w14:paraId="65E7B056">
            <w:pPr>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招标服务费：根据国家计委计价格【2002】1980号《招标代理服务收费管理暂行办法》规定标准计算后下浮25%收取，由中标人在领取中标通知书时支付。</w:t>
            </w:r>
          </w:p>
          <w:p w14:paraId="7BA00FF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户</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名：温州历程招标有限公司</w:t>
            </w:r>
          </w:p>
          <w:p w14:paraId="0DD30CB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账</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号：33050162870409101001</w:t>
            </w:r>
          </w:p>
          <w:p w14:paraId="36263FC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开户行：中国建设银行股份有限公司温州新城支行</w:t>
            </w:r>
          </w:p>
          <w:p w14:paraId="19C1D0E2">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行</w:t>
            </w:r>
            <w:r>
              <w:rPr>
                <w:rFonts w:hint="eastAsia" w:ascii="新宋体" w:hAnsi="新宋体" w:eastAsia="新宋体" w:cs="新宋体"/>
                <w:color w:val="auto"/>
                <w:sz w:val="22"/>
                <w:szCs w:val="22"/>
                <w:highlight w:val="none"/>
                <w:lang w:val="en-US" w:eastAsia="zh-CN"/>
              </w:rPr>
              <w:t xml:space="preserve">  </w:t>
            </w:r>
            <w:r>
              <w:rPr>
                <w:rFonts w:hint="eastAsia" w:ascii="新宋体" w:hAnsi="新宋体" w:eastAsia="新宋体" w:cs="新宋体"/>
                <w:color w:val="auto"/>
                <w:sz w:val="22"/>
                <w:szCs w:val="22"/>
                <w:highlight w:val="none"/>
              </w:rPr>
              <w:t>号：105333000038</w:t>
            </w:r>
          </w:p>
        </w:tc>
      </w:tr>
      <w:tr w14:paraId="74528D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7F7FB484">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val="en-US" w:eastAsia="zh-CN"/>
              </w:rPr>
              <w:t>5</w:t>
            </w:r>
          </w:p>
        </w:tc>
        <w:tc>
          <w:tcPr>
            <w:tcW w:w="9114" w:type="dxa"/>
            <w:tcBorders>
              <w:top w:val="single" w:color="000000" w:sz="2" w:space="0"/>
              <w:left w:val="single" w:color="000000" w:sz="2" w:space="0"/>
              <w:bottom w:val="single" w:color="000000" w:sz="2" w:space="0"/>
              <w:right w:val="single" w:color="000000" w:sz="8" w:space="0"/>
            </w:tcBorders>
            <w:vAlign w:val="center"/>
          </w:tcPr>
          <w:p w14:paraId="1E2B6A16">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投标文件的组成：</w:t>
            </w:r>
            <w:r>
              <w:rPr>
                <w:rFonts w:hint="eastAsia" w:ascii="新宋体" w:hAnsi="新宋体" w:eastAsia="新宋体" w:cs="新宋体"/>
                <w:color w:val="auto"/>
                <w:sz w:val="22"/>
                <w:szCs w:val="22"/>
                <w:highlight w:val="none"/>
              </w:rPr>
              <w:t>完整的《投标文件》由“资格文件”、“报价文件”和“商务技术文件”三个部分组成。</w:t>
            </w:r>
          </w:p>
        </w:tc>
      </w:tr>
      <w:tr w14:paraId="4886B0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69C2FBB6">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val="en-US" w:eastAsia="zh-CN"/>
              </w:rPr>
              <w:t>6</w:t>
            </w:r>
          </w:p>
        </w:tc>
        <w:tc>
          <w:tcPr>
            <w:tcW w:w="9114" w:type="dxa"/>
            <w:tcBorders>
              <w:top w:val="single" w:color="000000" w:sz="2" w:space="0"/>
              <w:left w:val="single" w:color="000000" w:sz="2" w:space="0"/>
              <w:bottom w:val="single" w:color="000000" w:sz="2" w:space="0"/>
              <w:right w:val="single" w:color="000000" w:sz="8" w:space="0"/>
            </w:tcBorders>
            <w:vAlign w:val="center"/>
          </w:tcPr>
          <w:p w14:paraId="3CA16557">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投标文件的编制：</w:t>
            </w:r>
            <w:r>
              <w:rPr>
                <w:rFonts w:hint="eastAsia" w:ascii="新宋体" w:hAnsi="新宋体" w:eastAsia="新宋体" w:cs="新宋体"/>
                <w:color w:val="auto"/>
                <w:sz w:val="22"/>
                <w:szCs w:val="22"/>
                <w:highlight w:val="none"/>
              </w:rPr>
              <w:t>供应商应先安装“</w:t>
            </w:r>
            <w:r>
              <w:rPr>
                <w:rFonts w:hint="eastAsia" w:ascii="新宋体" w:hAnsi="新宋体" w:eastAsia="新宋体" w:cs="新宋体"/>
                <w:color w:val="auto"/>
                <w:sz w:val="22"/>
                <w:szCs w:val="22"/>
                <w:highlight w:val="none"/>
                <w:lang w:eastAsia="zh-CN"/>
              </w:rPr>
              <w:t>乐采云电子交易客户端</w:t>
            </w:r>
            <w:r>
              <w:rPr>
                <w:rFonts w:hint="eastAsia" w:ascii="新宋体" w:hAnsi="新宋体" w:eastAsia="新宋体" w:cs="新宋体"/>
                <w:color w:val="auto"/>
                <w:sz w:val="22"/>
                <w:szCs w:val="22"/>
                <w:highlight w:val="none"/>
              </w:rPr>
              <w:t>”，并按照本招标文件和“</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”的要求，通过“</w:t>
            </w:r>
            <w:r>
              <w:rPr>
                <w:rFonts w:hint="eastAsia" w:ascii="新宋体" w:hAnsi="新宋体" w:eastAsia="新宋体" w:cs="新宋体"/>
                <w:color w:val="auto"/>
                <w:sz w:val="22"/>
                <w:szCs w:val="22"/>
                <w:highlight w:val="none"/>
                <w:lang w:eastAsia="zh-CN"/>
              </w:rPr>
              <w:t>乐采云电子交易客户端</w:t>
            </w:r>
            <w:r>
              <w:rPr>
                <w:rFonts w:hint="eastAsia" w:ascii="新宋体" w:hAnsi="新宋体" w:eastAsia="新宋体" w:cs="新宋体"/>
                <w:color w:val="auto"/>
                <w:sz w:val="22"/>
                <w:szCs w:val="22"/>
                <w:highlight w:val="none"/>
              </w:rPr>
              <w:t>”编制并加密投标文件。</w:t>
            </w:r>
          </w:p>
        </w:tc>
      </w:tr>
      <w:tr w14:paraId="10BB00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6F7CA1A8">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val="en-US" w:eastAsia="zh-CN"/>
              </w:rPr>
              <w:t>7</w:t>
            </w:r>
          </w:p>
        </w:tc>
        <w:tc>
          <w:tcPr>
            <w:tcW w:w="9114" w:type="dxa"/>
            <w:tcBorders>
              <w:top w:val="single" w:color="000000" w:sz="2" w:space="0"/>
              <w:left w:val="single" w:color="000000" w:sz="2" w:space="0"/>
              <w:bottom w:val="single" w:color="000000" w:sz="2" w:space="0"/>
              <w:right w:val="single" w:color="000000" w:sz="8" w:space="0"/>
            </w:tcBorders>
            <w:vAlign w:val="center"/>
          </w:tcPr>
          <w:p w14:paraId="043487DF">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投标文件的签章：</w:t>
            </w:r>
            <w:r>
              <w:rPr>
                <w:rFonts w:hint="eastAsia" w:ascii="新宋体" w:hAnsi="新宋体" w:eastAsia="新宋体" w:cs="新宋体"/>
                <w:color w:val="auto"/>
                <w:sz w:val="22"/>
                <w:szCs w:val="22"/>
                <w:highlight w:val="none"/>
              </w:rPr>
              <w:t>电子签章。</w:t>
            </w:r>
            <w:r>
              <w:rPr>
                <w:rFonts w:hint="eastAsia" w:ascii="新宋体" w:hAnsi="新宋体" w:eastAsia="新宋体" w:cs="新宋体"/>
                <w:b/>
                <w:color w:val="auto"/>
                <w:sz w:val="22"/>
                <w:szCs w:val="22"/>
                <w:highlight w:val="none"/>
                <w:lang w:val="en-US" w:eastAsia="zh-CN"/>
              </w:rPr>
              <w:t>如为联合体投标的，招标文件中需联合体所有成员分别填写的格式，联合体成员（除牵头人外）按招标文件格式分别进行编制（格式中要求提供相关证明材料的还需后附相关证明材料），并按格式要求在指定位置根据要求进行签字（或盖章）后将扫描件提交给牵头人（联合体共同投标协议书须签字或盖章的地方须由联合体双方均签字或盖章）。牵头人在完成投标文件编制后扫描上传加密电子投标文件，电子投标文件中所须加盖公章的地方均加盖牵头人的电子签章。</w:t>
            </w:r>
          </w:p>
        </w:tc>
      </w:tr>
      <w:tr w14:paraId="6E30F9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0DBBBD1F">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val="en-US" w:eastAsia="zh-CN"/>
              </w:rPr>
              <w:t>8</w:t>
            </w:r>
          </w:p>
        </w:tc>
        <w:tc>
          <w:tcPr>
            <w:tcW w:w="9114" w:type="dxa"/>
            <w:tcBorders>
              <w:top w:val="single" w:color="000000" w:sz="2" w:space="0"/>
              <w:left w:val="single" w:color="000000" w:sz="2" w:space="0"/>
              <w:bottom w:val="single" w:color="000000" w:sz="2" w:space="0"/>
              <w:right w:val="single" w:color="000000" w:sz="8" w:space="0"/>
            </w:tcBorders>
            <w:vAlign w:val="center"/>
          </w:tcPr>
          <w:p w14:paraId="702B5F6B">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投标文件的形式：</w:t>
            </w:r>
            <w:r>
              <w:rPr>
                <w:rFonts w:hint="eastAsia" w:ascii="新宋体" w:hAnsi="新宋体" w:eastAsia="新宋体" w:cs="新宋体"/>
                <w:color w:val="auto"/>
                <w:sz w:val="22"/>
                <w:szCs w:val="22"/>
                <w:highlight w:val="none"/>
              </w:rPr>
              <w:t>电子投标文件（包括“电子加密投标文件”和“备份投标文件”，在投标文件编制完成后同时生成）；</w:t>
            </w:r>
          </w:p>
          <w:p w14:paraId="356F7996">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（1）“电子加密投标文件”是指通过“</w:t>
            </w:r>
            <w:r>
              <w:rPr>
                <w:rFonts w:hint="eastAsia" w:ascii="新宋体" w:hAnsi="新宋体" w:eastAsia="新宋体" w:cs="新宋体"/>
                <w:color w:val="auto"/>
                <w:sz w:val="22"/>
                <w:szCs w:val="22"/>
                <w:highlight w:val="none"/>
                <w:lang w:eastAsia="zh-CN"/>
              </w:rPr>
              <w:t>乐采云电子交易客户端</w:t>
            </w:r>
            <w:r>
              <w:rPr>
                <w:rFonts w:hint="eastAsia" w:ascii="新宋体" w:hAnsi="新宋体" w:eastAsia="新宋体" w:cs="新宋体"/>
                <w:color w:val="auto"/>
                <w:sz w:val="22"/>
                <w:szCs w:val="22"/>
                <w:highlight w:val="none"/>
              </w:rPr>
              <w:t>”完成投标文件编制后生成并加密的数据电文形式的投标文件。</w:t>
            </w:r>
          </w:p>
          <w:p w14:paraId="192B48EE">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（2）“备份投标文件”是指与“电子加密投标文件”同时生成的数据电文形式的电子文件（备份标书），其他方式编制的备份投标文件视为无效备份投标文件。</w:t>
            </w:r>
          </w:p>
        </w:tc>
      </w:tr>
      <w:tr w14:paraId="2375F0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580"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7112D2E0">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lang w:val="en-US" w:eastAsia="zh-CN"/>
              </w:rPr>
              <w:t>9</w:t>
            </w:r>
          </w:p>
        </w:tc>
        <w:tc>
          <w:tcPr>
            <w:tcW w:w="9114" w:type="dxa"/>
            <w:tcBorders>
              <w:top w:val="single" w:color="000000" w:sz="2" w:space="0"/>
              <w:left w:val="single" w:color="000000" w:sz="2" w:space="0"/>
              <w:bottom w:val="single" w:color="000000" w:sz="2" w:space="0"/>
              <w:right w:val="single" w:color="000000" w:sz="8" w:space="0"/>
            </w:tcBorders>
            <w:vAlign w:val="center"/>
          </w:tcPr>
          <w:p w14:paraId="6C464B7C">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投标文件份数：</w:t>
            </w:r>
          </w:p>
          <w:p w14:paraId="273ADD86">
            <w:pPr>
              <w:numPr>
                <w:ilvl w:val="0"/>
                <w:numId w:val="1"/>
              </w:num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“电子加密投标文件”：在线上传递交、一份。</w:t>
            </w:r>
          </w:p>
          <w:p w14:paraId="43588E4B">
            <w:pPr>
              <w:numPr>
                <w:ilvl w:val="0"/>
                <w:numId w:val="1"/>
              </w:num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“备份投标文件”：密封包装后投标截止时间前递交、一份</w:t>
            </w:r>
          </w:p>
          <w:p w14:paraId="182DC254">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（若不提供备份投标文件，开标当天电子加密投标文件解密失败，投标人自行负责。）</w:t>
            </w:r>
          </w:p>
          <w:p w14:paraId="64FC5DCA">
            <w:pPr>
              <w:tabs>
                <w:tab w:val="left" w:pos="360"/>
              </w:tabs>
              <w:spacing w:line="460" w:lineRule="exact"/>
              <w:rPr>
                <w:rFonts w:hint="eastAsia" w:ascii="新宋体" w:hAnsi="新宋体" w:eastAsia="新宋体" w:cs="新宋体"/>
                <w:b/>
                <w:color w:val="auto"/>
                <w:sz w:val="22"/>
                <w:szCs w:val="22"/>
                <w:highlight w:val="none"/>
                <w:u w:val="single"/>
              </w:rPr>
            </w:pPr>
            <w:r>
              <w:rPr>
                <w:rFonts w:hint="eastAsia" w:ascii="新宋体" w:hAnsi="新宋体" w:eastAsia="新宋体" w:cs="新宋体"/>
                <w:b/>
                <w:bCs/>
                <w:color w:val="auto"/>
                <w:sz w:val="22"/>
                <w:szCs w:val="22"/>
                <w:highlight w:val="none"/>
              </w:rPr>
              <w:t>可以</w:t>
            </w:r>
            <w:r>
              <w:rPr>
                <w:rFonts w:hint="eastAsia" w:ascii="新宋体" w:hAnsi="新宋体" w:eastAsia="新宋体" w:cs="新宋体"/>
                <w:b/>
                <w:color w:val="auto"/>
                <w:sz w:val="22"/>
                <w:szCs w:val="22"/>
                <w:highlight w:val="none"/>
                <w:u w:val="single"/>
              </w:rPr>
              <w:t>（建议顺丰邮寄形式）在投标截止时间前递交，并需招标代理机构确认是否收到，</w:t>
            </w:r>
          </w:p>
          <w:p w14:paraId="6A760460">
            <w:pPr>
              <w:tabs>
                <w:tab w:val="left" w:pos="36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邮寄地址：</w:t>
            </w:r>
            <w:r>
              <w:rPr>
                <w:rFonts w:hint="eastAsia" w:ascii="新宋体" w:hAnsi="新宋体" w:eastAsia="新宋体" w:cs="新宋体"/>
                <w:color w:val="auto"/>
                <w:sz w:val="22"/>
                <w:szCs w:val="22"/>
                <w:highlight w:val="none"/>
                <w:lang w:eastAsia="zh-CN"/>
              </w:rPr>
              <w:t>温州市鹿城区南汇街道勤民路鹿城壹号18幢803室</w:t>
            </w:r>
            <w:r>
              <w:rPr>
                <w:rFonts w:hint="eastAsia" w:ascii="新宋体" w:hAnsi="新宋体" w:eastAsia="新宋体" w:cs="新宋体"/>
                <w:color w:val="auto"/>
                <w:sz w:val="22"/>
                <w:szCs w:val="22"/>
                <w:highlight w:val="none"/>
              </w:rPr>
              <w:t>。</w:t>
            </w:r>
          </w:p>
        </w:tc>
      </w:tr>
      <w:tr w14:paraId="657898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17"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4825EFBD">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0</w:t>
            </w:r>
          </w:p>
        </w:tc>
        <w:tc>
          <w:tcPr>
            <w:tcW w:w="9114" w:type="dxa"/>
            <w:tcBorders>
              <w:top w:val="single" w:color="000000" w:sz="2" w:space="0"/>
              <w:left w:val="single" w:color="000000" w:sz="2" w:space="0"/>
              <w:bottom w:val="single" w:color="000000" w:sz="2" w:space="0"/>
              <w:right w:val="single" w:color="000000" w:sz="8" w:space="0"/>
            </w:tcBorders>
            <w:vAlign w:val="center"/>
          </w:tcPr>
          <w:p w14:paraId="72A1DF5A">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投标文件的上传和递交：</w:t>
            </w:r>
          </w:p>
          <w:p w14:paraId="7546F86D">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（1）“电子加密投标文件”的上传、递交：</w:t>
            </w:r>
          </w:p>
          <w:p w14:paraId="57E1C800">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a.投标人应在投标截止时间前将“电子加密投标文件”成功上传递交至“政府采购云平台”，否则投标无效。</w:t>
            </w:r>
          </w:p>
          <w:p w14:paraId="78852DA1">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b.“电子加密投标文件”成功上传递交后，供应商可自行打印投标文件接收回执。</w:t>
            </w:r>
          </w:p>
          <w:p w14:paraId="56A4F689">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（2）“备份投标文件”的密封包装、递交：</w:t>
            </w:r>
          </w:p>
          <w:p w14:paraId="5A6DDC7D">
            <w:pPr>
              <w:tabs>
                <w:tab w:val="left" w:pos="360"/>
              </w:tabs>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a.投标人在“政府采购云平台”完成“电子加密投标文件”的上传递交后，</w:t>
            </w:r>
            <w:r>
              <w:rPr>
                <w:rFonts w:hint="eastAsia" w:ascii="新宋体" w:hAnsi="新宋体" w:eastAsia="新宋体" w:cs="新宋体"/>
                <w:b/>
                <w:bCs/>
                <w:color w:val="auto"/>
                <w:sz w:val="22"/>
                <w:szCs w:val="22"/>
                <w:highlight w:val="none"/>
              </w:rPr>
              <w:t>还可以在投标截止时间前递交以介质（U盘）存储的数据电文形式的“备份投标文件”，（可以</w:t>
            </w:r>
            <w:r>
              <w:rPr>
                <w:rFonts w:hint="eastAsia" w:ascii="新宋体" w:hAnsi="新宋体" w:eastAsia="新宋体" w:cs="新宋体"/>
                <w:b/>
                <w:color w:val="auto"/>
                <w:sz w:val="22"/>
                <w:szCs w:val="22"/>
                <w:highlight w:val="none"/>
                <w:u w:val="single"/>
              </w:rPr>
              <w:t>（邮寄形式，建议顺丰）在投标截止时间前递交，并需采购代理机构确认是否收到</w:t>
            </w:r>
            <w:r>
              <w:rPr>
                <w:rFonts w:hint="eastAsia" w:ascii="新宋体" w:hAnsi="新宋体" w:eastAsia="新宋体" w:cs="新宋体"/>
                <w:b/>
                <w:bCs/>
                <w:color w:val="auto"/>
                <w:sz w:val="22"/>
                <w:szCs w:val="22"/>
                <w:highlight w:val="none"/>
              </w:rPr>
              <w:t>）</w:t>
            </w:r>
          </w:p>
          <w:p w14:paraId="43D3D6D5">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b.“备份投标文件”应当密封包装，并在包装上标注投标项目名称、投标人名称并加盖公章。没有密封包装或者逾期（邮寄）送达至投标地点的“备份投标文件”将不予接收；</w:t>
            </w:r>
          </w:p>
          <w:p w14:paraId="5846AA88">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c.通过“政府采购云平台”成功上传递交的“电子加密投标文件”已按时解密的，“备份投标文件”自动失效。投标截止时间前，投标人仅递交了“备份投标文件”而未将“电子加密投标文件”成功上传至“政府采购云平台”的，投标无效。</w:t>
            </w:r>
          </w:p>
          <w:p w14:paraId="749F88DA">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d.供应商（联合体投标的，须由牵头人制作并递交电子加密投标文件）通过“乐采云电子投标客户端”完成投标文</w:t>
            </w:r>
            <w:r>
              <w:rPr>
                <w:rFonts w:hint="eastAsia" w:ascii="新宋体" w:hAnsi="新宋体" w:eastAsia="新宋体" w:cs="新宋体"/>
                <w:color w:val="auto"/>
                <w:sz w:val="22"/>
                <w:szCs w:val="22"/>
                <w:highlight w:val="none"/>
              </w:rPr>
              <w:t>件编制</w:t>
            </w:r>
            <w:r>
              <w:rPr>
                <w:rFonts w:hint="eastAsia" w:ascii="新宋体" w:hAnsi="新宋体" w:eastAsia="新宋体" w:cs="新宋体"/>
                <w:color w:val="auto"/>
                <w:sz w:val="22"/>
                <w:szCs w:val="22"/>
                <w:highlight w:val="none"/>
                <w:lang w:val="en-US" w:eastAsia="zh-CN"/>
              </w:rPr>
              <w:t>。</w:t>
            </w:r>
          </w:p>
        </w:tc>
      </w:tr>
      <w:tr w14:paraId="7F76DE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2" w:space="0"/>
              <w:left w:val="single" w:color="000000" w:sz="8" w:space="0"/>
              <w:bottom w:val="single" w:color="auto" w:sz="4" w:space="0"/>
              <w:right w:val="single" w:color="000000" w:sz="2" w:space="0"/>
            </w:tcBorders>
            <w:vAlign w:val="center"/>
          </w:tcPr>
          <w:p w14:paraId="67567B12">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1</w:t>
            </w:r>
          </w:p>
        </w:tc>
        <w:tc>
          <w:tcPr>
            <w:tcW w:w="9114" w:type="dxa"/>
            <w:tcBorders>
              <w:top w:val="single" w:color="000000" w:sz="2" w:space="0"/>
              <w:left w:val="single" w:color="000000" w:sz="2" w:space="0"/>
              <w:bottom w:val="single" w:color="auto" w:sz="4" w:space="0"/>
              <w:right w:val="single" w:color="000000" w:sz="8" w:space="0"/>
            </w:tcBorders>
            <w:vAlign w:val="center"/>
          </w:tcPr>
          <w:p w14:paraId="406BA621">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电子加密投标文件的解密和异常情况处理：</w:t>
            </w:r>
          </w:p>
          <w:p w14:paraId="1424FA36">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（1）开标后，采购组织机构将向各投标人发出“电子加密投标文件”的解密通知，各投标人代表应当在接到解密通知后在系统规定内自行完成“电子加密投标文件”的在线解密。</w:t>
            </w:r>
          </w:p>
          <w:p w14:paraId="153B543A">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（2）通过“</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”成功上传递交的“电子加密投标文件”无法按时解密，投标人如按规定递交了“备份投标文件”的，以“备份投标文件”为依据（由采购组织机构按“</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”操作规范将“备份投标文件”上传至“</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”，上传成功后，“电子加密投标文件”自动失效），否则视为投标文件撤回。</w:t>
            </w:r>
          </w:p>
          <w:p w14:paraId="14EADA7E">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（3）投标截止时间前，投标人仅递交了“备份投标文件”而未将电子加密投标文件上传至“</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”的，投标无效。</w:t>
            </w:r>
          </w:p>
        </w:tc>
      </w:tr>
      <w:tr w14:paraId="6EBF70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51" w:type="dxa"/>
            <w:tcBorders>
              <w:top w:val="single" w:color="auto" w:sz="4" w:space="0"/>
              <w:left w:val="single" w:color="auto" w:sz="4" w:space="0"/>
              <w:bottom w:val="single" w:color="auto" w:sz="4" w:space="0"/>
              <w:right w:val="single" w:color="auto" w:sz="4" w:space="0"/>
            </w:tcBorders>
            <w:vAlign w:val="center"/>
          </w:tcPr>
          <w:p w14:paraId="4A2F6E1C">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2</w:t>
            </w:r>
          </w:p>
        </w:tc>
        <w:tc>
          <w:tcPr>
            <w:tcW w:w="9114" w:type="dxa"/>
            <w:tcBorders>
              <w:top w:val="single" w:color="auto" w:sz="4" w:space="0"/>
              <w:left w:val="single" w:color="auto" w:sz="4" w:space="0"/>
              <w:bottom w:val="single" w:color="auto" w:sz="4" w:space="0"/>
              <w:right w:val="single" w:color="auto" w:sz="4" w:space="0"/>
            </w:tcBorders>
            <w:vAlign w:val="center"/>
          </w:tcPr>
          <w:p w14:paraId="5BEF94E2">
            <w:pPr>
              <w:snapToGrid w:val="0"/>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投标截止时间：</w:t>
            </w:r>
            <w:r>
              <w:rPr>
                <w:rFonts w:hint="eastAsia" w:ascii="新宋体" w:hAnsi="新宋体" w:eastAsia="新宋体" w:cs="新宋体"/>
                <w:b/>
                <w:bCs/>
                <w:color w:val="auto"/>
                <w:sz w:val="22"/>
                <w:szCs w:val="22"/>
                <w:highlight w:val="none"/>
                <w:lang w:val="en-US" w:eastAsia="zh-CN" w:bidi="ar"/>
              </w:rPr>
              <w:t>详见招标公告</w:t>
            </w:r>
          </w:p>
          <w:p w14:paraId="03A3FD30">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投标地点：</w:t>
            </w:r>
            <w:r>
              <w:rPr>
                <w:rFonts w:hint="eastAsia" w:ascii="新宋体" w:hAnsi="新宋体" w:eastAsia="新宋体" w:cs="新宋体"/>
                <w:b/>
                <w:bCs/>
                <w:color w:val="auto"/>
                <w:sz w:val="22"/>
                <w:szCs w:val="22"/>
                <w:highlight w:val="none"/>
                <w:lang w:val="en-US" w:eastAsia="zh-CN" w:bidi="ar"/>
              </w:rPr>
              <w:t>详见招标公告</w:t>
            </w:r>
          </w:p>
        </w:tc>
      </w:tr>
      <w:tr w14:paraId="7DBDE1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auto" w:sz="4" w:space="0"/>
              <w:left w:val="single" w:color="auto" w:sz="4" w:space="0"/>
              <w:bottom w:val="single" w:color="auto" w:sz="4" w:space="0"/>
              <w:right w:val="single" w:color="auto" w:sz="4" w:space="0"/>
            </w:tcBorders>
            <w:vAlign w:val="center"/>
          </w:tcPr>
          <w:p w14:paraId="4D5F0D98">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3</w:t>
            </w:r>
          </w:p>
        </w:tc>
        <w:tc>
          <w:tcPr>
            <w:tcW w:w="9114" w:type="dxa"/>
            <w:tcBorders>
              <w:top w:val="single" w:color="auto" w:sz="4" w:space="0"/>
              <w:left w:val="single" w:color="auto" w:sz="4" w:space="0"/>
              <w:bottom w:val="single" w:color="auto" w:sz="4" w:space="0"/>
              <w:right w:val="single" w:color="auto" w:sz="4" w:space="0"/>
            </w:tcBorders>
            <w:vAlign w:val="center"/>
          </w:tcPr>
          <w:p w14:paraId="44EFC53B">
            <w:pPr>
              <w:widowControl/>
              <w:snapToGrid w:val="0"/>
              <w:spacing w:line="460" w:lineRule="exact"/>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开标时间：</w:t>
            </w:r>
            <w:r>
              <w:rPr>
                <w:rFonts w:hint="eastAsia" w:ascii="新宋体" w:hAnsi="新宋体" w:eastAsia="新宋体" w:cs="新宋体"/>
                <w:b/>
                <w:bCs/>
                <w:color w:val="auto"/>
                <w:sz w:val="22"/>
                <w:szCs w:val="22"/>
                <w:highlight w:val="none"/>
                <w:lang w:val="en-US" w:eastAsia="zh-CN" w:bidi="ar"/>
              </w:rPr>
              <w:t>详见招标公告</w:t>
            </w:r>
          </w:p>
          <w:p w14:paraId="6CC62B7E">
            <w:pPr>
              <w:widowControl/>
              <w:snapToGrid w:val="0"/>
              <w:spacing w:line="460" w:lineRule="exact"/>
              <w:jc w:val="left"/>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开标地点：</w:t>
            </w:r>
            <w:r>
              <w:rPr>
                <w:rFonts w:hint="eastAsia" w:ascii="新宋体" w:hAnsi="新宋体" w:eastAsia="新宋体" w:cs="新宋体"/>
                <w:b/>
                <w:bCs/>
                <w:color w:val="auto"/>
                <w:sz w:val="22"/>
                <w:szCs w:val="22"/>
                <w:highlight w:val="none"/>
                <w:lang w:val="en-US" w:eastAsia="zh-CN" w:bidi="ar"/>
              </w:rPr>
              <w:t>详见招标公告</w:t>
            </w:r>
          </w:p>
        </w:tc>
      </w:tr>
      <w:tr w14:paraId="66A728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auto" w:sz="4" w:space="0"/>
              <w:left w:val="single" w:color="auto" w:sz="4" w:space="0"/>
              <w:bottom w:val="single" w:color="auto" w:sz="4" w:space="0"/>
              <w:right w:val="single" w:color="auto" w:sz="4" w:space="0"/>
            </w:tcBorders>
            <w:vAlign w:val="center"/>
          </w:tcPr>
          <w:p w14:paraId="087436BE">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4</w:t>
            </w:r>
          </w:p>
        </w:tc>
        <w:tc>
          <w:tcPr>
            <w:tcW w:w="9114" w:type="dxa"/>
            <w:tcBorders>
              <w:top w:val="single" w:color="auto" w:sz="4" w:space="0"/>
              <w:left w:val="single" w:color="auto" w:sz="4" w:space="0"/>
              <w:bottom w:val="single" w:color="auto" w:sz="4" w:space="0"/>
              <w:right w:val="single" w:color="auto" w:sz="4" w:space="0"/>
            </w:tcBorders>
            <w:vAlign w:val="center"/>
          </w:tcPr>
          <w:p w14:paraId="2AC49520">
            <w:pPr>
              <w:widowControl/>
              <w:snapToGrid w:val="0"/>
              <w:spacing w:line="460" w:lineRule="exact"/>
              <w:jc w:val="lef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lang w:val="en-US" w:eastAsia="zh-CN"/>
              </w:rPr>
              <w:t>评审地点：</w:t>
            </w:r>
            <w:r>
              <w:rPr>
                <w:rFonts w:hint="eastAsia" w:ascii="新宋体" w:hAnsi="新宋体" w:eastAsia="新宋体" w:cs="新宋体"/>
                <w:color w:val="auto"/>
                <w:sz w:val="22"/>
                <w:szCs w:val="22"/>
                <w:highlight w:val="none"/>
                <w:lang w:eastAsia="zh-CN"/>
              </w:rPr>
              <w:t>温州市鹿城区南汇街道勤民路鹿城壹号18幢803室</w:t>
            </w:r>
          </w:p>
        </w:tc>
      </w:tr>
      <w:tr w14:paraId="3B2FAA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auto" w:sz="4" w:space="0"/>
              <w:left w:val="single" w:color="000000" w:sz="8" w:space="0"/>
              <w:bottom w:val="single" w:color="auto" w:sz="4" w:space="0"/>
              <w:right w:val="single" w:color="000000" w:sz="2" w:space="0"/>
            </w:tcBorders>
            <w:vAlign w:val="center"/>
          </w:tcPr>
          <w:p w14:paraId="1966408D">
            <w:pPr>
              <w:snapToGrid w:val="0"/>
              <w:spacing w:line="460" w:lineRule="exact"/>
              <w:jc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1</w:t>
            </w:r>
            <w:r>
              <w:rPr>
                <w:rFonts w:hint="eastAsia" w:ascii="新宋体" w:hAnsi="新宋体" w:eastAsia="新宋体" w:cs="新宋体"/>
                <w:b/>
                <w:bCs/>
                <w:color w:val="auto"/>
                <w:sz w:val="22"/>
                <w:szCs w:val="22"/>
                <w:highlight w:val="none"/>
                <w:lang w:val="en-US" w:eastAsia="zh-CN"/>
              </w:rPr>
              <w:t>5</w:t>
            </w:r>
          </w:p>
        </w:tc>
        <w:tc>
          <w:tcPr>
            <w:tcW w:w="9114" w:type="dxa"/>
            <w:tcBorders>
              <w:top w:val="single" w:color="auto" w:sz="4" w:space="0"/>
              <w:left w:val="single" w:color="000000" w:sz="2" w:space="0"/>
              <w:bottom w:val="single" w:color="auto" w:sz="4" w:space="0"/>
              <w:right w:val="single" w:color="000000" w:sz="8" w:space="0"/>
            </w:tcBorders>
            <w:vAlign w:val="center"/>
          </w:tcPr>
          <w:p w14:paraId="5B49C84A">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带“▲”条款系指实质性要求条款</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“★”是关键技术参数及要求。</w:t>
            </w:r>
          </w:p>
        </w:tc>
      </w:tr>
      <w:tr w14:paraId="3E58F6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auto" w:sz="4" w:space="0"/>
              <w:left w:val="single" w:color="000000" w:sz="8" w:space="0"/>
              <w:bottom w:val="single" w:color="auto" w:sz="4" w:space="0"/>
              <w:right w:val="single" w:color="000000" w:sz="2" w:space="0"/>
            </w:tcBorders>
            <w:vAlign w:val="center"/>
          </w:tcPr>
          <w:p w14:paraId="75A57F67">
            <w:pPr>
              <w:widowControl/>
              <w:snapToGrid w:val="0"/>
              <w:spacing w:line="460" w:lineRule="exact"/>
              <w:jc w:val="center"/>
              <w:textAlignment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kern w:val="0"/>
                <w:sz w:val="22"/>
                <w:szCs w:val="22"/>
                <w:highlight w:val="none"/>
              </w:rPr>
              <w:t>1</w:t>
            </w:r>
            <w:r>
              <w:rPr>
                <w:rFonts w:hint="eastAsia" w:ascii="新宋体" w:hAnsi="新宋体" w:eastAsia="新宋体" w:cs="新宋体"/>
                <w:b/>
                <w:bCs/>
                <w:color w:val="auto"/>
                <w:kern w:val="0"/>
                <w:sz w:val="22"/>
                <w:szCs w:val="22"/>
                <w:highlight w:val="none"/>
                <w:lang w:val="en-US" w:eastAsia="zh-CN"/>
              </w:rPr>
              <w:t>6</w:t>
            </w:r>
          </w:p>
        </w:tc>
        <w:tc>
          <w:tcPr>
            <w:tcW w:w="9114" w:type="dxa"/>
            <w:tcBorders>
              <w:top w:val="single" w:color="auto" w:sz="4" w:space="0"/>
              <w:left w:val="single" w:color="000000" w:sz="2" w:space="0"/>
              <w:bottom w:val="single" w:color="auto" w:sz="4" w:space="0"/>
              <w:right w:val="single" w:color="000000" w:sz="8" w:space="0"/>
            </w:tcBorders>
            <w:vAlign w:val="center"/>
          </w:tcPr>
          <w:p w14:paraId="57B36BCC">
            <w:pPr>
              <w:widowControl/>
              <w:snapToGrid w:val="0"/>
              <w:spacing w:line="460" w:lineRule="exact"/>
              <w:jc w:val="lef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为优化政府采购金融服务，为投标人参与信用融资提供便利，中标投标人可通过“</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金融服务中心”了解有关金融政采贷相关信息。详情请查看：</w:t>
            </w:r>
            <w:r>
              <w:rPr>
                <w:rFonts w:hint="eastAsia" w:ascii="新宋体" w:hAnsi="新宋体" w:eastAsia="新宋体" w:cs="新宋体"/>
                <w:b/>
                <w:bCs/>
                <w:color w:val="auto"/>
                <w:sz w:val="22"/>
                <w:szCs w:val="22"/>
                <w:highlight w:val="none"/>
              </w:rPr>
              <w:t>https://jinrong.zcygov.cn/</w:t>
            </w:r>
          </w:p>
        </w:tc>
      </w:tr>
      <w:tr w14:paraId="2F76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6B1B6BD7">
            <w:pPr>
              <w:widowControl/>
              <w:snapToGrid w:val="0"/>
              <w:spacing w:line="460" w:lineRule="exact"/>
              <w:jc w:val="center"/>
              <w:textAlignment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kern w:val="0"/>
                <w:sz w:val="22"/>
                <w:szCs w:val="22"/>
                <w:highlight w:val="none"/>
              </w:rPr>
              <w:t>1</w:t>
            </w:r>
            <w:r>
              <w:rPr>
                <w:rFonts w:hint="eastAsia" w:ascii="新宋体" w:hAnsi="新宋体" w:eastAsia="新宋体" w:cs="新宋体"/>
                <w:b/>
                <w:bCs/>
                <w:color w:val="auto"/>
                <w:kern w:val="0"/>
                <w:sz w:val="22"/>
                <w:szCs w:val="22"/>
                <w:highlight w:val="none"/>
                <w:lang w:val="en-US" w:eastAsia="zh-CN"/>
              </w:rPr>
              <w:t>7</w:t>
            </w:r>
          </w:p>
        </w:tc>
        <w:tc>
          <w:tcPr>
            <w:tcW w:w="9114" w:type="dxa"/>
            <w:tcBorders>
              <w:top w:val="single" w:color="000000" w:sz="2" w:space="0"/>
              <w:left w:val="single" w:color="000000" w:sz="2" w:space="0"/>
              <w:bottom w:val="single" w:color="000000" w:sz="2" w:space="0"/>
              <w:right w:val="single" w:color="000000" w:sz="8" w:space="0"/>
            </w:tcBorders>
            <w:vAlign w:val="center"/>
          </w:tcPr>
          <w:p w14:paraId="29DB23DE">
            <w:pPr>
              <w:snapToGrid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
                <w:color w:val="auto"/>
                <w:kern w:val="10"/>
                <w:sz w:val="22"/>
                <w:szCs w:val="22"/>
                <w:highlight w:val="none"/>
              </w:rPr>
              <w:t>潜在供应商需在</w:t>
            </w:r>
            <w:r>
              <w:rPr>
                <w:rFonts w:hint="eastAsia" w:ascii="新宋体" w:hAnsi="新宋体" w:eastAsia="新宋体" w:cs="新宋体"/>
                <w:b/>
                <w:color w:val="auto"/>
                <w:kern w:val="10"/>
                <w:sz w:val="22"/>
                <w:szCs w:val="22"/>
                <w:highlight w:val="none"/>
                <w:lang w:eastAsia="zh-CN"/>
              </w:rPr>
              <w:t>乐采云平台</w:t>
            </w:r>
            <w:r>
              <w:rPr>
                <w:rFonts w:hint="eastAsia" w:ascii="新宋体" w:hAnsi="新宋体" w:eastAsia="新宋体" w:cs="新宋体"/>
                <w:b/>
                <w:color w:val="auto"/>
                <w:kern w:val="10"/>
                <w:sz w:val="22"/>
                <w:szCs w:val="22"/>
                <w:highlight w:val="none"/>
              </w:rPr>
              <w:t>http://zfcg.czt.zj.gov.cn/进行免费注册，具体详见</w:t>
            </w:r>
            <w:r>
              <w:rPr>
                <w:rFonts w:hint="eastAsia" w:ascii="新宋体" w:hAnsi="新宋体" w:eastAsia="新宋体" w:cs="新宋体"/>
                <w:b/>
                <w:color w:val="auto"/>
                <w:kern w:val="10"/>
                <w:sz w:val="22"/>
                <w:szCs w:val="22"/>
                <w:highlight w:val="none"/>
                <w:lang w:eastAsia="zh-CN"/>
              </w:rPr>
              <w:t>乐采云平台</w:t>
            </w:r>
            <w:r>
              <w:rPr>
                <w:rFonts w:hint="eastAsia" w:ascii="新宋体" w:hAnsi="新宋体" w:eastAsia="新宋体" w:cs="新宋体"/>
                <w:b/>
                <w:color w:val="auto"/>
                <w:kern w:val="10"/>
                <w:sz w:val="22"/>
                <w:szCs w:val="22"/>
                <w:highlight w:val="none"/>
              </w:rPr>
              <w:t>供应商注册要求。</w:t>
            </w:r>
          </w:p>
        </w:tc>
      </w:tr>
      <w:tr w14:paraId="54C19A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04216FB2">
            <w:pPr>
              <w:widowControl/>
              <w:snapToGrid w:val="0"/>
              <w:spacing w:line="460" w:lineRule="exact"/>
              <w:jc w:val="center"/>
              <w:textAlignment w:val="center"/>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kern w:val="0"/>
                <w:sz w:val="22"/>
                <w:szCs w:val="22"/>
                <w:highlight w:val="none"/>
              </w:rPr>
              <w:t>1</w:t>
            </w:r>
            <w:r>
              <w:rPr>
                <w:rFonts w:hint="eastAsia" w:ascii="新宋体" w:hAnsi="新宋体" w:eastAsia="新宋体" w:cs="新宋体"/>
                <w:b/>
                <w:bCs/>
                <w:color w:val="auto"/>
                <w:kern w:val="0"/>
                <w:sz w:val="22"/>
                <w:szCs w:val="22"/>
                <w:highlight w:val="none"/>
                <w:lang w:val="en-US" w:eastAsia="zh-CN"/>
              </w:rPr>
              <w:t>8</w:t>
            </w:r>
          </w:p>
        </w:tc>
        <w:tc>
          <w:tcPr>
            <w:tcW w:w="9114" w:type="dxa"/>
            <w:tcBorders>
              <w:top w:val="single" w:color="000000" w:sz="2" w:space="0"/>
              <w:left w:val="single" w:color="000000" w:sz="2" w:space="0"/>
              <w:bottom w:val="single" w:color="000000" w:sz="2" w:space="0"/>
              <w:right w:val="single" w:color="000000" w:sz="8" w:space="0"/>
            </w:tcBorders>
            <w:vAlign w:val="center"/>
          </w:tcPr>
          <w:p w14:paraId="718C7D7F">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1、扶持中小企业（监狱企业、残疾人福利性单位）：</w:t>
            </w:r>
          </w:p>
          <w:p w14:paraId="3A8039EB">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根据《政府采购促进中小企业发展管理办法》（财库〔2020〕46号），本单位在政府采购活动中应当通过加强采购需求管理，落实预留采购份额，价格评审优惠、优先采购等措施，提高中小企业在政府采购中的份额，支持中小企业发展。项目相关情况如下：</w:t>
            </w:r>
          </w:p>
          <w:p w14:paraId="10641C99">
            <w:pPr>
              <w:widowControl/>
              <w:snapToGrid w:val="0"/>
              <w:spacing w:line="460" w:lineRule="exact"/>
              <w:ind w:firstLine="440" w:firstLineChars="200"/>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rPr>
              <w:t>（1）项目预算：</w:t>
            </w:r>
            <w:r>
              <w:rPr>
                <w:rFonts w:hint="eastAsia" w:ascii="新宋体" w:hAnsi="新宋体" w:eastAsia="新宋体" w:cs="新宋体"/>
                <w:color w:val="auto"/>
                <w:kern w:val="0"/>
                <w:sz w:val="22"/>
                <w:szCs w:val="22"/>
                <w:highlight w:val="none"/>
                <w:u w:val="single"/>
                <w:lang w:val="en-US" w:eastAsia="zh-CN"/>
              </w:rPr>
              <w:t xml:space="preserve"> 190000.00 </w:t>
            </w:r>
            <w:r>
              <w:rPr>
                <w:rFonts w:hint="eastAsia" w:ascii="新宋体" w:hAnsi="新宋体" w:eastAsia="新宋体" w:cs="新宋体"/>
                <w:color w:val="auto"/>
                <w:kern w:val="0"/>
                <w:sz w:val="22"/>
                <w:szCs w:val="22"/>
                <w:highlight w:val="none"/>
              </w:rPr>
              <w:t>元</w:t>
            </w:r>
          </w:p>
          <w:p w14:paraId="40CA378C">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（2）项目属性：</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u w:val="single"/>
                <w:lang w:val="en-US" w:eastAsia="zh-CN"/>
              </w:rPr>
              <w:t xml:space="preserve"> ②服务类</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rPr>
              <w:t>（①货物类/②服务类/③工程类）</w:t>
            </w:r>
          </w:p>
          <w:p w14:paraId="094075C6">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（3）项目对应的中小企业划分标准所属行业：</w:t>
            </w:r>
            <w:r>
              <w:rPr>
                <w:rFonts w:hint="eastAsia" w:ascii="新宋体" w:hAnsi="新宋体" w:eastAsia="新宋体" w:cs="新宋体"/>
                <w:color w:val="auto"/>
                <w:kern w:val="0"/>
                <w:sz w:val="22"/>
                <w:szCs w:val="22"/>
                <w:highlight w:val="none"/>
                <w:u w:val="single"/>
              </w:rPr>
              <w:t> 租赁和商业服务业 </w:t>
            </w:r>
            <w:r>
              <w:rPr>
                <w:rFonts w:hint="eastAsia" w:ascii="新宋体" w:hAnsi="新宋体" w:eastAsia="新宋体" w:cs="新宋体"/>
                <w:color w:val="auto"/>
                <w:kern w:val="0"/>
                <w:sz w:val="22"/>
                <w:szCs w:val="22"/>
                <w:highlight w:val="none"/>
              </w:rPr>
              <w:t>（具体根据《中小企业划型标准规定》执行）</w:t>
            </w:r>
          </w:p>
          <w:p w14:paraId="01F54C3B">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现行中小企业划分标准行业包括农、林、牧、渔业，工业，建筑业，批发业，零售业，交通运输业，仓储业，邮政业，住宿业，餐饮业，信息传输业，软件和信息技术服务业，房地产开发经营，物业管理，租赁和商业服务业和其他未列明行业等十六类。）</w:t>
            </w:r>
          </w:p>
          <w:p w14:paraId="01F024AA">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（4）本项目</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u w:val="single"/>
                <w:lang w:eastAsia="zh-CN"/>
              </w:rPr>
              <w:t>是</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（是/否）属于预留份额专门面向中小企业采购的项目。</w:t>
            </w:r>
          </w:p>
          <w:p w14:paraId="254F77D5">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（5）上述第4项中确定为“是”的采购项目，预留份额通过（①）措施进行：</w:t>
            </w:r>
          </w:p>
          <w:p w14:paraId="3E5BC7F7">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①将采购项目整体或者设置采购包专门面向中小企业采购；</w:t>
            </w:r>
          </w:p>
          <w:p w14:paraId="4936B142">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②要求供应商以联合体形式参加采购活动，且联合体中中小企业承担的部分达到</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u w:val="single"/>
                <w:lang w:val="en-US" w:eastAsia="zh-CN"/>
              </w:rPr>
              <w:t xml:space="preserve"> </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比例</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rPr>
              <w:t xml:space="preserve">； </w:t>
            </w:r>
          </w:p>
          <w:p w14:paraId="234B90D7">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③要求获得采购合同的供应商将采购项目中的</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rPr>
              <w:t>（比例）分包给一家或者多家中小企业。</w:t>
            </w:r>
          </w:p>
          <w:p w14:paraId="1D11F657">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（6）对于经主管预算单位统筹后未预留份额专门面向中小企业采购的采购项目，以及预留份额项目中的非预留部分采购包，请贵单位明确对符合本办法规定的小微企业报价给予</w:t>
            </w:r>
            <w:r>
              <w:rPr>
                <w:rFonts w:hint="eastAsia" w:ascii="新宋体" w:hAnsi="新宋体" w:eastAsia="新宋体" w:cs="新宋体"/>
                <w:color w:val="auto"/>
                <w:kern w:val="0"/>
                <w:sz w:val="22"/>
                <w:szCs w:val="22"/>
                <w:highlight w:val="none"/>
                <w:u w:val="single"/>
              </w:rPr>
              <w:t>  10%  </w:t>
            </w:r>
            <w:r>
              <w:rPr>
                <w:rFonts w:hint="eastAsia" w:ascii="新宋体" w:hAnsi="新宋体" w:eastAsia="新宋体" w:cs="新宋体"/>
                <w:color w:val="auto"/>
                <w:kern w:val="0"/>
                <w:sz w:val="22"/>
                <w:szCs w:val="22"/>
                <w:highlight w:val="none"/>
              </w:rPr>
              <w:t xml:space="preserve">（10%—20%）（工程项目为 3%—5%）的扣除，用扣除后的价格参加评审。 </w:t>
            </w:r>
          </w:p>
          <w:p w14:paraId="4983AD4C">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对于接受大中型企业与小微企业组成联合体或者允许大中型企业向一家或者多家小微企业分包的采购项目，对于联合协议或者分包意向协议约定小微企业的合同份额占到合同总金额 30%以上的，对联合体或者大中型企业的报价</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u w:val="single"/>
                <w:lang w:val="en-US" w:eastAsia="zh-CN"/>
              </w:rPr>
              <w:t>4%</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（4%-6%）（工程项目为 1%—2%）的扣除，用扣除后的价格参加评审。</w:t>
            </w:r>
          </w:p>
          <w:p w14:paraId="6C414224">
            <w:pPr>
              <w:widowControl/>
              <w:snapToGrid w:val="0"/>
              <w:spacing w:line="460" w:lineRule="exact"/>
              <w:ind w:firstLine="442"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b/>
                <w:bCs/>
                <w:color w:val="auto"/>
                <w:kern w:val="0"/>
                <w:sz w:val="22"/>
                <w:szCs w:val="22"/>
                <w:highlight w:val="none"/>
              </w:rPr>
              <w:t>专门面向中小企业采购的项目或者标项，不再执行价格评审优惠的扶持政策。</w:t>
            </w:r>
          </w:p>
          <w:p w14:paraId="75BFFAFA">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满足关于政府采购支持监狱企业发展有关问题的通知（财库[2014]68号）的规定的供应商可享受优惠扶持。</w:t>
            </w:r>
          </w:p>
          <w:p w14:paraId="52B629B1">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满足关于促进残疾人就业政府采购政策的通知（财库[2017]141号）的规定的供应商可享受优惠扶持。</w:t>
            </w:r>
          </w:p>
          <w:p w14:paraId="217DF4F0">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2、节能产品、环境标志产品的强制采购政策</w:t>
            </w:r>
          </w:p>
          <w:p w14:paraId="7F858705">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采购人拟采购的产品属于品目清单范围内的强制采购品目的，投标供应商提供的产品应具有国家确定的认证机构出具的、处于有效期之内的节能产品、环境标志产品认证证书，并在响应文件中提供该产品节能产品、环境标志产品认证证书，否则无效。（注：本项目执行最新政府采购节能产品、环境标志产品品目清单。）</w:t>
            </w:r>
          </w:p>
          <w:p w14:paraId="57906AF0">
            <w:pPr>
              <w:widowControl/>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3、节能产品、环境标志产品的优先采购政策</w:t>
            </w:r>
          </w:p>
          <w:p w14:paraId="260C48E6">
            <w:pPr>
              <w:widowControl/>
              <w:snapToGrid w:val="0"/>
              <w:spacing w:line="460" w:lineRule="exact"/>
              <w:ind w:firstLine="440" w:firstLineChars="200"/>
              <w:rPr>
                <w:rFonts w:hint="eastAsia" w:ascii="新宋体" w:hAnsi="新宋体" w:eastAsia="新宋体" w:cs="新宋体"/>
                <w:b/>
                <w:color w:val="auto"/>
                <w:kern w:val="1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采购人拟采购的产品属于品目清单范围内的优先采购品目的，投标供应商提供的产品应具有国家确定的认证机构出具的、处于有效期之内的节能产品、环境标志产品认证证书，并在响应文件中提供该产品节能产品、环境标志产品认证证书，（注：本项目执行最新政府采购节能产品、环境标志产品品目清单。）</w:t>
            </w:r>
          </w:p>
        </w:tc>
      </w:tr>
      <w:tr w14:paraId="287E7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3" w:hRule="atLeast"/>
          <w:jc w:val="center"/>
        </w:trPr>
        <w:tc>
          <w:tcPr>
            <w:tcW w:w="551" w:type="dxa"/>
            <w:tcBorders>
              <w:top w:val="single" w:color="000000" w:sz="2" w:space="0"/>
              <w:left w:val="single" w:color="000000" w:sz="8" w:space="0"/>
              <w:bottom w:val="single" w:color="000000" w:sz="2" w:space="0"/>
              <w:right w:val="single" w:color="000000" w:sz="2" w:space="0"/>
            </w:tcBorders>
            <w:vAlign w:val="center"/>
          </w:tcPr>
          <w:p w14:paraId="2D6B7C12">
            <w:pPr>
              <w:widowControl/>
              <w:snapToGrid w:val="0"/>
              <w:spacing w:line="460" w:lineRule="exact"/>
              <w:jc w:val="center"/>
              <w:textAlignment w:val="center"/>
              <w:rPr>
                <w:rFonts w:hint="default"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kern w:val="0"/>
                <w:sz w:val="22"/>
                <w:szCs w:val="22"/>
                <w:highlight w:val="none"/>
                <w:lang w:val="en-US" w:eastAsia="zh-CN"/>
              </w:rPr>
              <w:t>19</w:t>
            </w:r>
          </w:p>
        </w:tc>
        <w:tc>
          <w:tcPr>
            <w:tcW w:w="9114" w:type="dxa"/>
            <w:tcBorders>
              <w:top w:val="single" w:color="000000" w:sz="2" w:space="0"/>
              <w:left w:val="single" w:color="000000" w:sz="2" w:space="0"/>
              <w:bottom w:val="single" w:color="000000" w:sz="2" w:space="0"/>
              <w:right w:val="single" w:color="000000" w:sz="8" w:space="0"/>
            </w:tcBorders>
            <w:vAlign w:val="center"/>
          </w:tcPr>
          <w:p w14:paraId="307D2EEA">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根据《关于在政府采购活动中查询及使用信用记录有关问题的通知》财库[2016]125号的规定：</w:t>
            </w:r>
          </w:p>
          <w:p w14:paraId="24DA31AE">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1）招标人或招标代理机构将对本项目供应商的信用记录进行查询。查询渠道为信用中国网站（</w:t>
            </w:r>
            <w:bookmarkStart w:id="18" w:name="OLE_LINK8"/>
            <w:r>
              <w:rPr>
                <w:rFonts w:hint="eastAsia" w:ascii="新宋体" w:hAnsi="新宋体" w:eastAsia="新宋体" w:cs="新宋体"/>
                <w:color w:val="auto"/>
                <w:sz w:val="22"/>
                <w:szCs w:val="22"/>
                <w:highlight w:val="none"/>
              </w:rPr>
              <w:t>https://www.creditchina.gov.cn/</w:t>
            </w:r>
            <w:bookmarkEnd w:id="18"/>
            <w:r>
              <w:rPr>
                <w:rFonts w:hint="eastAsia" w:ascii="新宋体" w:hAnsi="新宋体" w:eastAsia="新宋体" w:cs="新宋体"/>
                <w:color w:val="auto"/>
                <w:sz w:val="22"/>
                <w:szCs w:val="22"/>
                <w:highlight w:val="none"/>
              </w:rPr>
              <w:t>）、中国政府采购网（</w:t>
            </w:r>
            <w:bookmarkStart w:id="19" w:name="OLE_LINK10"/>
            <w:r>
              <w:rPr>
                <w:rFonts w:hint="eastAsia" w:ascii="新宋体" w:hAnsi="新宋体" w:eastAsia="新宋体" w:cs="新宋体"/>
                <w:color w:val="auto"/>
                <w:sz w:val="22"/>
                <w:szCs w:val="22"/>
                <w:highlight w:val="none"/>
              </w:rPr>
              <w:t>http://www.ccgp.gov.cn/</w:t>
            </w:r>
            <w:bookmarkEnd w:id="19"/>
            <w:r>
              <w:rPr>
                <w:rFonts w:hint="eastAsia" w:ascii="新宋体" w:hAnsi="新宋体" w:eastAsia="新宋体" w:cs="新宋体"/>
                <w:color w:val="auto"/>
                <w:sz w:val="22"/>
                <w:szCs w:val="22"/>
                <w:highlight w:val="none"/>
              </w:rPr>
              <w:t>）；</w:t>
            </w:r>
          </w:p>
          <w:p w14:paraId="2DE748EA">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（2）截止时点：提交投标文件（响应文件）截止时间前3年内；</w:t>
            </w:r>
          </w:p>
          <w:p w14:paraId="591F0D6A">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（3）查询记录和证据的留存：信用信息查询记录和证据以网页截图等方式留存。</w:t>
            </w:r>
          </w:p>
          <w:p w14:paraId="4585A723">
            <w:pPr>
              <w:snapToGrid w:val="0"/>
              <w:spacing w:line="460" w:lineRule="exact"/>
              <w:ind w:left="105" w:leftChars="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（4）使用规则：被列入失信被执行人、重大税收违法案件当事人名单、政府采购严重违法失信行为记录名单及其它不符合《中华人民共和国政府采购法》第二十二条规定条件的，其投标将被拒绝。</w:t>
            </w:r>
          </w:p>
          <w:p w14:paraId="05639A6A">
            <w:pPr>
              <w:snapToGrid w:val="0"/>
              <w:spacing w:line="460" w:lineRule="exact"/>
              <w:ind w:left="105" w:leftChars="50"/>
              <w:rPr>
                <w:rFonts w:hint="eastAsia" w:ascii="新宋体" w:hAnsi="新宋体" w:eastAsia="新宋体" w:cs="新宋体"/>
                <w:b/>
                <w:color w:val="auto"/>
                <w:kern w:val="10"/>
                <w:sz w:val="22"/>
                <w:szCs w:val="22"/>
                <w:highlight w:val="none"/>
              </w:rPr>
            </w:pPr>
            <w:r>
              <w:rPr>
                <w:rFonts w:hint="eastAsia" w:ascii="新宋体" w:hAnsi="新宋体" w:eastAsia="新宋体" w:cs="新宋体"/>
                <w:b/>
                <w:bCs/>
                <w:color w:val="auto"/>
                <w:sz w:val="22"/>
                <w:szCs w:val="22"/>
                <w:highlight w:val="none"/>
                <w:u w:val="single"/>
              </w:rPr>
              <w:t>（5）联合体投标时，对所有联合体成员进行信用记录查询，联合体成员任意一方存在不良信用记录的，视同联合体存在不良信用记录。</w:t>
            </w:r>
          </w:p>
        </w:tc>
      </w:tr>
    </w:tbl>
    <w:p w14:paraId="16D5E319">
      <w:pPr>
        <w:spacing w:before="100" w:beforeAutospacing="1" w:after="100" w:afterAutospacing="1" w:line="460" w:lineRule="exact"/>
        <w:jc w:val="center"/>
        <w:outlineLvl w:val="1"/>
        <w:rPr>
          <w:rFonts w:hint="eastAsia" w:ascii="新宋体" w:hAnsi="新宋体" w:eastAsia="新宋体" w:cs="新宋体"/>
          <w:b/>
          <w:bCs/>
          <w:color w:val="auto"/>
          <w:sz w:val="32"/>
          <w:szCs w:val="32"/>
          <w:highlight w:val="none"/>
        </w:rPr>
      </w:pPr>
      <w:r>
        <w:rPr>
          <w:rFonts w:hint="eastAsia" w:ascii="新宋体" w:hAnsi="新宋体" w:eastAsia="新宋体" w:cs="新宋体"/>
          <w:b/>
          <w:bCs/>
          <w:color w:val="auto"/>
          <w:sz w:val="26"/>
          <w:szCs w:val="26"/>
          <w:highlight w:val="none"/>
        </w:rPr>
        <w:br w:type="page"/>
      </w:r>
      <w:bookmarkStart w:id="20" w:name="_Toc27692"/>
      <w:bookmarkStart w:id="21" w:name="_Toc21811"/>
      <w:bookmarkStart w:id="22" w:name="_Toc2085"/>
      <w:r>
        <w:rPr>
          <w:rFonts w:hint="eastAsia" w:ascii="新宋体" w:hAnsi="新宋体" w:eastAsia="新宋体" w:cs="新宋体"/>
          <w:b/>
          <w:bCs/>
          <w:color w:val="auto"/>
          <w:sz w:val="26"/>
          <w:szCs w:val="26"/>
          <w:highlight w:val="none"/>
        </w:rPr>
        <w:t>一、 说   明</w:t>
      </w:r>
      <w:bookmarkEnd w:id="20"/>
      <w:bookmarkEnd w:id="21"/>
      <w:bookmarkEnd w:id="22"/>
    </w:p>
    <w:p w14:paraId="0226164E">
      <w:pPr>
        <w:tabs>
          <w:tab w:val="left" w:pos="360"/>
        </w:tabs>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本次招标是参考《中华人民共和国政府采购法》、《政府采购货物和服务招标投标管理办法》、《中华人民共和国政府采购法实施条例》和《关于进一步规范政府采购活动的若干意见》等法律及有关法规组织和实施的。</w:t>
      </w:r>
    </w:p>
    <w:p w14:paraId="615208D8">
      <w:pPr>
        <w:tabs>
          <w:tab w:val="left" w:pos="360"/>
        </w:tabs>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2、定义</w:t>
      </w:r>
    </w:p>
    <w:p w14:paraId="2C5E4C78">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招标人：是指依法进行采购的国家机关、事业单位、团体组织</w:t>
      </w:r>
    </w:p>
    <w:p w14:paraId="6027D81A">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招标代理机构：受招标人委托，在委托的范围内办理采购事宜的机构；</w:t>
      </w:r>
    </w:p>
    <w:p w14:paraId="7C65E38E">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投标人：是指参加本采购项目投标的供应商；</w:t>
      </w:r>
    </w:p>
    <w:p w14:paraId="0A5320BB">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投标人代表：是指参加本项目投标活动的供应商法定代表人或法定代表人授权代表；</w:t>
      </w:r>
    </w:p>
    <w:p w14:paraId="55545ECA">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投标联合体：是指两个以上供应商组成联合体，以一个供应商的身份参加投标；</w:t>
      </w:r>
    </w:p>
    <w:p w14:paraId="48E7A9D0">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甲方：是指合同签订的一方，一般与招标人、用户相同；</w:t>
      </w:r>
    </w:p>
    <w:p w14:paraId="55A8FBE5">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乙方：是指合同签订的另一方，与中标人相同；</w:t>
      </w:r>
    </w:p>
    <w:p w14:paraId="74A0E8F4">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制造商：是指拥有投标产品自主知识产权的单位；</w:t>
      </w:r>
    </w:p>
    <w:p w14:paraId="3E5CDBCA">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小企业（含中型、小型、微型）：符合中小企业划分标准（工信部联企业[2011]300号），在本项目采购活动中提供本企业制造的货物，或者提供其他中小企业制造的货物。本项所称货物不包括使用大型企业注册商标的货物及进口货物。小型、微型企业提供中型企业制造的货物的，视同为中型企业。</w:t>
      </w:r>
    </w:p>
    <w:p w14:paraId="5065DFCA">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0B276AAC">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原件备查：要求携带原件备查的，供应商应按要求携带备查，如评标委员会发现投标文件资料复印件存有瑕疵，致使内容模糊、关键信息难以辨认、材料真实性存疑等情形的，有权核对原件或评标委员会认为有必有核对原件，若供应商未能提交原件，将会导致评标委员会作出对 其不利的评定，一切后果由供应商自行承担。</w:t>
      </w:r>
    </w:p>
    <w:p w14:paraId="1228D5EB">
      <w:pPr>
        <w:tabs>
          <w:tab w:val="left" w:pos="360"/>
        </w:tabs>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招标文件内所有带“▲”条款系指实质性要求条款</w:t>
      </w:r>
      <w:r>
        <w:rPr>
          <w:rFonts w:hint="eastAsia" w:ascii="新宋体" w:hAnsi="新宋体" w:eastAsia="新宋体" w:cs="新宋体"/>
          <w:b/>
          <w:bCs/>
          <w:color w:val="auto"/>
          <w:sz w:val="22"/>
          <w:szCs w:val="22"/>
          <w:highlight w:val="none"/>
          <w:lang w:eastAsia="zh-CN"/>
        </w:rPr>
        <w:t>，</w:t>
      </w:r>
      <w:r>
        <w:rPr>
          <w:rFonts w:hint="eastAsia" w:ascii="新宋体" w:hAnsi="新宋体" w:eastAsia="新宋体" w:cs="新宋体"/>
          <w:b/>
          <w:bCs/>
          <w:color w:val="auto"/>
          <w:sz w:val="22"/>
          <w:szCs w:val="22"/>
          <w:highlight w:val="none"/>
        </w:rPr>
        <w:t>“★”是关键技术参数及要求。</w:t>
      </w:r>
    </w:p>
    <w:p w14:paraId="67807712">
      <w:pPr>
        <w:tabs>
          <w:tab w:val="left" w:pos="360"/>
        </w:tabs>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3、投标人代表</w:t>
      </w:r>
    </w:p>
    <w:p w14:paraId="36363DEE">
      <w:pPr>
        <w:tabs>
          <w:tab w:val="left" w:pos="360"/>
        </w:tabs>
        <w:spacing w:line="460" w:lineRule="exact"/>
        <w:ind w:firstLine="442" w:firstLineChars="200"/>
        <w:rPr>
          <w:rFonts w:hint="eastAsia" w:ascii="新宋体" w:hAnsi="新宋体" w:eastAsia="新宋体" w:cs="新宋体"/>
          <w:b/>
          <w:color w:val="auto"/>
          <w:sz w:val="22"/>
          <w:highlight w:val="none"/>
        </w:rPr>
      </w:pPr>
      <w:r>
        <w:rPr>
          <w:rFonts w:hint="eastAsia" w:ascii="新宋体" w:hAnsi="新宋体" w:eastAsia="新宋体" w:cs="新宋体"/>
          <w:b/>
          <w:color w:val="auto"/>
          <w:sz w:val="22"/>
          <w:szCs w:val="22"/>
          <w:highlight w:val="none"/>
        </w:rPr>
        <w:t>3.1</w:t>
      </w:r>
      <w:r>
        <w:rPr>
          <w:rFonts w:hint="eastAsia" w:ascii="新宋体" w:hAnsi="新宋体" w:eastAsia="新宋体" w:cs="新宋体"/>
          <w:b/>
          <w:color w:val="auto"/>
          <w:sz w:val="22"/>
          <w:highlight w:val="none"/>
        </w:rPr>
        <w:t>指全权代表投标人参加投标活动并签署投标文件的人。如果投标人代表不是法定代表人，须持有《法定代表人授权书》（见附件）</w:t>
      </w:r>
    </w:p>
    <w:p w14:paraId="5A0A38F3">
      <w:pPr>
        <w:tabs>
          <w:tab w:val="left" w:pos="360"/>
        </w:tabs>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根据政府采购相关法律、法规、规章、文件规定并满足招标文件规定资格条件的区域性分支机构、个体工商户、个人独资企业、合伙企业参加本项目投标并由单位负责人签署的相关投标资料与本招标文件规定由法定代表人签署的的文件材料具有同等效力</w:t>
      </w:r>
      <w:r>
        <w:rPr>
          <w:rFonts w:hint="eastAsia" w:ascii="新宋体" w:hAnsi="新宋体" w:eastAsia="新宋体" w:cs="新宋体"/>
          <w:b/>
          <w:color w:val="auto"/>
          <w:sz w:val="22"/>
          <w:szCs w:val="22"/>
          <w:highlight w:val="none"/>
        </w:rPr>
        <w:t>。</w:t>
      </w:r>
    </w:p>
    <w:p w14:paraId="1DA8D01F">
      <w:pPr>
        <w:tabs>
          <w:tab w:val="left" w:pos="360"/>
        </w:tabs>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4、投标费用</w:t>
      </w:r>
    </w:p>
    <w:p w14:paraId="7755DA66">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4.1</w:t>
      </w:r>
      <w:r>
        <w:rPr>
          <w:rFonts w:hint="eastAsia" w:ascii="新宋体" w:hAnsi="新宋体" w:eastAsia="新宋体" w:cs="新宋体"/>
          <w:color w:val="auto"/>
          <w:sz w:val="22"/>
          <w:szCs w:val="22"/>
          <w:highlight w:val="none"/>
        </w:rPr>
        <w:t>投标人应承担所有与准备和参加投标有关费用，不论投标的结果如何，招标人或招标代理公司均无义务和责任承担这些费用。</w:t>
      </w:r>
    </w:p>
    <w:p w14:paraId="255B2D34">
      <w:pPr>
        <w:spacing w:before="100" w:beforeAutospacing="1" w:after="100" w:afterAutospacing="1" w:line="460" w:lineRule="exact"/>
        <w:jc w:val="center"/>
        <w:outlineLvl w:val="1"/>
        <w:rPr>
          <w:rFonts w:hint="eastAsia" w:ascii="新宋体" w:hAnsi="新宋体" w:eastAsia="新宋体" w:cs="新宋体"/>
          <w:b/>
          <w:bCs/>
          <w:color w:val="auto"/>
          <w:sz w:val="26"/>
          <w:szCs w:val="26"/>
          <w:highlight w:val="none"/>
        </w:rPr>
      </w:pPr>
      <w:bookmarkStart w:id="23" w:name="_Toc5144"/>
      <w:bookmarkStart w:id="24" w:name="_Toc23500"/>
      <w:bookmarkStart w:id="25" w:name="_Toc14787"/>
      <w:r>
        <w:rPr>
          <w:rFonts w:hint="eastAsia" w:ascii="新宋体" w:hAnsi="新宋体" w:eastAsia="新宋体" w:cs="新宋体"/>
          <w:b/>
          <w:bCs/>
          <w:color w:val="auto"/>
          <w:sz w:val="26"/>
          <w:szCs w:val="26"/>
          <w:highlight w:val="none"/>
        </w:rPr>
        <w:t>二、 招标文件</w:t>
      </w:r>
      <w:bookmarkEnd w:id="23"/>
      <w:bookmarkEnd w:id="24"/>
      <w:bookmarkEnd w:id="25"/>
    </w:p>
    <w:p w14:paraId="6975E377">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1、招标文件由招标文件目录所列内容及相关资料组成。</w:t>
      </w:r>
    </w:p>
    <w:p w14:paraId="0AEB3128">
      <w:pPr>
        <w:tabs>
          <w:tab w:val="left" w:pos="360"/>
        </w:tabs>
        <w:spacing w:line="460" w:lineRule="exact"/>
        <w:ind w:firstLine="442" w:firstLineChars="200"/>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2、招标文件的澄清</w:t>
      </w:r>
    </w:p>
    <w:p w14:paraId="0FB2CAEC">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2.1任何要求对招标文件进行澄清的投标人，均应以书面形式（信函、传真，下同）通知，但该通知在知道或应知道其权益受到损害之日起七个工作日内以使招标人或招标代理机构收到，招标人或招标代理机构将以书面形式予以答复。如果招标文件澄清期内未收到有关澄清要求，视为投标人完全同意招标文件所有条款，且对于招标文件有关表述以及未尽事宜如有异议，以招标人或招标代理机构解释为准。</w:t>
      </w:r>
    </w:p>
    <w:p w14:paraId="470868D0">
      <w:pPr>
        <w:tabs>
          <w:tab w:val="left" w:pos="360"/>
        </w:tabs>
        <w:spacing w:line="460" w:lineRule="exact"/>
        <w:ind w:firstLine="442" w:firstLineChars="200"/>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3、招标文件的修改</w:t>
      </w:r>
    </w:p>
    <w:p w14:paraId="35A4BA55">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3.1招标人或招标代理机构对已发出的招标文件进行必要的澄清或者修改的，应当在招标文件要求递交投标文件截止时间十五日前，在财政部门指定的政府采购信息发布媒体上发布更正公告。该澄清或修改内容为招标文件的组成部分。</w:t>
      </w:r>
    </w:p>
    <w:p w14:paraId="61661035">
      <w:pPr>
        <w:tabs>
          <w:tab w:val="left" w:pos="360"/>
        </w:tabs>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3.2招标人、招标代理机构可以视采购的具体情况决定是否延长投标截止时间和开标时间，并在招标文件要求递交投标文件的截止时间前，在财政部门指定的政府采购信息发布媒体上发布变更公告。</w:t>
      </w:r>
    </w:p>
    <w:p w14:paraId="4F9CE11A">
      <w:pPr>
        <w:spacing w:before="100" w:beforeAutospacing="1" w:after="100" w:afterAutospacing="1" w:line="460" w:lineRule="exact"/>
        <w:jc w:val="center"/>
        <w:outlineLvl w:val="1"/>
        <w:rPr>
          <w:rFonts w:hint="eastAsia" w:ascii="新宋体" w:hAnsi="新宋体" w:eastAsia="新宋体" w:cs="新宋体"/>
          <w:b/>
          <w:bCs/>
          <w:color w:val="auto"/>
          <w:sz w:val="26"/>
          <w:szCs w:val="26"/>
          <w:highlight w:val="none"/>
        </w:rPr>
      </w:pPr>
      <w:bookmarkStart w:id="26" w:name="_Toc30471"/>
      <w:bookmarkStart w:id="27" w:name="_Toc9882"/>
      <w:bookmarkStart w:id="28" w:name="_Toc7686"/>
      <w:r>
        <w:rPr>
          <w:rFonts w:hint="eastAsia" w:ascii="新宋体" w:hAnsi="新宋体" w:eastAsia="新宋体" w:cs="新宋体"/>
          <w:b/>
          <w:bCs/>
          <w:color w:val="auto"/>
          <w:sz w:val="26"/>
          <w:szCs w:val="26"/>
          <w:highlight w:val="none"/>
        </w:rPr>
        <w:t>三、 投标文件的编制</w:t>
      </w:r>
      <w:bookmarkEnd w:id="26"/>
      <w:bookmarkEnd w:id="27"/>
      <w:bookmarkEnd w:id="28"/>
    </w:p>
    <w:p w14:paraId="35022AA8">
      <w:pPr>
        <w:tabs>
          <w:tab w:val="left" w:pos="360"/>
        </w:tabs>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1、投标人应认真阅读招标文件中所有事项、格式、条款和技术规范等。</w:t>
      </w:r>
      <w:r>
        <w:rPr>
          <w:rFonts w:hint="eastAsia" w:ascii="新宋体" w:hAnsi="新宋体" w:eastAsia="新宋体" w:cs="新宋体"/>
          <w:b/>
          <w:color w:val="auto"/>
          <w:sz w:val="22"/>
          <w:highlight w:val="none"/>
        </w:rPr>
        <w:t>投标人没有按照招标文件要求提交全部资料，或者没有对招标文件各个方面做出实质性响应，导致投标被否决的风险由投标人自行承担。</w:t>
      </w:r>
    </w:p>
    <w:p w14:paraId="401A9C27">
      <w:pPr>
        <w:tabs>
          <w:tab w:val="left" w:pos="360"/>
        </w:tabs>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2、投标人应保证所提供文件资料的真实性，所有文件资料必须是针对本次投标的。如发现投标人提供了虚假文件资料，其投标将被否决，并自行承担相应的法律责任。</w:t>
      </w:r>
    </w:p>
    <w:p w14:paraId="0A32CC88">
      <w:pPr>
        <w:tabs>
          <w:tab w:val="left" w:pos="360"/>
        </w:tabs>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w:t>
      </w:r>
      <w:r>
        <w:rPr>
          <w:rFonts w:hint="eastAsia" w:ascii="新宋体" w:hAnsi="新宋体" w:eastAsia="新宋体" w:cs="新宋体"/>
          <w:b/>
          <w:bCs/>
          <w:color w:val="auto"/>
          <w:sz w:val="22"/>
          <w:szCs w:val="22"/>
          <w:highlight w:val="none"/>
        </w:rPr>
        <w:t>投标文件的构成：</w:t>
      </w:r>
    </w:p>
    <w:p w14:paraId="5483FB60">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投标</w:t>
      </w:r>
      <w:r>
        <w:rPr>
          <w:rFonts w:hint="eastAsia" w:ascii="新宋体" w:hAnsi="新宋体" w:eastAsia="新宋体" w:cs="新宋体"/>
          <w:color w:val="auto"/>
          <w:kern w:val="0"/>
          <w:sz w:val="22"/>
          <w:szCs w:val="22"/>
          <w:highlight w:val="none"/>
          <w:lang w:val="zh-CN"/>
        </w:rPr>
        <w:t>文件应当包括以下主要内容：资格文件、报价文件、商务技术文件。</w:t>
      </w:r>
    </w:p>
    <w:p w14:paraId="005558A4">
      <w:pPr>
        <w:tabs>
          <w:tab w:val="left" w:pos="360"/>
        </w:tabs>
        <w:spacing w:line="460" w:lineRule="exact"/>
        <w:ind w:firstLine="442" w:firstLineChars="200"/>
        <w:rPr>
          <w:rFonts w:hint="eastAsia" w:ascii="新宋体" w:hAnsi="新宋体" w:eastAsia="新宋体" w:cs="新宋体"/>
          <w:b/>
          <w:bCs/>
          <w:color w:val="auto"/>
          <w:kern w:val="0"/>
          <w:sz w:val="22"/>
          <w:szCs w:val="22"/>
          <w:highlight w:val="none"/>
          <w:u w:val="single"/>
          <w:lang w:val="zh-CN"/>
        </w:rPr>
      </w:pPr>
      <w:r>
        <w:rPr>
          <w:rFonts w:hint="eastAsia" w:ascii="新宋体" w:hAnsi="新宋体" w:eastAsia="新宋体" w:cs="新宋体"/>
          <w:b/>
          <w:bCs/>
          <w:color w:val="auto"/>
          <w:kern w:val="0"/>
          <w:sz w:val="22"/>
          <w:szCs w:val="22"/>
          <w:highlight w:val="none"/>
          <w:u w:val="single"/>
        </w:rPr>
        <w:t>3.1</w:t>
      </w:r>
      <w:r>
        <w:rPr>
          <w:rFonts w:hint="eastAsia" w:ascii="新宋体" w:hAnsi="新宋体" w:eastAsia="新宋体" w:cs="新宋体"/>
          <w:b/>
          <w:bCs/>
          <w:color w:val="auto"/>
          <w:kern w:val="0"/>
          <w:sz w:val="22"/>
          <w:szCs w:val="22"/>
          <w:highlight w:val="none"/>
          <w:u w:val="single"/>
          <w:lang w:val="zh-CN"/>
        </w:rPr>
        <w:t>投标人的资格文件至少应包括以下内容：</w:t>
      </w:r>
    </w:p>
    <w:p w14:paraId="5EF416EC">
      <w:pPr>
        <w:tabs>
          <w:tab w:val="left" w:pos="360"/>
        </w:tabs>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kern w:val="0"/>
          <w:sz w:val="22"/>
          <w:szCs w:val="22"/>
          <w:highlight w:val="none"/>
          <w:u w:val="single"/>
          <w:lang w:val="zh-CN"/>
        </w:rPr>
        <w:t>基本资格条件审查材料：即证明</w:t>
      </w:r>
      <w:r>
        <w:rPr>
          <w:rFonts w:hint="eastAsia" w:ascii="新宋体" w:hAnsi="新宋体" w:eastAsia="新宋体" w:cs="新宋体"/>
          <w:color w:val="auto"/>
          <w:kern w:val="0"/>
          <w:sz w:val="22"/>
          <w:szCs w:val="22"/>
          <w:highlight w:val="none"/>
          <w:u w:val="single"/>
          <w:lang w:val="zh-CN" w:eastAsia="zh-CN"/>
        </w:rPr>
        <w:t>供应商</w:t>
      </w:r>
      <w:r>
        <w:rPr>
          <w:rFonts w:hint="eastAsia" w:ascii="新宋体" w:hAnsi="新宋体" w:eastAsia="新宋体" w:cs="新宋体"/>
          <w:color w:val="auto"/>
          <w:kern w:val="0"/>
          <w:sz w:val="22"/>
          <w:szCs w:val="22"/>
          <w:highlight w:val="none"/>
          <w:u w:val="single"/>
          <w:lang w:val="zh-CN"/>
        </w:rPr>
        <w:t>参加本次采购活动前3年内</w:t>
      </w:r>
      <w:r>
        <w:rPr>
          <w:rFonts w:hint="eastAsia" w:ascii="新宋体" w:hAnsi="新宋体" w:eastAsia="新宋体" w:cs="新宋体"/>
          <w:color w:val="auto"/>
          <w:kern w:val="0"/>
          <w:sz w:val="22"/>
          <w:szCs w:val="22"/>
          <w:highlight w:val="none"/>
          <w:u w:val="single"/>
          <w:lang w:val="zh-CN" w:eastAsia="zh-CN"/>
        </w:rPr>
        <w:t>满足</w:t>
      </w:r>
      <w:r>
        <w:rPr>
          <w:rFonts w:hint="eastAsia" w:ascii="新宋体" w:hAnsi="新宋体" w:eastAsia="新宋体" w:cs="新宋体"/>
          <w:color w:val="auto"/>
          <w:kern w:val="0"/>
          <w:sz w:val="22"/>
          <w:szCs w:val="22"/>
          <w:highlight w:val="none"/>
          <w:u w:val="single"/>
          <w:lang w:val="zh-CN"/>
        </w:rPr>
        <w:t>《中华人民共和国政府采购法》的有关资格证明文件。</w:t>
      </w:r>
      <w:r>
        <w:rPr>
          <w:rFonts w:hint="eastAsia" w:ascii="新宋体" w:hAnsi="新宋体" w:eastAsia="新宋体" w:cs="新宋体"/>
          <w:color w:val="auto"/>
          <w:sz w:val="22"/>
          <w:szCs w:val="22"/>
          <w:highlight w:val="none"/>
          <w:u w:val="single"/>
        </w:rPr>
        <w:t>包括：</w:t>
      </w:r>
    </w:p>
    <w:p w14:paraId="612A6625">
      <w:pPr>
        <w:snapToGrid w:val="0"/>
        <w:spacing w:line="460" w:lineRule="exact"/>
        <w:ind w:firstLine="440" w:firstLineChars="200"/>
        <w:rPr>
          <w:rFonts w:hint="eastAsia" w:ascii="新宋体" w:hAnsi="新宋体" w:eastAsia="新宋体" w:cs="新宋体"/>
          <w:color w:val="auto"/>
          <w:sz w:val="22"/>
          <w:szCs w:val="22"/>
          <w:highlight w:val="none"/>
          <w:u w:val="single"/>
          <w:lang w:eastAsia="zh-CN"/>
        </w:rPr>
      </w:pP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lang w:val="en-US" w:eastAsia="zh-CN"/>
        </w:rPr>
        <w:t>1</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资格条件承诺函</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60878D5E">
      <w:pPr>
        <w:snapToGrid w:val="0"/>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2</w:t>
      </w:r>
      <w:r>
        <w:rPr>
          <w:rFonts w:hint="eastAsia" w:ascii="新宋体" w:hAnsi="新宋体" w:eastAsia="新宋体" w:cs="新宋体"/>
          <w:color w:val="auto"/>
          <w:sz w:val="22"/>
          <w:szCs w:val="22"/>
          <w:highlight w:val="none"/>
          <w:u w:val="single"/>
        </w:rPr>
        <w:t>）营业执照</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或事业法人登记证书或其它工商等登记证明材料；自然人参与政府采购，提供身份证</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复印件；</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1712177F">
      <w:pPr>
        <w:snapToGrid w:val="0"/>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14:paraId="6381877B">
      <w:pPr>
        <w:snapToGrid w:val="0"/>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lang w:val="en-US" w:eastAsia="zh-CN"/>
        </w:rPr>
        <w:t>（3）投标人信用查询；</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521E94DB">
      <w:pPr>
        <w:keepNext w:val="0"/>
        <w:keepLines w:val="0"/>
        <w:pageBreakBefore w:val="0"/>
        <w:kinsoku/>
        <w:wordWrap/>
        <w:topLinePunct w:val="0"/>
        <w:bidi w:val="0"/>
        <w:snapToGrid w:val="0"/>
        <w:spacing w:line="460" w:lineRule="exact"/>
        <w:ind w:firstLine="440" w:firstLineChars="200"/>
        <w:jc w:val="left"/>
        <w:rPr>
          <w:rFonts w:hint="eastAsia"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4</w:t>
      </w:r>
      <w:r>
        <w:rPr>
          <w:rFonts w:hint="eastAsia" w:ascii="新宋体" w:hAnsi="新宋体" w:eastAsia="新宋体" w:cs="新宋体"/>
          <w:color w:val="auto"/>
          <w:sz w:val="22"/>
          <w:szCs w:val="22"/>
          <w:highlight w:val="none"/>
          <w:u w:val="single"/>
        </w:rPr>
        <w:t>）中小企业声明函、监狱企业、残疾人福利性单位及其他相关的充分的证明材料。</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4FBAE60F">
      <w:pPr>
        <w:snapToGrid w:val="0"/>
        <w:spacing w:line="460" w:lineRule="exact"/>
        <w:ind w:firstLine="440" w:firstLineChars="200"/>
        <w:rPr>
          <w:rFonts w:hint="eastAsia" w:ascii="新宋体" w:hAnsi="新宋体" w:eastAsia="新宋体" w:cs="新宋体"/>
          <w:color w:val="auto"/>
          <w:sz w:val="22"/>
          <w:szCs w:val="22"/>
          <w:highlight w:val="none"/>
          <w:u w:val="single"/>
          <w:lang w:eastAsia="zh-CN"/>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5</w:t>
      </w:r>
      <w:r>
        <w:rPr>
          <w:rFonts w:hint="eastAsia" w:ascii="新宋体" w:hAnsi="新宋体" w:eastAsia="新宋体" w:cs="新宋体"/>
          <w:color w:val="auto"/>
          <w:sz w:val="22"/>
          <w:szCs w:val="22"/>
          <w:highlight w:val="none"/>
          <w:u w:val="single"/>
        </w:rPr>
        <w:t>）采购活动确认声明书</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13C5D205">
      <w:pPr>
        <w:tabs>
          <w:tab w:val="left" w:pos="360"/>
        </w:tabs>
        <w:spacing w:line="460" w:lineRule="exact"/>
        <w:ind w:firstLine="440" w:firstLineChars="200"/>
        <w:rPr>
          <w:rFonts w:hint="eastAsia" w:ascii="新宋体" w:hAnsi="新宋体" w:eastAsia="新宋体" w:cs="新宋体"/>
          <w:color w:val="auto"/>
          <w:sz w:val="22"/>
          <w:szCs w:val="22"/>
          <w:highlight w:val="none"/>
          <w:u w:val="single"/>
          <w:lang w:eastAsia="zh-CN"/>
        </w:rPr>
      </w:pP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lang w:val="en-US" w:eastAsia="zh-CN"/>
        </w:rPr>
        <w:t>6</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lang w:val="en-US" w:eastAsia="zh-CN"/>
        </w:rPr>
        <w:t>联合体协议书（如有）</w:t>
      </w:r>
    </w:p>
    <w:p w14:paraId="642EB7D4">
      <w:pPr>
        <w:tabs>
          <w:tab w:val="left" w:pos="360"/>
        </w:tabs>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上述资格条件审查材料有一项不提供的，视为资格审查不通过。</w:t>
      </w:r>
    </w:p>
    <w:p w14:paraId="50D78B2F">
      <w:pPr>
        <w:tabs>
          <w:tab w:val="left" w:pos="360"/>
        </w:tabs>
        <w:spacing w:line="460" w:lineRule="exact"/>
        <w:ind w:firstLine="442" w:firstLineChars="200"/>
        <w:rPr>
          <w:rFonts w:hint="eastAsia" w:ascii="新宋体" w:hAnsi="新宋体" w:eastAsia="新宋体" w:cs="新宋体"/>
          <w:color w:val="auto"/>
          <w:sz w:val="22"/>
          <w:szCs w:val="22"/>
          <w:highlight w:val="none"/>
          <w:u w:val="single"/>
          <w:lang w:val="zh-CN"/>
        </w:rPr>
      </w:pPr>
      <w:r>
        <w:rPr>
          <w:rFonts w:hint="eastAsia" w:ascii="新宋体" w:hAnsi="新宋体" w:eastAsia="新宋体" w:cs="新宋体"/>
          <w:b/>
          <w:bCs/>
          <w:color w:val="auto"/>
          <w:sz w:val="22"/>
          <w:szCs w:val="22"/>
          <w:highlight w:val="none"/>
        </w:rPr>
        <w:t>3.2投标人的报价文件应包括以下内容：</w:t>
      </w:r>
    </w:p>
    <w:p w14:paraId="295E7B2A">
      <w:pPr>
        <w:tabs>
          <w:tab w:val="left" w:pos="360"/>
        </w:tabs>
        <w:spacing w:line="460" w:lineRule="exact"/>
        <w:ind w:firstLine="440" w:firstLineChars="200"/>
        <w:rPr>
          <w:rFonts w:hint="eastAsia" w:ascii="新宋体" w:hAnsi="新宋体" w:eastAsia="新宋体" w:cs="新宋体"/>
          <w:color w:val="auto"/>
          <w:sz w:val="22"/>
          <w:szCs w:val="22"/>
          <w:highlight w:val="none"/>
          <w:u w:val="none"/>
        </w:rPr>
      </w:pPr>
      <w:r>
        <w:rPr>
          <w:rFonts w:hint="eastAsia" w:ascii="新宋体" w:hAnsi="新宋体" w:eastAsia="新宋体" w:cs="新宋体"/>
          <w:color w:val="auto"/>
          <w:sz w:val="22"/>
          <w:szCs w:val="22"/>
          <w:highlight w:val="none"/>
          <w:u w:val="none"/>
        </w:rPr>
        <w:t>投标报价一览表；</w:t>
      </w:r>
    </w:p>
    <w:p w14:paraId="43FC571F">
      <w:pPr>
        <w:tabs>
          <w:tab w:val="left" w:pos="360"/>
        </w:tabs>
        <w:spacing w:line="460" w:lineRule="exact"/>
        <w:ind w:firstLine="440" w:firstLineChars="200"/>
        <w:rPr>
          <w:rFonts w:hint="eastAsia"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rPr>
        <w:t>3.3</w:t>
      </w:r>
      <w:r>
        <w:rPr>
          <w:rFonts w:hint="eastAsia" w:ascii="新宋体" w:hAnsi="新宋体" w:eastAsia="新宋体" w:cs="新宋体"/>
          <w:color w:val="auto"/>
          <w:kern w:val="0"/>
          <w:sz w:val="22"/>
          <w:szCs w:val="22"/>
          <w:highlight w:val="none"/>
          <w:lang w:val="zh-CN"/>
        </w:rPr>
        <w:t>投标人的</w:t>
      </w:r>
      <w:r>
        <w:rPr>
          <w:rFonts w:hint="eastAsia" w:ascii="新宋体" w:hAnsi="新宋体" w:eastAsia="新宋体" w:cs="新宋体"/>
          <w:b/>
          <w:bCs/>
          <w:color w:val="auto"/>
          <w:kern w:val="0"/>
          <w:sz w:val="22"/>
          <w:szCs w:val="22"/>
          <w:highlight w:val="none"/>
          <w:lang w:val="zh-CN"/>
        </w:rPr>
        <w:t>商务技术文件</w:t>
      </w:r>
      <w:r>
        <w:rPr>
          <w:rFonts w:hint="eastAsia" w:ascii="新宋体" w:hAnsi="新宋体" w:eastAsia="新宋体" w:cs="新宋体"/>
          <w:color w:val="auto"/>
          <w:kern w:val="0"/>
          <w:sz w:val="22"/>
          <w:szCs w:val="22"/>
          <w:highlight w:val="none"/>
          <w:lang w:val="zh-CN"/>
        </w:rPr>
        <w:t>应包括以下内容：</w:t>
      </w:r>
    </w:p>
    <w:p w14:paraId="1D878A2A">
      <w:pPr>
        <w:tabs>
          <w:tab w:val="left" w:pos="360"/>
        </w:tabs>
        <w:spacing w:line="460" w:lineRule="exact"/>
        <w:ind w:firstLine="440" w:firstLineChars="200"/>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none"/>
        </w:rPr>
        <w:t>（1）投标函；</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40B31549">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）法定代表人授权委托书</w:t>
      </w:r>
      <w:r>
        <w:rPr>
          <w:rFonts w:hint="eastAsia" w:ascii="新宋体" w:hAnsi="新宋体" w:eastAsia="新宋体" w:cs="新宋体"/>
          <w:color w:val="auto"/>
          <w:sz w:val="22"/>
          <w:szCs w:val="22"/>
          <w:highlight w:val="none"/>
          <w:lang w:eastAsia="zh-CN"/>
        </w:rPr>
        <w:t>；</w:t>
      </w:r>
    </w:p>
    <w:p w14:paraId="7B452CD6">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需提供法定代表人及授权委托人的身份证复印件加盖公章；</w:t>
      </w:r>
    </w:p>
    <w:p w14:paraId="281B8E49">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）投标人情况表</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44340347">
      <w:pPr>
        <w:snapToGrid w:val="0"/>
        <w:spacing w:line="460" w:lineRule="exact"/>
        <w:ind w:firstLine="440" w:firstLineChars="200"/>
        <w:rPr>
          <w:rFonts w:hint="eastAsia" w:ascii="新宋体" w:hAnsi="新宋体" w:eastAsia="新宋体" w:cs="新宋体"/>
          <w:color w:val="auto"/>
          <w:sz w:val="22"/>
          <w:szCs w:val="22"/>
          <w:highlight w:val="none"/>
          <w:lang w:val="zh-CN"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）廉政承诺书</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b/>
          <w:bCs/>
          <w:color w:val="auto"/>
          <w:sz w:val="22"/>
          <w:szCs w:val="22"/>
          <w:highlight w:val="none"/>
        </w:rPr>
        <w:t>（如为联合体投标，联合体各方均需提供</w:t>
      </w:r>
      <w:r>
        <w:rPr>
          <w:rFonts w:hint="eastAsia" w:ascii="新宋体" w:hAnsi="新宋体" w:eastAsia="新宋体" w:cs="新宋体"/>
          <w:b/>
          <w:bCs/>
          <w:color w:val="auto"/>
          <w:sz w:val="22"/>
          <w:szCs w:val="22"/>
          <w:highlight w:val="none"/>
          <w:lang w:eastAsia="zh-CN"/>
        </w:rPr>
        <w:t>）</w:t>
      </w:r>
    </w:p>
    <w:p w14:paraId="45A0F9BF">
      <w:pPr>
        <w:snapToGrid w:val="0"/>
        <w:spacing w:line="460" w:lineRule="exact"/>
        <w:ind w:firstLine="440"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zh-CN"/>
        </w:rPr>
        <w:t>偏离表（</w:t>
      </w:r>
      <w:r>
        <w:rPr>
          <w:rFonts w:hint="eastAsia" w:ascii="新宋体" w:hAnsi="新宋体" w:eastAsia="新宋体" w:cs="新宋体"/>
          <w:color w:val="auto"/>
          <w:sz w:val="22"/>
          <w:szCs w:val="22"/>
          <w:highlight w:val="none"/>
        </w:rPr>
        <w:t>商务、技术偏离</w:t>
      </w:r>
      <w:r>
        <w:rPr>
          <w:rFonts w:hint="eastAsia" w:ascii="新宋体" w:hAnsi="新宋体" w:eastAsia="新宋体" w:cs="新宋体"/>
          <w:color w:val="auto"/>
          <w:sz w:val="22"/>
          <w:szCs w:val="22"/>
          <w:highlight w:val="none"/>
          <w:lang w:val="zh-CN"/>
        </w:rPr>
        <w:t>）；</w:t>
      </w:r>
    </w:p>
    <w:p w14:paraId="753D7290">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6</w:t>
      </w:r>
      <w:r>
        <w:rPr>
          <w:rFonts w:hint="eastAsia" w:ascii="新宋体" w:hAnsi="新宋体" w:eastAsia="新宋体" w:cs="新宋体"/>
          <w:color w:val="auto"/>
          <w:sz w:val="22"/>
          <w:szCs w:val="22"/>
          <w:highlight w:val="none"/>
        </w:rPr>
        <w:t>）投标人情况</w:t>
      </w:r>
      <w:r>
        <w:rPr>
          <w:rFonts w:hint="eastAsia" w:ascii="新宋体" w:hAnsi="新宋体" w:eastAsia="新宋体" w:cs="新宋体"/>
          <w:color w:val="auto"/>
          <w:sz w:val="22"/>
          <w:szCs w:val="22"/>
          <w:highlight w:val="none"/>
          <w:lang w:eastAsia="zh-CN"/>
        </w:rPr>
        <w:t>；</w:t>
      </w:r>
    </w:p>
    <w:p w14:paraId="48471430">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7</w:t>
      </w:r>
      <w:r>
        <w:rPr>
          <w:rFonts w:hint="eastAsia" w:ascii="新宋体" w:hAnsi="新宋体" w:eastAsia="新宋体" w:cs="新宋体"/>
          <w:color w:val="auto"/>
          <w:sz w:val="22"/>
          <w:szCs w:val="22"/>
          <w:highlight w:val="none"/>
          <w:lang w:eastAsia="zh-CN"/>
        </w:rPr>
        <w:t>）服务响应偏离；</w:t>
      </w:r>
    </w:p>
    <w:p w14:paraId="26A6479C">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8</w:t>
      </w:r>
      <w:r>
        <w:rPr>
          <w:rFonts w:hint="eastAsia" w:ascii="新宋体" w:hAnsi="新宋体" w:eastAsia="新宋体" w:cs="新宋体"/>
          <w:color w:val="auto"/>
          <w:sz w:val="22"/>
          <w:szCs w:val="22"/>
          <w:highlight w:val="none"/>
          <w:lang w:eastAsia="zh-CN"/>
        </w:rPr>
        <w:t>）打印机配置与性能；</w:t>
      </w:r>
    </w:p>
    <w:p w14:paraId="10097D2B">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9</w:t>
      </w:r>
      <w:r>
        <w:rPr>
          <w:rFonts w:hint="eastAsia" w:ascii="新宋体" w:hAnsi="新宋体" w:eastAsia="新宋体" w:cs="新宋体"/>
          <w:color w:val="auto"/>
          <w:sz w:val="22"/>
          <w:szCs w:val="22"/>
          <w:highlight w:val="none"/>
          <w:lang w:eastAsia="zh-CN"/>
        </w:rPr>
        <w:t>）服务响应方案；</w:t>
      </w:r>
    </w:p>
    <w:p w14:paraId="5AA14CCF">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10</w:t>
      </w:r>
      <w:r>
        <w:rPr>
          <w:rFonts w:hint="eastAsia" w:ascii="新宋体" w:hAnsi="新宋体" w:eastAsia="新宋体" w:cs="新宋体"/>
          <w:color w:val="auto"/>
          <w:sz w:val="22"/>
          <w:szCs w:val="22"/>
          <w:highlight w:val="none"/>
          <w:lang w:eastAsia="zh-CN"/>
        </w:rPr>
        <w:t>）维护维修巡检方案；</w:t>
      </w:r>
    </w:p>
    <w:p w14:paraId="4A010A4F">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11</w:t>
      </w:r>
      <w:r>
        <w:rPr>
          <w:rFonts w:hint="eastAsia" w:ascii="新宋体" w:hAnsi="新宋体" w:eastAsia="新宋体" w:cs="新宋体"/>
          <w:color w:val="auto"/>
          <w:sz w:val="22"/>
          <w:szCs w:val="22"/>
          <w:highlight w:val="none"/>
          <w:lang w:eastAsia="zh-CN"/>
        </w:rPr>
        <w:t>）耗材性能及配送方案；</w:t>
      </w:r>
    </w:p>
    <w:p w14:paraId="59529305">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12</w:t>
      </w:r>
      <w:r>
        <w:rPr>
          <w:rFonts w:hint="eastAsia" w:ascii="新宋体" w:hAnsi="新宋体" w:eastAsia="新宋体" w:cs="新宋体"/>
          <w:color w:val="auto"/>
          <w:sz w:val="22"/>
          <w:szCs w:val="22"/>
          <w:highlight w:val="none"/>
          <w:lang w:eastAsia="zh-CN"/>
        </w:rPr>
        <w:t>）应急预案；</w:t>
      </w:r>
    </w:p>
    <w:p w14:paraId="4917AD81">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13</w:t>
      </w:r>
      <w:r>
        <w:rPr>
          <w:rFonts w:hint="eastAsia" w:ascii="新宋体" w:hAnsi="新宋体" w:eastAsia="新宋体" w:cs="新宋体"/>
          <w:color w:val="auto"/>
          <w:sz w:val="22"/>
          <w:szCs w:val="22"/>
          <w:highlight w:val="none"/>
          <w:lang w:eastAsia="zh-CN"/>
        </w:rPr>
        <w:t>）售后服务；</w:t>
      </w:r>
    </w:p>
    <w:p w14:paraId="3FDA0BB7">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14</w:t>
      </w:r>
      <w:r>
        <w:rPr>
          <w:rFonts w:hint="eastAsia" w:ascii="新宋体" w:hAnsi="新宋体" w:eastAsia="新宋体" w:cs="新宋体"/>
          <w:color w:val="auto"/>
          <w:sz w:val="22"/>
          <w:szCs w:val="22"/>
          <w:highlight w:val="none"/>
          <w:lang w:eastAsia="zh-CN"/>
        </w:rPr>
        <w:t>）业绩；</w:t>
      </w:r>
    </w:p>
    <w:p w14:paraId="47580DA8">
      <w:pPr>
        <w:snapToGrid w:val="0"/>
        <w:spacing w:line="460" w:lineRule="exact"/>
        <w:ind w:firstLine="440" w:firstLineChars="200"/>
        <w:rPr>
          <w:rFonts w:ascii="新宋体" w:hAnsi="新宋体" w:eastAsia="新宋体" w:cs="新宋体"/>
          <w:color w:val="auto"/>
          <w:sz w:val="22"/>
          <w:szCs w:val="22"/>
          <w:highlight w:val="none"/>
          <w:u w:color="000000"/>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15</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u w:color="000000"/>
        </w:rPr>
        <w:t>其他必要提供的资料</w:t>
      </w:r>
      <w:r>
        <w:rPr>
          <w:rFonts w:hint="eastAsia" w:ascii="新宋体" w:hAnsi="新宋体" w:eastAsia="新宋体" w:cs="新宋体"/>
          <w:color w:val="auto"/>
          <w:sz w:val="22"/>
          <w:szCs w:val="22"/>
          <w:highlight w:val="none"/>
          <w:u w:color="000000"/>
          <w:lang w:eastAsia="zh-CN"/>
        </w:rPr>
        <w:t>（</w:t>
      </w:r>
      <w:r>
        <w:rPr>
          <w:rFonts w:hint="eastAsia" w:ascii="新宋体" w:hAnsi="新宋体" w:eastAsia="新宋体" w:cs="新宋体"/>
          <w:color w:val="auto"/>
          <w:sz w:val="22"/>
          <w:szCs w:val="22"/>
          <w:highlight w:val="none"/>
          <w:u w:color="000000"/>
          <w:lang w:val="en-US" w:eastAsia="zh-CN"/>
        </w:rPr>
        <w:t>如有</w:t>
      </w:r>
      <w:r>
        <w:rPr>
          <w:rFonts w:hint="eastAsia" w:ascii="新宋体" w:hAnsi="新宋体" w:eastAsia="新宋体" w:cs="新宋体"/>
          <w:color w:val="auto"/>
          <w:sz w:val="22"/>
          <w:szCs w:val="22"/>
          <w:highlight w:val="none"/>
          <w:u w:color="000000"/>
          <w:lang w:eastAsia="zh-CN"/>
        </w:rPr>
        <w:t>）</w:t>
      </w:r>
      <w:r>
        <w:rPr>
          <w:rFonts w:hint="eastAsia" w:ascii="新宋体" w:hAnsi="新宋体" w:eastAsia="新宋体" w:cs="新宋体"/>
          <w:color w:val="auto"/>
          <w:sz w:val="22"/>
          <w:szCs w:val="22"/>
          <w:highlight w:val="none"/>
          <w:u w:color="000000"/>
        </w:rPr>
        <w:t>。</w:t>
      </w:r>
    </w:p>
    <w:p w14:paraId="68F9B74B">
      <w:pPr>
        <w:spacing w:line="460" w:lineRule="exact"/>
        <w:ind w:firstLine="442" w:firstLineChars="200"/>
        <w:rPr>
          <w:rFonts w:hint="eastAsia" w:ascii="新宋体" w:hAnsi="新宋体" w:eastAsia="新宋体" w:cs="新宋体"/>
          <w:b/>
          <w:color w:val="auto"/>
          <w:sz w:val="22"/>
          <w:szCs w:val="22"/>
          <w:highlight w:val="none"/>
          <w:lang w:val="zh-CN"/>
        </w:rPr>
      </w:pPr>
      <w:r>
        <w:rPr>
          <w:rFonts w:hint="eastAsia" w:ascii="新宋体" w:hAnsi="新宋体" w:eastAsia="新宋体" w:cs="新宋体"/>
          <w:b/>
          <w:color w:val="auto"/>
          <w:sz w:val="22"/>
          <w:szCs w:val="22"/>
          <w:highlight w:val="none"/>
          <w:lang w:val="zh-CN"/>
        </w:rPr>
        <w:t>投标文件中所需的各种证书、证件、证明资料如是复印件，须在复印件上加盖有效公章。</w:t>
      </w:r>
    </w:p>
    <w:p w14:paraId="17ABCDBB">
      <w:pPr>
        <w:spacing w:line="460" w:lineRule="exact"/>
        <w:ind w:firstLine="442" w:firstLineChars="200"/>
        <w:rPr>
          <w:rFonts w:hint="eastAsia" w:ascii="新宋体" w:hAnsi="新宋体" w:eastAsia="新宋体" w:cs="新宋体"/>
          <w:b/>
          <w:color w:val="auto"/>
          <w:sz w:val="22"/>
          <w:szCs w:val="22"/>
          <w:highlight w:val="none"/>
          <w:lang w:val="zh-CN"/>
        </w:rPr>
      </w:pPr>
      <w:r>
        <w:rPr>
          <w:rFonts w:hint="eastAsia" w:ascii="新宋体" w:hAnsi="新宋体" w:eastAsia="新宋体" w:cs="新宋体"/>
          <w:b/>
          <w:color w:val="auto"/>
          <w:sz w:val="22"/>
          <w:szCs w:val="22"/>
          <w:highlight w:val="none"/>
          <w:lang w:val="zh-CN"/>
        </w:rPr>
        <w:t>投标人的投标文件必须按照招标文件要求制作。</w:t>
      </w:r>
    </w:p>
    <w:p w14:paraId="3D38B6C2">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3.2 投标文件格式</w:t>
      </w:r>
    </w:p>
    <w:p w14:paraId="5D1DB453">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投标人应根据招标文件中所提供的格式，内容按顺序填写并装订成册，分别装于技术标和商务标内。</w:t>
      </w:r>
    </w:p>
    <w:p w14:paraId="5FDE4A6B">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4、投标报价</w:t>
      </w:r>
    </w:p>
    <w:p w14:paraId="66C20382">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4.1</w:t>
      </w:r>
      <w:r>
        <w:rPr>
          <w:rFonts w:hint="eastAsia" w:ascii="新宋体" w:hAnsi="新宋体" w:eastAsia="新宋体" w:cs="新宋体"/>
          <w:b/>
          <w:color w:val="auto"/>
          <w:sz w:val="22"/>
          <w:szCs w:val="22"/>
          <w:highlight w:val="none"/>
        </w:rPr>
        <w:t>投标报价是</w:t>
      </w:r>
      <w:r>
        <w:rPr>
          <w:rFonts w:hint="eastAsia" w:ascii="新宋体" w:hAnsi="新宋体" w:eastAsia="新宋体"/>
          <w:b/>
          <w:color w:val="auto"/>
          <w:sz w:val="22"/>
          <w:szCs w:val="22"/>
          <w:highlight w:val="none"/>
        </w:rPr>
        <w:t>打印设备、耗材、维修维护服务、维修所需的配件、设备租赁费用、税金、包装、运输、安装调试、售后服务等完成合同所需的一切本身和不可或缺的所有工作开支、政策性文件规定及合同包含的所有风险、责任等各项全部费用并承担一切风险责任，实行固定费用总包干，供应商应根据上述因素自行考虑含入投标总价</w:t>
      </w:r>
      <w:r>
        <w:rPr>
          <w:rFonts w:hint="eastAsia" w:ascii="新宋体" w:hAnsi="新宋体" w:eastAsia="新宋体" w:cs="新宋体"/>
          <w:b/>
          <w:color w:val="auto"/>
          <w:sz w:val="22"/>
          <w:highlight w:val="none"/>
        </w:rPr>
        <w:t>。</w:t>
      </w:r>
    </w:p>
    <w:p w14:paraId="622F4B06">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4.2投标人按附件中的投标报价一览表（均统一格式）内容填写价格，并由投标人代表签署。</w:t>
      </w:r>
    </w:p>
    <w:p w14:paraId="60E50E91">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4.3</w:t>
      </w:r>
      <w:r>
        <w:rPr>
          <w:rFonts w:hint="eastAsia" w:ascii="新宋体" w:hAnsi="新宋体" w:eastAsia="新宋体" w:cs="新宋体"/>
          <w:b/>
          <w:color w:val="auto"/>
          <w:sz w:val="22"/>
          <w:highlight w:val="none"/>
        </w:rPr>
        <w:t>投标货币以人民币进行投标</w:t>
      </w:r>
      <w:r>
        <w:rPr>
          <w:rFonts w:hint="eastAsia" w:ascii="新宋体" w:hAnsi="新宋体" w:eastAsia="新宋体" w:cs="新宋体"/>
          <w:b/>
          <w:color w:val="auto"/>
          <w:sz w:val="22"/>
          <w:szCs w:val="22"/>
          <w:highlight w:val="none"/>
        </w:rPr>
        <w:t>。</w:t>
      </w:r>
    </w:p>
    <w:p w14:paraId="34656B54">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4.4</w:t>
      </w:r>
      <w:r>
        <w:rPr>
          <w:rFonts w:hint="eastAsia" w:ascii="新宋体" w:hAnsi="新宋体" w:eastAsia="新宋体" w:cs="新宋体"/>
          <w:b/>
          <w:color w:val="auto"/>
          <w:sz w:val="22"/>
          <w:highlight w:val="none"/>
        </w:rPr>
        <w:t>招标人和招标代理机构不接受任何选择投标，对任何</w:t>
      </w:r>
      <w:r>
        <w:rPr>
          <w:rFonts w:hint="eastAsia" w:ascii="新宋体" w:hAnsi="新宋体" w:eastAsia="新宋体" w:cs="新宋体"/>
          <w:b/>
          <w:color w:val="auto"/>
          <w:sz w:val="22"/>
          <w:highlight w:val="none"/>
          <w:lang w:val="en-US" w:eastAsia="zh-CN"/>
        </w:rPr>
        <w:t>货物或者</w:t>
      </w:r>
      <w:r>
        <w:rPr>
          <w:rFonts w:hint="eastAsia" w:ascii="新宋体" w:hAnsi="新宋体" w:eastAsia="新宋体" w:cs="新宋体"/>
          <w:b/>
          <w:color w:val="auto"/>
          <w:sz w:val="22"/>
          <w:highlight w:val="none"/>
        </w:rPr>
        <w:t>服务只允许一个价格。</w:t>
      </w:r>
    </w:p>
    <w:p w14:paraId="244F0290">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4.5招标人和</w:t>
      </w:r>
      <w:r>
        <w:rPr>
          <w:rFonts w:hint="eastAsia" w:ascii="新宋体" w:hAnsi="新宋体" w:eastAsia="新宋体" w:cs="新宋体"/>
          <w:color w:val="auto"/>
          <w:sz w:val="22"/>
          <w:highlight w:val="none"/>
        </w:rPr>
        <w:t>招标代理机构</w:t>
      </w:r>
      <w:r>
        <w:rPr>
          <w:rFonts w:hint="eastAsia" w:ascii="新宋体" w:hAnsi="新宋体" w:eastAsia="新宋体" w:cs="新宋体"/>
          <w:color w:val="auto"/>
          <w:sz w:val="22"/>
          <w:szCs w:val="22"/>
          <w:highlight w:val="none"/>
        </w:rPr>
        <w:t>要求分类报价是为了方便评标，但在任何情况下不限制招标人以其认为最合适的条款、条件签订合同的权利。</w:t>
      </w:r>
    </w:p>
    <w:p w14:paraId="766C20EB">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4.6投标报价报出后，投标人不得以任何理由予以变更。任何包含价格调整的要求，将被认为是非实质性响应投标而予以否决。</w:t>
      </w:r>
    </w:p>
    <w:p w14:paraId="50D1B242">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4.7最低报价不能作为中标的保证。</w:t>
      </w:r>
    </w:p>
    <w:p w14:paraId="478DE025">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5、投标有效期</w:t>
      </w:r>
    </w:p>
    <w:p w14:paraId="0189F994">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5.1自开标之日起</w:t>
      </w:r>
      <w:r>
        <w:rPr>
          <w:rFonts w:hint="eastAsia" w:ascii="新宋体" w:hAnsi="新宋体" w:eastAsia="新宋体" w:cs="新宋体"/>
          <w:b/>
          <w:bCs/>
          <w:color w:val="auto"/>
          <w:sz w:val="22"/>
          <w:szCs w:val="22"/>
          <w:highlight w:val="none"/>
          <w:lang w:val="en-US" w:eastAsia="zh-CN"/>
        </w:rPr>
        <w:t>90</w:t>
      </w:r>
      <w:r>
        <w:rPr>
          <w:rFonts w:hint="eastAsia" w:ascii="新宋体" w:hAnsi="新宋体" w:eastAsia="新宋体" w:cs="新宋体"/>
          <w:b/>
          <w:color w:val="auto"/>
          <w:sz w:val="22"/>
          <w:szCs w:val="22"/>
          <w:highlight w:val="none"/>
        </w:rPr>
        <w:t>天内投标应保持有效。</w:t>
      </w:r>
    </w:p>
    <w:p w14:paraId="3B14ADC0">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5.2特殊情况下，在原投标有效期截止前，招标人、招标代理机构可与投标人协商延长投标有效期，这种要求和答复均以书面形式进行。投标人可拒绝接受延期要求。同意延长投标有效期的投标人不得修改投标文件。</w:t>
      </w:r>
    </w:p>
    <w:p w14:paraId="25CA9778">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6、投标保证金</w:t>
      </w:r>
    </w:p>
    <w:p w14:paraId="657B7286">
      <w:pPr>
        <w:snapToGrid w:val="0"/>
        <w:spacing w:line="460" w:lineRule="exact"/>
        <w:ind w:firstLine="880" w:firstLineChars="4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无。</w:t>
      </w:r>
    </w:p>
    <w:p w14:paraId="395D3BF3">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7、投标文件编制</w:t>
      </w:r>
    </w:p>
    <w:p w14:paraId="40B71047">
      <w:pPr>
        <w:snapToGrid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7.1本项目通过“</w:t>
      </w:r>
      <w:r>
        <w:rPr>
          <w:rFonts w:hint="eastAsia" w:ascii="新宋体" w:hAnsi="新宋体" w:eastAsia="新宋体" w:cs="新宋体"/>
          <w:b/>
          <w:bCs/>
          <w:color w:val="auto"/>
          <w:sz w:val="22"/>
          <w:szCs w:val="22"/>
          <w:highlight w:val="none"/>
          <w:u w:val="single"/>
          <w:lang w:eastAsia="zh-CN"/>
        </w:rPr>
        <w:t>乐采云平台</w:t>
      </w:r>
      <w:r>
        <w:rPr>
          <w:rFonts w:hint="eastAsia" w:ascii="新宋体" w:hAnsi="新宋体" w:eastAsia="新宋体" w:cs="新宋体"/>
          <w:b/>
          <w:bCs/>
          <w:color w:val="auto"/>
          <w:sz w:val="22"/>
          <w:szCs w:val="22"/>
          <w:highlight w:val="none"/>
          <w:u w:val="single"/>
        </w:rPr>
        <w:t>（http://zfcg.czt.zj.gov.cn）”实行在线投标响应（电子投标）。供应商应通过“</w:t>
      </w:r>
      <w:r>
        <w:rPr>
          <w:rFonts w:hint="eastAsia" w:ascii="新宋体" w:hAnsi="新宋体" w:eastAsia="新宋体" w:cs="新宋体"/>
          <w:b/>
          <w:bCs/>
          <w:color w:val="auto"/>
          <w:sz w:val="22"/>
          <w:szCs w:val="22"/>
          <w:highlight w:val="none"/>
          <w:u w:val="single"/>
          <w:lang w:eastAsia="zh-CN"/>
        </w:rPr>
        <w:t>乐采云电子交易客户端</w:t>
      </w:r>
      <w:r>
        <w:rPr>
          <w:rFonts w:hint="eastAsia" w:ascii="新宋体" w:hAnsi="新宋体" w:eastAsia="新宋体" w:cs="新宋体"/>
          <w:b/>
          <w:bCs/>
          <w:color w:val="auto"/>
          <w:sz w:val="22"/>
          <w:szCs w:val="22"/>
          <w:highlight w:val="none"/>
          <w:u w:val="single"/>
        </w:rPr>
        <w:t>”，并按照本招标文件和“</w:t>
      </w:r>
      <w:r>
        <w:rPr>
          <w:rFonts w:hint="eastAsia" w:ascii="新宋体" w:hAnsi="新宋体" w:eastAsia="新宋体" w:cs="新宋体"/>
          <w:b/>
          <w:bCs/>
          <w:color w:val="auto"/>
          <w:sz w:val="22"/>
          <w:szCs w:val="22"/>
          <w:highlight w:val="none"/>
          <w:u w:val="single"/>
          <w:lang w:eastAsia="zh-CN"/>
        </w:rPr>
        <w:t>乐采云平台</w:t>
      </w:r>
      <w:r>
        <w:rPr>
          <w:rFonts w:hint="eastAsia" w:ascii="新宋体" w:hAnsi="新宋体" w:eastAsia="新宋体" w:cs="新宋体"/>
          <w:b/>
          <w:bCs/>
          <w:color w:val="auto"/>
          <w:sz w:val="22"/>
          <w:szCs w:val="22"/>
          <w:highlight w:val="none"/>
          <w:u w:val="single"/>
        </w:rPr>
        <w:t>”的要求编制并加密投标文件。</w:t>
      </w:r>
    </w:p>
    <w:p w14:paraId="6B40AC29">
      <w:pPr>
        <w:snapToGrid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7.2投标人应当按照本章节 “投标文件的构成”规定的内容及顺序在“</w:t>
      </w:r>
      <w:r>
        <w:rPr>
          <w:rFonts w:hint="eastAsia" w:ascii="新宋体" w:hAnsi="新宋体" w:eastAsia="新宋体" w:cs="新宋体"/>
          <w:b/>
          <w:bCs/>
          <w:color w:val="auto"/>
          <w:sz w:val="22"/>
          <w:szCs w:val="22"/>
          <w:highlight w:val="none"/>
          <w:u w:val="single"/>
          <w:lang w:eastAsia="zh-CN"/>
        </w:rPr>
        <w:t>乐采云电子交易客户端</w:t>
      </w:r>
      <w:r>
        <w:rPr>
          <w:rFonts w:hint="eastAsia" w:ascii="新宋体" w:hAnsi="新宋体" w:eastAsia="新宋体" w:cs="新宋体"/>
          <w:b/>
          <w:bCs/>
          <w:color w:val="auto"/>
          <w:sz w:val="22"/>
          <w:szCs w:val="22"/>
          <w:highlight w:val="none"/>
          <w:u w:val="single"/>
        </w:rPr>
        <w:t>”编制投标文件。其中《资格文件》和《商务技术文件》中不得出现本项目投标报价。</w:t>
      </w:r>
    </w:p>
    <w:p w14:paraId="094C6B97">
      <w:pPr>
        <w:snapToGrid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7.3本文件《附件》中有提供格式的，投标人须参照格式进行编制（格式中要求提供相关证明材料的还需后附相关证明材料），并按格式要求在指定位置根据要求进行签章，否则视为未提供；本文件《附件》未提供格式的，请各投标人自行拟定格式，并加盖单位公章并由法定代表人或其授权代表签署（签字或盖章），否则视为未提供。</w:t>
      </w:r>
    </w:p>
    <w:p w14:paraId="725DEEB5">
      <w:pPr>
        <w:snapToGrid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7.4《投标文件》内容不完整、编排混乱导致《投标文件》被误读、漏读或者查找不到相关内容的，投标人自行负责。</w:t>
      </w:r>
    </w:p>
    <w:p w14:paraId="2D9F5F35">
      <w:pPr>
        <w:snapToGrid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7.5《投标文件》因字迹潦草或表达不清所引起的后果由投标人负责。</w:t>
      </w:r>
    </w:p>
    <w:p w14:paraId="33A3AD34">
      <w:pPr>
        <w:snapToGrid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7.6投标人没有按照本章节 “投标文件的构成”要求提供全部资料，或者没有仔细阅读招标文件，或者没有对招标文件在各方面的要求作出实质性响应是投标人的风险，由此造成的一切后果由投标人自行承担。</w:t>
      </w:r>
    </w:p>
    <w:p w14:paraId="0B2384F4">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8、投标文件的签章</w:t>
      </w:r>
    </w:p>
    <w:p w14:paraId="4220E68F">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8.1《投标文件》的签章：见《前附表》；</w:t>
      </w:r>
    </w:p>
    <w:p w14:paraId="5B385063">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8.2《投标文件》应由投标人法定代表人或其授权代表签字（或盖章），并时加盖投标人公章。</w:t>
      </w:r>
    </w:p>
    <w:p w14:paraId="1D07449D">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8.3电子签章操作指南详见采购公告附件《供应商项目采购-电子招投标操作指南》。</w:t>
      </w:r>
    </w:p>
    <w:p w14:paraId="4242CF3A">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9、投标文件的形式</w:t>
      </w:r>
    </w:p>
    <w:p w14:paraId="5F5F2BE7">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9.1投标文件的形式：见《前附表》；</w:t>
      </w:r>
    </w:p>
    <w:p w14:paraId="0B0A5ADD">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9.2“电子加密投标文件”：“电子加密投标文件”是指通过“</w:t>
      </w:r>
      <w:r>
        <w:rPr>
          <w:rFonts w:hint="eastAsia" w:ascii="新宋体" w:hAnsi="新宋体" w:eastAsia="新宋体" w:cs="新宋体"/>
          <w:b/>
          <w:bCs/>
          <w:color w:val="auto"/>
          <w:sz w:val="22"/>
          <w:szCs w:val="22"/>
          <w:highlight w:val="none"/>
          <w:lang w:eastAsia="zh-CN"/>
        </w:rPr>
        <w:t>乐采云电子交易客户端</w:t>
      </w:r>
      <w:r>
        <w:rPr>
          <w:rFonts w:hint="eastAsia" w:ascii="新宋体" w:hAnsi="新宋体" w:eastAsia="新宋体" w:cs="新宋体"/>
          <w:b/>
          <w:bCs/>
          <w:color w:val="auto"/>
          <w:sz w:val="22"/>
          <w:szCs w:val="22"/>
          <w:highlight w:val="none"/>
        </w:rPr>
        <w:t>”完成投标文件编制后生成并加密的数据电文形式的投标文件。</w:t>
      </w:r>
    </w:p>
    <w:p w14:paraId="5148C035">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9.3“备份投标文件”：“备份投标文件”是指与“电子加密投标文件”同时生成的数据电文形式的电子文件（备份标书），其他方式编制的“备份投标文件”视为无效的“备份投标文件”。</w:t>
      </w:r>
    </w:p>
    <w:p w14:paraId="3AEE476C">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10、投标文件的份数</w:t>
      </w:r>
    </w:p>
    <w:p w14:paraId="3E9ADF5E">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10.1投标文件的份数：见《前附表》。</w:t>
      </w:r>
    </w:p>
    <w:p w14:paraId="2DDEA4F8">
      <w:pPr>
        <w:spacing w:before="100" w:beforeAutospacing="1" w:after="100" w:afterAutospacing="1" w:line="440" w:lineRule="exact"/>
        <w:jc w:val="center"/>
        <w:outlineLvl w:val="1"/>
        <w:rPr>
          <w:rFonts w:hint="eastAsia" w:ascii="新宋体" w:hAnsi="新宋体" w:eastAsia="新宋体" w:cs="新宋体"/>
          <w:b/>
          <w:bCs/>
          <w:color w:val="auto"/>
          <w:sz w:val="22"/>
          <w:szCs w:val="22"/>
          <w:highlight w:val="none"/>
        </w:rPr>
      </w:pPr>
      <w:bookmarkStart w:id="29" w:name="_Toc17331"/>
      <w:bookmarkStart w:id="30" w:name="_Toc27959"/>
      <w:bookmarkStart w:id="31" w:name="_Toc17294"/>
      <w:r>
        <w:rPr>
          <w:rFonts w:hint="eastAsia" w:ascii="新宋体" w:hAnsi="新宋体" w:eastAsia="新宋体" w:cs="新宋体"/>
          <w:b/>
          <w:bCs/>
          <w:color w:val="auto"/>
          <w:sz w:val="22"/>
          <w:szCs w:val="22"/>
          <w:highlight w:val="none"/>
        </w:rPr>
        <w:t>四、 投标文件的递交</w:t>
      </w:r>
      <w:bookmarkEnd w:id="29"/>
      <w:bookmarkEnd w:id="30"/>
      <w:bookmarkEnd w:id="31"/>
    </w:p>
    <w:p w14:paraId="694AFB8C">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1、投标文件的上传和递交</w:t>
      </w:r>
    </w:p>
    <w:p w14:paraId="5AB91C39">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1.1“投标文件”的上传、递交：见《前附表》。</w:t>
      </w:r>
    </w:p>
    <w:p w14:paraId="04059F5B">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2、“电子加密投标文件”解密和异常情况处理</w:t>
      </w:r>
    </w:p>
    <w:p w14:paraId="581CA33F">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2.1“电子加密投标文件”解密：见《前附表》。</w:t>
      </w:r>
    </w:p>
    <w:p w14:paraId="601DD1FB">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3、投标文件的补充、修改或撤回</w:t>
      </w:r>
    </w:p>
    <w:p w14:paraId="2C5ABA63">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3.1供应商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递交的投标文件，“</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”将予以拒收。</w:t>
      </w:r>
    </w:p>
    <w:p w14:paraId="7ECAD6D5">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3.2投标截止时间后，投标人不得撤回、修改《投标文件》。</w:t>
      </w:r>
    </w:p>
    <w:p w14:paraId="3C7D5B70">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4、投标文件的备选方案</w:t>
      </w:r>
    </w:p>
    <w:p w14:paraId="56549920">
      <w:pPr>
        <w:snapToGrid w:val="0"/>
        <w:spacing w:line="460" w:lineRule="exact"/>
        <w:ind w:firstLine="440"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4.1投标人不得递交任何的投标备选（替代）方案，否则其投标文件将作无效标处理。与“电子加密投标文件”同时生成的“备份投标文件”不是投标备选（替代）方案。</w:t>
      </w:r>
    </w:p>
    <w:p w14:paraId="02FA7D28">
      <w:pPr>
        <w:spacing w:before="100" w:beforeAutospacing="1" w:after="100" w:afterAutospacing="1" w:line="460" w:lineRule="exact"/>
        <w:jc w:val="center"/>
        <w:outlineLvl w:val="1"/>
        <w:rPr>
          <w:rFonts w:hint="eastAsia" w:ascii="新宋体" w:hAnsi="新宋体" w:eastAsia="新宋体" w:cs="新宋体"/>
          <w:b/>
          <w:bCs/>
          <w:color w:val="auto"/>
          <w:sz w:val="22"/>
          <w:szCs w:val="22"/>
          <w:highlight w:val="none"/>
        </w:rPr>
      </w:pPr>
      <w:bookmarkStart w:id="32" w:name="_Toc8432"/>
      <w:bookmarkStart w:id="33" w:name="_Toc21565"/>
      <w:bookmarkStart w:id="34" w:name="_Toc13876"/>
      <w:r>
        <w:rPr>
          <w:rFonts w:hint="eastAsia" w:ascii="新宋体" w:hAnsi="新宋体" w:eastAsia="新宋体" w:cs="新宋体"/>
          <w:b/>
          <w:bCs/>
          <w:color w:val="auto"/>
          <w:sz w:val="22"/>
          <w:szCs w:val="22"/>
          <w:highlight w:val="none"/>
        </w:rPr>
        <w:t>五、 开标和评标</w:t>
      </w:r>
      <w:bookmarkEnd w:id="32"/>
      <w:bookmarkEnd w:id="33"/>
      <w:bookmarkEnd w:id="34"/>
    </w:p>
    <w:p w14:paraId="1EFB263C">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1、评标委员会</w:t>
      </w:r>
    </w:p>
    <w:p w14:paraId="060B0AA1">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招标人和招标代理机构组建评标委员会。评标委员会的成员在评标过程中必须严格遵守《政府采购法》等有关法律、法规的规定。</w:t>
      </w:r>
    </w:p>
    <w:p w14:paraId="5E6A2E7F">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2、评标过程的保密性</w:t>
      </w:r>
    </w:p>
    <w:p w14:paraId="1420AE2F">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开标后直至向中标人授予合同时止，凡与评审有关的资料均不得向投标人及与评标无关人员透露。如果投标人在评标过程中试图向招标人和招标代理机构施加影响，其投标将被拒绝。</w:t>
      </w:r>
    </w:p>
    <w:p w14:paraId="065BE773">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3、开标形式</w:t>
      </w:r>
    </w:p>
    <w:p w14:paraId="47C84205">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采购组织机构将按照招标文件规定的时间通过“</w:t>
      </w:r>
      <w:r>
        <w:rPr>
          <w:rFonts w:hint="eastAsia" w:ascii="新宋体" w:hAnsi="新宋体" w:eastAsia="新宋体" w:cs="新宋体"/>
          <w:b/>
          <w:color w:val="auto"/>
          <w:sz w:val="22"/>
          <w:szCs w:val="22"/>
          <w:highlight w:val="none"/>
          <w:lang w:eastAsia="zh-CN"/>
        </w:rPr>
        <w:t>乐采云平台</w:t>
      </w:r>
      <w:r>
        <w:rPr>
          <w:rFonts w:hint="eastAsia" w:ascii="新宋体" w:hAnsi="新宋体" w:eastAsia="新宋体" w:cs="新宋体"/>
          <w:b/>
          <w:color w:val="auto"/>
          <w:sz w:val="22"/>
          <w:szCs w:val="22"/>
          <w:highlight w:val="none"/>
        </w:rPr>
        <w:t>”组织开标、开启投标文件，所有供应商均应当准时（在线）参加。</w:t>
      </w:r>
    </w:p>
    <w:p w14:paraId="56519331">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4、开标准备</w:t>
      </w:r>
    </w:p>
    <w:p w14:paraId="756B38AF">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4.1开标的准备工作由采购组织机构负责落实；</w:t>
      </w:r>
    </w:p>
    <w:p w14:paraId="35C7FA7E">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4.2</w:t>
      </w:r>
      <w:r>
        <w:rPr>
          <w:rFonts w:hint="eastAsia" w:ascii="新宋体" w:hAnsi="新宋体" w:eastAsia="新宋体" w:cs="新宋体"/>
          <w:b/>
          <w:color w:val="auto"/>
          <w:sz w:val="22"/>
          <w:szCs w:val="22"/>
          <w:highlight w:val="none"/>
        </w:rPr>
        <w:t>采购组织机构将按照招标文件规定的时间通过“</w:t>
      </w:r>
      <w:r>
        <w:rPr>
          <w:rFonts w:hint="eastAsia" w:ascii="新宋体" w:hAnsi="新宋体" w:eastAsia="新宋体" w:cs="新宋体"/>
          <w:b/>
          <w:color w:val="auto"/>
          <w:sz w:val="22"/>
          <w:szCs w:val="22"/>
          <w:highlight w:val="none"/>
          <w:lang w:eastAsia="zh-CN"/>
        </w:rPr>
        <w:t>乐采云平台</w:t>
      </w:r>
      <w:r>
        <w:rPr>
          <w:rFonts w:hint="eastAsia" w:ascii="新宋体" w:hAnsi="新宋体" w:eastAsia="新宋体" w:cs="新宋体"/>
          <w:b/>
          <w:color w:val="auto"/>
          <w:sz w:val="22"/>
          <w:szCs w:val="22"/>
          <w:highlight w:val="none"/>
        </w:rPr>
        <w:t>”组织开标、开启投标文件，所有供应商均应当准时（在线）参加。</w:t>
      </w:r>
      <w:r>
        <w:rPr>
          <w:rFonts w:hint="eastAsia" w:ascii="新宋体" w:hAnsi="新宋体" w:eastAsia="新宋体" w:cs="新宋体"/>
          <w:b/>
          <w:color w:val="auto"/>
          <w:kern w:val="0"/>
          <w:sz w:val="22"/>
          <w:szCs w:val="22"/>
          <w:highlight w:val="none"/>
        </w:rPr>
        <w:t>投标人如不参加开标大会的，视同认可开标结果，事后不得对采购相关人员、开标过程和开标结果提出异议，同时投标人因未在线参加开标而导致投标文件无法按时解密等一切后果由供应商自己承担。</w:t>
      </w:r>
    </w:p>
    <w:p w14:paraId="6CB1ABB2">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5、开标流程</w:t>
      </w:r>
    </w:p>
    <w:p w14:paraId="1DB85E17">
      <w:pPr>
        <w:snapToGrid w:val="0"/>
        <w:spacing w:line="460" w:lineRule="exact"/>
        <w:ind w:firstLine="442" w:firstLineChars="200"/>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5.1开标、评标</w:t>
      </w:r>
    </w:p>
    <w:p w14:paraId="411BE10C">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（1）向各投标人发出电子加密投标文件【开始解密】通知，由供应商按招标文件规定的时间内自行进行投标文件解密。投标人在规定的时间内无法完成已递交的“电子加密投标文件”解密的，如已按规 定递交了备份投标文件的，将由采购组织机构按“</w:t>
      </w:r>
      <w:r>
        <w:rPr>
          <w:rFonts w:hint="eastAsia" w:ascii="新宋体" w:hAnsi="新宋体" w:eastAsia="新宋体" w:cs="新宋体"/>
          <w:color w:val="auto"/>
          <w:kern w:val="0"/>
          <w:sz w:val="22"/>
          <w:szCs w:val="22"/>
          <w:highlight w:val="none"/>
          <w:lang w:eastAsia="zh-CN"/>
        </w:rPr>
        <w:t>乐采云平台</w:t>
      </w:r>
      <w:r>
        <w:rPr>
          <w:rFonts w:hint="eastAsia" w:ascii="新宋体" w:hAnsi="新宋体" w:eastAsia="新宋体" w:cs="新宋体"/>
          <w:color w:val="auto"/>
          <w:kern w:val="0"/>
          <w:sz w:val="22"/>
          <w:szCs w:val="22"/>
          <w:highlight w:val="none"/>
        </w:rPr>
        <w:t>”操作规范将备份投标文件上传至“</w:t>
      </w:r>
      <w:r>
        <w:rPr>
          <w:rFonts w:hint="eastAsia" w:ascii="新宋体" w:hAnsi="新宋体" w:eastAsia="新宋体" w:cs="新宋体"/>
          <w:color w:val="auto"/>
          <w:kern w:val="0"/>
          <w:sz w:val="22"/>
          <w:szCs w:val="22"/>
          <w:highlight w:val="none"/>
          <w:lang w:eastAsia="zh-CN"/>
        </w:rPr>
        <w:t>乐采云平台</w:t>
      </w:r>
      <w:r>
        <w:rPr>
          <w:rFonts w:hint="eastAsia" w:ascii="新宋体" w:hAnsi="新宋体" w:eastAsia="新宋体" w:cs="新宋体"/>
          <w:color w:val="auto"/>
          <w:kern w:val="0"/>
          <w:sz w:val="22"/>
          <w:szCs w:val="22"/>
          <w:highlight w:val="none"/>
        </w:rPr>
        <w:t>”，上传成功后，“电子加密投标文件”自动失效；</w:t>
      </w:r>
    </w:p>
    <w:p w14:paraId="62114497">
      <w:pPr>
        <w:snapToGrid w:val="0"/>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投标人不足3家的，不得开标。</w:t>
      </w:r>
    </w:p>
    <w:p w14:paraId="2BF2ED72">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（2）解密成功后，开启投标人的《报价文件》，由供应商对自己报价文件相关内容进行签字确认（不予确认的应说明理由，否则视为无异议）。</w:t>
      </w:r>
    </w:p>
    <w:p w14:paraId="1AEA627C">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（3）开启《投标文件》，进入资格审查；</w:t>
      </w:r>
      <w:r>
        <w:rPr>
          <w:rFonts w:hint="eastAsia" w:ascii="新宋体" w:hAnsi="新宋体" w:eastAsia="新宋体" w:cs="新宋体"/>
          <w:bCs/>
          <w:color w:val="auto"/>
          <w:sz w:val="22"/>
          <w:szCs w:val="22"/>
          <w:highlight w:val="none"/>
        </w:rPr>
        <w:t>合格投标人不足3家的，不得评标。</w:t>
      </w:r>
    </w:p>
    <w:p w14:paraId="5142EB6D">
      <w:pPr>
        <w:snapToGrid w:val="0"/>
        <w:spacing w:line="460" w:lineRule="exact"/>
        <w:ind w:firstLine="442"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b/>
          <w:color w:val="auto"/>
          <w:kern w:val="0"/>
          <w:sz w:val="22"/>
          <w:szCs w:val="22"/>
          <w:highlight w:val="none"/>
        </w:rPr>
        <w:t>备注：开标大会的结束后，招标人或采购代理机构将对依法对投标人的资格进行审查，资格审查结束后进入符合性审查和商务技术的评审工作，具体见本章节“投标人资格审查”相关规定。</w:t>
      </w:r>
    </w:p>
    <w:p w14:paraId="3DDCD512">
      <w:pPr>
        <w:snapToGrid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color w:val="auto"/>
          <w:kern w:val="0"/>
          <w:sz w:val="22"/>
          <w:szCs w:val="22"/>
          <w:highlight w:val="none"/>
        </w:rPr>
        <w:t>（4）开启资格审查通过的投标人的商务技术文件进入符合性审查，</w:t>
      </w:r>
      <w:r>
        <w:rPr>
          <w:rFonts w:hint="eastAsia" w:ascii="新宋体" w:hAnsi="新宋体" w:eastAsia="新宋体" w:cs="新宋体"/>
          <w:bCs/>
          <w:color w:val="auto"/>
          <w:sz w:val="22"/>
          <w:szCs w:val="22"/>
          <w:highlight w:val="none"/>
        </w:rPr>
        <w:t>以确定其是否满足招标文件的实质性要求，合格投标人不足3家的，不得评标。</w:t>
      </w:r>
    </w:p>
    <w:p w14:paraId="2CC595F2">
      <w:pPr>
        <w:snapToGrid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没有满足招标文件的实质性要求的投标作无效标处理。评标委员会决定投标的实质性要求只根据投标文件本身的内容，而不寻求外部的证据。投标人不得通过修正或撤消不合要求的偏离或保留从而使其投标成为实质上响应的投标。</w:t>
      </w:r>
    </w:p>
    <w:p w14:paraId="662EEE88">
      <w:pPr>
        <w:snapToGrid w:val="0"/>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（5）对通过资格审查、符合性审查的合格供应商进行商务技术部分的评审。</w:t>
      </w:r>
    </w:p>
    <w:p w14:paraId="493558F8">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（6）评标委员会对报价的合理性、准确性等进行审查核实。</w:t>
      </w:r>
    </w:p>
    <w:p w14:paraId="7924BC5B">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（7）评审结束后，公布中标（成交）候选供应商名单及招标人最终确定中标或成交供应商名单的时间和公告方式等，未在场的投标人通过发送邮件形式通知。</w:t>
      </w:r>
    </w:p>
    <w:p w14:paraId="1CBD17EF">
      <w:pPr>
        <w:snapToGrid w:val="0"/>
        <w:spacing w:line="460" w:lineRule="exact"/>
        <w:ind w:firstLine="442" w:firstLineChars="200"/>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特别说明：如遇“</w:t>
      </w:r>
      <w:r>
        <w:rPr>
          <w:rFonts w:hint="eastAsia" w:ascii="新宋体" w:hAnsi="新宋体" w:eastAsia="新宋体" w:cs="新宋体"/>
          <w:b/>
          <w:color w:val="auto"/>
          <w:kern w:val="0"/>
          <w:sz w:val="22"/>
          <w:szCs w:val="22"/>
          <w:highlight w:val="none"/>
          <w:lang w:eastAsia="zh-CN"/>
        </w:rPr>
        <w:t>乐采云平台</w:t>
      </w:r>
      <w:r>
        <w:rPr>
          <w:rFonts w:hint="eastAsia" w:ascii="新宋体" w:hAnsi="新宋体" w:eastAsia="新宋体" w:cs="新宋体"/>
          <w:b/>
          <w:color w:val="auto"/>
          <w:kern w:val="0"/>
          <w:sz w:val="22"/>
          <w:szCs w:val="22"/>
          <w:highlight w:val="none"/>
        </w:rPr>
        <w:t>”电子化开标或评审程序调整的，按调整后程序执行。</w:t>
      </w:r>
    </w:p>
    <w:p w14:paraId="6E7CD184">
      <w:pPr>
        <w:snapToGrid w:val="0"/>
        <w:spacing w:line="460" w:lineRule="exact"/>
        <w:ind w:firstLine="440" w:firstLineChars="200"/>
        <w:rPr>
          <w:rFonts w:hint="eastAsia" w:ascii="新宋体" w:hAnsi="新宋体" w:eastAsia="新宋体" w:cs="新宋体"/>
          <w:color w:val="auto"/>
          <w:sz w:val="22"/>
          <w:szCs w:val="22"/>
          <w:highlight w:val="none"/>
        </w:rPr>
      </w:pPr>
      <w:bookmarkStart w:id="35" w:name="_Toc24550037"/>
      <w:bookmarkStart w:id="36" w:name="_Toc33194393"/>
      <w:r>
        <w:rPr>
          <w:rFonts w:hint="eastAsia" w:ascii="新宋体" w:hAnsi="新宋体" w:eastAsia="新宋体" w:cs="新宋体"/>
          <w:color w:val="auto"/>
          <w:sz w:val="22"/>
          <w:szCs w:val="22"/>
          <w:highlight w:val="none"/>
        </w:rPr>
        <w:t>6、投标人资格审查</w:t>
      </w:r>
      <w:bookmarkEnd w:id="35"/>
      <w:bookmarkEnd w:id="36"/>
    </w:p>
    <w:p w14:paraId="36A69B60">
      <w:pPr>
        <w:snapToGrid w:val="0"/>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6.1开标大会结束后，招标人或招标代理机构首先依法对各投标人的资格进行审查，审查各投标人的资格是否满足招标文件的要求。</w:t>
      </w:r>
      <w:r>
        <w:rPr>
          <w:rFonts w:hint="eastAsia" w:ascii="新宋体" w:hAnsi="新宋体" w:eastAsia="新宋体" w:cs="新宋体"/>
          <w:color w:val="auto"/>
          <w:sz w:val="22"/>
          <w:szCs w:val="22"/>
          <w:highlight w:val="none"/>
        </w:rPr>
        <w:t>招标人或招标代理机构对投标人所提交的资格证明材料仅负审核的责任。如发现投标人所提交的资格证明材料不合法或与事实不符，招标人可取消其中标资格并追究投标人的法律责任。</w:t>
      </w:r>
    </w:p>
    <w:p w14:paraId="17950217">
      <w:pPr>
        <w:snapToGrid w:val="0"/>
        <w:spacing w:line="460" w:lineRule="exact"/>
        <w:ind w:firstLine="442" w:firstLineChars="200"/>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sz w:val="22"/>
          <w:szCs w:val="22"/>
          <w:highlight w:val="none"/>
        </w:rPr>
        <w:t>6.2投标人提交的资格证明材料无法证明其符合招标文件规定的“投标人资格要求”的，招标人或招标代理机构</w:t>
      </w:r>
      <w:r>
        <w:rPr>
          <w:rFonts w:hint="eastAsia" w:ascii="新宋体" w:hAnsi="新宋体" w:eastAsia="新宋体" w:cs="新宋体"/>
          <w:b/>
          <w:color w:val="auto"/>
          <w:kern w:val="0"/>
          <w:sz w:val="22"/>
          <w:szCs w:val="22"/>
          <w:highlight w:val="none"/>
        </w:rPr>
        <w:t>将对其作资格审查不通过处理（无效投标），并不再将其投标提交评标委员会进行后续评审。</w:t>
      </w:r>
    </w:p>
    <w:p w14:paraId="53CDD52A">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6</w:t>
      </w:r>
      <w:r>
        <w:rPr>
          <w:rFonts w:hint="eastAsia" w:ascii="新宋体" w:hAnsi="新宋体" w:eastAsia="新宋体" w:cs="新宋体"/>
          <w:b/>
          <w:color w:val="auto"/>
          <w:kern w:val="0"/>
          <w:sz w:val="22"/>
          <w:szCs w:val="22"/>
          <w:highlight w:val="none"/>
        </w:rPr>
        <w:t>.3单位负责人为同一人或者存在直接控股、管理关系的不同供应商参加同一合同项下的采购活动的，相关投标人均作资格无效处理。</w:t>
      </w:r>
    </w:p>
    <w:p w14:paraId="40279FAC">
      <w:pPr>
        <w:snapToGrid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7、评标委员按照招标文件中规定的评标方法和标准，对投标文件进行商务和技术评估，综合比较与评价。</w:t>
      </w:r>
    </w:p>
    <w:p w14:paraId="4518529B">
      <w:pPr>
        <w:snapToGrid w:val="0"/>
        <w:spacing w:line="460" w:lineRule="exact"/>
        <w:ind w:firstLine="442" w:firstLineChars="200"/>
        <w:rPr>
          <w:rFonts w:hint="eastAsia" w:ascii="新宋体" w:hAnsi="新宋体" w:eastAsia="新宋体" w:cs="新宋体"/>
          <w:b/>
          <w:color w:val="auto"/>
          <w:sz w:val="22"/>
          <w:szCs w:val="22"/>
          <w:highlight w:val="none"/>
          <w:u w:val="single"/>
        </w:rPr>
      </w:pPr>
      <w:r>
        <w:rPr>
          <w:rFonts w:hint="eastAsia" w:ascii="新宋体" w:hAnsi="新宋体" w:eastAsia="新宋体" w:cs="新宋体"/>
          <w:b/>
          <w:color w:val="auto"/>
          <w:sz w:val="22"/>
          <w:szCs w:val="22"/>
          <w:highlight w:val="none"/>
          <w:u w:val="single"/>
        </w:rPr>
        <w:t>8、投标人存在下列情况之一的，投标无效：</w:t>
      </w:r>
    </w:p>
    <w:p w14:paraId="62EC861D">
      <w:pPr>
        <w:snapToGrid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（1）投标文件未按招标文件要求签署、盖章的；</w:t>
      </w:r>
    </w:p>
    <w:p w14:paraId="081D2001">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（2）不具备招标文件中规定的资格要求的；</w:t>
      </w:r>
    </w:p>
    <w:p w14:paraId="2ACBADA0">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（3）明显不符合招标文件中主要技术规格、技术标准的；</w:t>
      </w:r>
    </w:p>
    <w:p w14:paraId="3AA11145">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w:t>
      </w:r>
      <w:r>
        <w:rPr>
          <w:rFonts w:hint="eastAsia" w:ascii="新宋体" w:hAnsi="新宋体" w:eastAsia="新宋体" w:cs="新宋体"/>
          <w:bCs/>
          <w:color w:val="auto"/>
          <w:sz w:val="22"/>
          <w:szCs w:val="22"/>
          <w:highlight w:val="none"/>
        </w:rPr>
        <w:t>“</w:t>
      </w:r>
      <w:r>
        <w:rPr>
          <w:rFonts w:hint="eastAsia" w:ascii="新宋体" w:hAnsi="新宋体" w:eastAsia="新宋体" w:cs="新宋体"/>
          <w:color w:val="auto"/>
          <w:sz w:val="22"/>
          <w:szCs w:val="22"/>
          <w:highlight w:val="none"/>
        </w:rPr>
        <w:t>▲</w:t>
      </w:r>
      <w:r>
        <w:rPr>
          <w:rFonts w:hint="eastAsia" w:ascii="新宋体" w:hAnsi="新宋体" w:eastAsia="新宋体" w:cs="新宋体"/>
          <w:bCs/>
          <w:color w:val="auto"/>
          <w:sz w:val="22"/>
          <w:szCs w:val="22"/>
          <w:highlight w:val="none"/>
        </w:rPr>
        <w:t>”标记条款负偏离或不响应的</w:t>
      </w:r>
      <w:r>
        <w:rPr>
          <w:rFonts w:hint="eastAsia" w:ascii="新宋体" w:hAnsi="新宋体" w:eastAsia="新宋体" w:cs="新宋体"/>
          <w:color w:val="auto"/>
          <w:kern w:val="0"/>
          <w:sz w:val="22"/>
          <w:szCs w:val="22"/>
          <w:highlight w:val="none"/>
        </w:rPr>
        <w:t>；</w:t>
      </w:r>
    </w:p>
    <w:p w14:paraId="50EF3DCC">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（5）投标文件内容不全或关键字迹模糊无法辨认的；</w:t>
      </w:r>
    </w:p>
    <w:p w14:paraId="65D7C0C0">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（6）投标人代表没有法定代表人合法、有效委托的；</w:t>
      </w:r>
    </w:p>
    <w:p w14:paraId="38F60407">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（7）报价超过招标文件中规定的预算金额或者最高限价的；</w:t>
      </w:r>
    </w:p>
    <w:p w14:paraId="3090BA2B">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8）投标文件存在一个或一个以上备选（替代）投标方案的；</w:t>
      </w:r>
    </w:p>
    <w:p w14:paraId="0536B381">
      <w:pPr>
        <w:snapToGrid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color w:val="auto"/>
          <w:kern w:val="0"/>
          <w:sz w:val="22"/>
          <w:szCs w:val="22"/>
          <w:highlight w:val="none"/>
        </w:rPr>
        <w:t>（9）仅提交“备份投标文件”的；</w:t>
      </w:r>
    </w:p>
    <w:p w14:paraId="3D4B385E">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w:t>
      </w:r>
      <w:r>
        <w:rPr>
          <w:rFonts w:hint="eastAsia" w:ascii="新宋体" w:hAnsi="新宋体" w:eastAsia="新宋体" w:cs="新宋体"/>
          <w:color w:val="auto"/>
          <w:kern w:val="0"/>
          <w:sz w:val="22"/>
          <w:szCs w:val="22"/>
          <w:highlight w:val="none"/>
          <w:lang w:val="en-US" w:eastAsia="zh-CN"/>
        </w:rPr>
        <w:t>0</w:t>
      </w:r>
      <w:r>
        <w:rPr>
          <w:rFonts w:hint="eastAsia" w:ascii="新宋体" w:hAnsi="新宋体" w:eastAsia="新宋体" w:cs="新宋体"/>
          <w:color w:val="auto"/>
          <w:kern w:val="0"/>
          <w:sz w:val="22"/>
          <w:szCs w:val="22"/>
          <w:highlight w:val="none"/>
        </w:rPr>
        <w:t>）投标文件含有招标人不能接受的附加条件的；</w:t>
      </w:r>
    </w:p>
    <w:p w14:paraId="4097CAD8">
      <w:pPr>
        <w:snapToGrid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color w:val="auto"/>
          <w:kern w:val="0"/>
          <w:sz w:val="22"/>
          <w:szCs w:val="22"/>
          <w:highlight w:val="none"/>
        </w:rPr>
        <w:t>（</w:t>
      </w:r>
      <w:r>
        <w:rPr>
          <w:rFonts w:hint="eastAsia" w:ascii="新宋体" w:hAnsi="新宋体" w:eastAsia="新宋体" w:cs="新宋体"/>
          <w:bCs/>
          <w:color w:val="auto"/>
          <w:sz w:val="22"/>
          <w:szCs w:val="22"/>
          <w:highlight w:val="none"/>
        </w:rPr>
        <w:t>1</w:t>
      </w:r>
      <w:r>
        <w:rPr>
          <w:rFonts w:hint="eastAsia" w:ascii="新宋体" w:hAnsi="新宋体" w:eastAsia="新宋体" w:cs="新宋体"/>
          <w:bCs/>
          <w:color w:val="auto"/>
          <w:sz w:val="22"/>
          <w:szCs w:val="22"/>
          <w:highlight w:val="none"/>
          <w:lang w:val="en-US" w:eastAsia="zh-CN"/>
        </w:rPr>
        <w:t>1</w:t>
      </w:r>
      <w:r>
        <w:rPr>
          <w:rFonts w:hint="eastAsia" w:ascii="新宋体" w:hAnsi="新宋体" w:eastAsia="新宋体" w:cs="新宋体"/>
          <w:bCs/>
          <w:color w:val="auto"/>
          <w:sz w:val="22"/>
          <w:szCs w:val="22"/>
          <w:highlight w:val="none"/>
        </w:rPr>
        <w:t>）法律、法规和招标文件规定的其他无效情形。</w:t>
      </w:r>
    </w:p>
    <w:p w14:paraId="1DE1F053">
      <w:pPr>
        <w:snapToGrid w:val="0"/>
        <w:spacing w:line="460" w:lineRule="exact"/>
        <w:ind w:firstLine="442" w:firstLineChars="200"/>
        <w:rPr>
          <w:rFonts w:hint="eastAsia" w:ascii="新宋体" w:hAnsi="新宋体" w:eastAsia="新宋体" w:cs="新宋体"/>
          <w:b/>
          <w:bCs/>
          <w:color w:val="auto"/>
          <w:sz w:val="22"/>
          <w:szCs w:val="22"/>
          <w:highlight w:val="none"/>
          <w:u w:val="single"/>
          <w:lang w:eastAsia="zh-CN"/>
        </w:rPr>
      </w:pPr>
      <w:r>
        <w:rPr>
          <w:rFonts w:hint="eastAsia" w:ascii="新宋体" w:hAnsi="新宋体" w:eastAsia="新宋体" w:cs="新宋体"/>
          <w:b/>
          <w:bCs/>
          <w:color w:val="auto"/>
          <w:sz w:val="22"/>
          <w:szCs w:val="22"/>
          <w:highlight w:val="none"/>
          <w:u w:val="single"/>
        </w:rPr>
        <w:t>9、有下列情形之一的，视为投标人串通投标，其投标无效</w:t>
      </w:r>
      <w:r>
        <w:rPr>
          <w:rFonts w:hint="eastAsia" w:ascii="新宋体" w:hAnsi="新宋体" w:eastAsia="新宋体" w:cs="新宋体"/>
          <w:b/>
          <w:bCs/>
          <w:color w:val="auto"/>
          <w:sz w:val="22"/>
          <w:szCs w:val="22"/>
          <w:highlight w:val="none"/>
          <w:u w:val="single"/>
          <w:lang w:eastAsia="zh-CN"/>
        </w:rPr>
        <w:t>：</w:t>
      </w:r>
    </w:p>
    <w:p w14:paraId="34E21A3F">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（1）不同投标人的投标文件由同一单位或者个人编制；</w:t>
      </w:r>
    </w:p>
    <w:p w14:paraId="7B2B08A7">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（2）不同投标人委托同一单位或者个人办理投标事宜；</w:t>
      </w:r>
    </w:p>
    <w:p w14:paraId="296154AD">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（3）不同投标人的投标文件载明的项目管理成员或者联系人员为同一人；</w:t>
      </w:r>
    </w:p>
    <w:p w14:paraId="338DDC2E">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（4）不同投标人的投标文件异常一致或者投标报价呈规律性差异；</w:t>
      </w:r>
    </w:p>
    <w:p w14:paraId="256EA249">
      <w:pPr>
        <w:snapToGrid w:val="0"/>
        <w:spacing w:line="460" w:lineRule="exact"/>
        <w:ind w:firstLine="440" w:firstLineChars="200"/>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kern w:val="0"/>
          <w:sz w:val="22"/>
          <w:szCs w:val="22"/>
          <w:highlight w:val="none"/>
        </w:rPr>
        <w:t>（5）</w:t>
      </w:r>
      <w:r>
        <w:rPr>
          <w:rFonts w:hint="eastAsia" w:ascii="新宋体" w:hAnsi="新宋体" w:eastAsia="新宋体" w:cs="新宋体"/>
          <w:color w:val="auto"/>
          <w:sz w:val="22"/>
          <w:szCs w:val="22"/>
          <w:highlight w:val="none"/>
        </w:rPr>
        <w:t>不同投标人的投标文件相互混装</w:t>
      </w:r>
      <w:r>
        <w:rPr>
          <w:rFonts w:hint="eastAsia" w:ascii="新宋体" w:hAnsi="新宋体" w:eastAsia="新宋体" w:cs="新宋体"/>
          <w:color w:val="auto"/>
          <w:sz w:val="22"/>
          <w:szCs w:val="22"/>
          <w:highlight w:val="none"/>
          <w:lang w:eastAsia="zh-CN"/>
        </w:rPr>
        <w:t>；</w:t>
      </w:r>
    </w:p>
    <w:p w14:paraId="17647456">
      <w:pPr>
        <w:tabs>
          <w:tab w:val="left" w:pos="36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6</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b w:val="0"/>
          <w:bCs w:val="0"/>
          <w:color w:val="auto"/>
          <w:sz w:val="22"/>
          <w:szCs w:val="22"/>
          <w:highlight w:val="none"/>
          <w:u w:val="none"/>
          <w:lang w:val="en-US" w:eastAsia="zh-CN"/>
        </w:rPr>
        <w:t>参与同一个采购包（标段）的供应商存在下列情形之一且无法合理解释的，其投标（响应）文件无效：</w:t>
      </w:r>
      <w:r>
        <w:rPr>
          <w:rFonts w:hint="eastAsia" w:ascii="微软雅黑" w:hAnsi="微软雅黑" w:eastAsia="微软雅黑" w:cs="微软雅黑"/>
          <w:b w:val="0"/>
          <w:bCs w:val="0"/>
          <w:color w:val="auto"/>
          <w:sz w:val="22"/>
          <w:szCs w:val="22"/>
          <w:highlight w:val="none"/>
          <w:u w:val="none"/>
          <w:lang w:val="en-US" w:eastAsia="zh-CN"/>
        </w:rPr>
        <w:t>①</w:t>
      </w:r>
      <w:r>
        <w:rPr>
          <w:rFonts w:hint="eastAsia" w:ascii="新宋体" w:hAnsi="新宋体" w:eastAsia="新宋体" w:cs="新宋体"/>
          <w:b w:val="0"/>
          <w:bCs w:val="0"/>
          <w:color w:val="auto"/>
          <w:sz w:val="22"/>
          <w:szCs w:val="22"/>
          <w:highlight w:val="none"/>
          <w:u w:val="none"/>
          <w:lang w:val="en-US" w:eastAsia="zh-CN"/>
        </w:rPr>
        <w:t>不同供应商的电子投标（响应）文件上传计算机的网卡MAC地址或硬盘序列号等硬件信息相同的；</w:t>
      </w:r>
      <w:r>
        <w:rPr>
          <w:rFonts w:hint="eastAsia" w:ascii="微软雅黑" w:hAnsi="微软雅黑" w:eastAsia="微软雅黑" w:cs="微软雅黑"/>
          <w:b w:val="0"/>
          <w:bCs w:val="0"/>
          <w:color w:val="auto"/>
          <w:sz w:val="22"/>
          <w:szCs w:val="22"/>
          <w:highlight w:val="none"/>
          <w:u w:val="none"/>
          <w:lang w:val="en-US" w:eastAsia="zh-CN"/>
        </w:rPr>
        <w:t>②</w:t>
      </w:r>
      <w:r>
        <w:rPr>
          <w:rFonts w:hint="eastAsia" w:ascii="新宋体" w:hAnsi="新宋体" w:eastAsia="新宋体" w:cs="新宋体"/>
          <w:b w:val="0"/>
          <w:bCs w:val="0"/>
          <w:color w:val="auto"/>
          <w:sz w:val="22"/>
          <w:szCs w:val="22"/>
          <w:highlight w:val="none"/>
          <w:u w:val="none"/>
          <w:lang w:val="en-US" w:eastAsia="zh-CN"/>
        </w:rPr>
        <w:t>上传的电子投标（响应）文件若出现使用本项目其他投标（响应）供应商的数字证书加密的，或者加盖本项目其他投标（响应）供应商的电子印章的；</w:t>
      </w:r>
      <w:r>
        <w:rPr>
          <w:rFonts w:hint="eastAsia" w:ascii="微软雅黑" w:hAnsi="微软雅黑" w:eastAsia="微软雅黑" w:cs="微软雅黑"/>
          <w:b w:val="0"/>
          <w:bCs w:val="0"/>
          <w:color w:val="auto"/>
          <w:sz w:val="22"/>
          <w:szCs w:val="22"/>
          <w:highlight w:val="none"/>
          <w:u w:val="none"/>
          <w:lang w:val="en-US" w:eastAsia="zh-CN"/>
        </w:rPr>
        <w:t>③</w:t>
      </w:r>
      <w:r>
        <w:rPr>
          <w:rFonts w:hint="eastAsia" w:ascii="新宋体" w:hAnsi="新宋体" w:eastAsia="新宋体" w:cs="新宋体"/>
          <w:b w:val="0"/>
          <w:bCs w:val="0"/>
          <w:color w:val="auto"/>
          <w:sz w:val="22"/>
          <w:szCs w:val="22"/>
          <w:highlight w:val="none"/>
          <w:u w:val="none"/>
          <w:lang w:val="en-US" w:eastAsia="zh-CN"/>
        </w:rPr>
        <w:t>不同供应商的投标（响应）文件的内容存在3处（含）以上错误一致的；</w:t>
      </w:r>
      <w:r>
        <w:rPr>
          <w:rFonts w:hint="eastAsia" w:ascii="微软雅黑" w:hAnsi="微软雅黑" w:eastAsia="微软雅黑" w:cs="微软雅黑"/>
          <w:b w:val="0"/>
          <w:bCs w:val="0"/>
          <w:color w:val="auto"/>
          <w:sz w:val="22"/>
          <w:szCs w:val="22"/>
          <w:highlight w:val="none"/>
          <w:u w:val="none"/>
          <w:lang w:val="en-US" w:eastAsia="zh-CN"/>
        </w:rPr>
        <w:t>④</w:t>
      </w:r>
      <w:r>
        <w:rPr>
          <w:rFonts w:hint="eastAsia" w:ascii="新宋体" w:hAnsi="新宋体" w:eastAsia="新宋体" w:cs="新宋体"/>
          <w:b w:val="0"/>
          <w:bCs w:val="0"/>
          <w:color w:val="auto"/>
          <w:sz w:val="22"/>
          <w:szCs w:val="22"/>
          <w:highlight w:val="none"/>
          <w:u w:val="none"/>
          <w:lang w:val="en-US" w:eastAsia="zh-CN"/>
        </w:rPr>
        <w:t>不同供应商联系人为同一人或不同联系人的联系电话一致的。</w:t>
      </w:r>
    </w:p>
    <w:p w14:paraId="2CEB3640">
      <w:pPr>
        <w:snapToGrid w:val="0"/>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10、投标文件报价出现前后不一致的，按照下列规定修正：</w:t>
      </w:r>
    </w:p>
    <w:p w14:paraId="5D89182E">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（1）投标文件中开标一览表（报价表）内容与投标文件中相应内容不一致的，以开标一览表（报价表）为准；</w:t>
      </w:r>
    </w:p>
    <w:p w14:paraId="09896A9E">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（2）大写金额和小写金额不一致的，以大写金额为准；</w:t>
      </w:r>
    </w:p>
    <w:p w14:paraId="145AAE9F">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（3）单价金额小数点或者百分比有明显错位的，以开标一览表的总价为准，并修改单价；</w:t>
      </w:r>
    </w:p>
    <w:p w14:paraId="4001287E">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（4）总价金额与按单价汇总金额不一致的，以单价金额计算结果为准。</w:t>
      </w:r>
    </w:p>
    <w:p w14:paraId="0A821EF4">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同时出</w:t>
      </w:r>
      <w:r>
        <w:rPr>
          <w:rFonts w:hint="eastAsia" w:ascii="新宋体" w:hAnsi="新宋体" w:eastAsia="新宋体" w:cs="新宋体"/>
          <w:color w:val="auto"/>
          <w:sz w:val="22"/>
          <w:szCs w:val="22"/>
          <w:highlight w:val="none"/>
        </w:rPr>
        <w:t>现两种以上不一致的，按照前款规定的顺序修正。修正后的报价按照本小节第12条第12.2款的规定经投标人确认后产生约束力，投标人不确认的，其投标无效。</w:t>
      </w:r>
    </w:p>
    <w:p w14:paraId="4E11AC11">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11、评标委员会成员对需要共同认定的事项存在争议的，应当按照少数服从多数的原则作出结论。持不同意见的评标委员会成员应当在评标报告上签署不同意见及理由，否则视为同意评标报告。</w:t>
      </w:r>
    </w:p>
    <w:p w14:paraId="6879D739">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12、投标文件的澄清</w:t>
      </w:r>
    </w:p>
    <w:p w14:paraId="735DA22D">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12.1在评标期间，评标委员会可要求投标人对于投标文件中含义不明确、同类问题表述不一致或者有</w:t>
      </w:r>
      <w:r>
        <w:rPr>
          <w:rFonts w:hint="eastAsia" w:ascii="新宋体" w:hAnsi="新宋体" w:eastAsia="新宋体" w:cs="新宋体"/>
          <w:bCs/>
          <w:color w:val="auto"/>
          <w:sz w:val="22"/>
          <w:szCs w:val="22"/>
          <w:highlight w:val="none"/>
        </w:rPr>
        <w:t>明</w:t>
      </w:r>
      <w:r>
        <w:rPr>
          <w:rFonts w:hint="eastAsia" w:ascii="新宋体" w:hAnsi="新宋体" w:eastAsia="新宋体" w:cs="新宋体"/>
          <w:color w:val="auto"/>
          <w:kern w:val="0"/>
          <w:sz w:val="22"/>
          <w:szCs w:val="22"/>
          <w:highlight w:val="none"/>
        </w:rPr>
        <w:t>显文字和计算错误的内容，评标委员会应当以书面形式（或通过“</w:t>
      </w:r>
      <w:r>
        <w:rPr>
          <w:rFonts w:hint="eastAsia" w:ascii="新宋体" w:hAnsi="新宋体" w:eastAsia="新宋体" w:cs="新宋体"/>
          <w:color w:val="auto"/>
          <w:kern w:val="0"/>
          <w:sz w:val="22"/>
          <w:szCs w:val="22"/>
          <w:highlight w:val="none"/>
          <w:lang w:eastAsia="zh-CN"/>
        </w:rPr>
        <w:t>乐采云平台</w:t>
      </w:r>
      <w:r>
        <w:rPr>
          <w:rFonts w:hint="eastAsia" w:ascii="新宋体" w:hAnsi="新宋体" w:eastAsia="新宋体" w:cs="新宋体"/>
          <w:color w:val="auto"/>
          <w:kern w:val="0"/>
          <w:sz w:val="22"/>
          <w:szCs w:val="22"/>
          <w:highlight w:val="none"/>
        </w:rPr>
        <w:t>”在线询标）要求投标人在规定的时间内作出必要的澄清、说明或者补正。投标人澄清、说明或补正时间为35分钟。</w:t>
      </w:r>
    </w:p>
    <w:p w14:paraId="0D0AC089">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12.2投标人的澄清、说明或者补正应当采用书面形式（或通过“</w:t>
      </w:r>
      <w:r>
        <w:rPr>
          <w:rFonts w:hint="eastAsia" w:ascii="新宋体" w:hAnsi="新宋体" w:eastAsia="新宋体" w:cs="新宋体"/>
          <w:color w:val="auto"/>
          <w:kern w:val="0"/>
          <w:sz w:val="22"/>
          <w:szCs w:val="22"/>
          <w:highlight w:val="none"/>
          <w:lang w:eastAsia="zh-CN"/>
        </w:rPr>
        <w:t>乐采云平台</w:t>
      </w:r>
      <w:r>
        <w:rPr>
          <w:rFonts w:hint="eastAsia" w:ascii="新宋体" w:hAnsi="新宋体" w:eastAsia="新宋体" w:cs="新宋体"/>
          <w:color w:val="auto"/>
          <w:kern w:val="0"/>
          <w:sz w:val="22"/>
          <w:szCs w:val="22"/>
          <w:highlight w:val="none"/>
        </w:rPr>
        <w:t>”在线答复），并加盖公章，</w:t>
      </w:r>
      <w:r>
        <w:rPr>
          <w:rFonts w:hint="eastAsia" w:ascii="新宋体" w:hAnsi="新宋体" w:eastAsia="新宋体" w:cs="新宋体"/>
          <w:bCs/>
          <w:color w:val="auto"/>
          <w:sz w:val="22"/>
          <w:szCs w:val="22"/>
          <w:highlight w:val="none"/>
        </w:rPr>
        <w:t>或者由法定代表人或其授权的代表签字。投标人的澄清、说明或者补正不得超出投标文件的范</w:t>
      </w:r>
      <w:r>
        <w:rPr>
          <w:rFonts w:hint="eastAsia" w:ascii="新宋体" w:hAnsi="新宋体" w:eastAsia="新宋体" w:cs="新宋体"/>
          <w:color w:val="auto"/>
          <w:kern w:val="0"/>
          <w:sz w:val="22"/>
          <w:szCs w:val="22"/>
          <w:highlight w:val="none"/>
        </w:rPr>
        <w:t>围或者改变投标文件的实质性内容。</w:t>
      </w:r>
    </w:p>
    <w:p w14:paraId="65673992">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kern w:val="0"/>
          <w:sz w:val="22"/>
          <w:szCs w:val="22"/>
          <w:highlight w:val="none"/>
        </w:rPr>
        <w:t>拒</w:t>
      </w:r>
      <w:r>
        <w:rPr>
          <w:rFonts w:hint="eastAsia" w:ascii="新宋体" w:hAnsi="新宋体" w:eastAsia="新宋体" w:cs="新宋体"/>
          <w:color w:val="auto"/>
          <w:sz w:val="22"/>
          <w:szCs w:val="22"/>
          <w:highlight w:val="none"/>
        </w:rPr>
        <w:t>不按要求对其投标文件进行澄清，说明或补正的投标人，评标委员会可以否决其投标。</w:t>
      </w:r>
    </w:p>
    <w:p w14:paraId="5E1A4374">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12.</w:t>
      </w:r>
      <w:r>
        <w:rPr>
          <w:rFonts w:hint="eastAsia" w:ascii="新宋体" w:hAnsi="新宋体" w:eastAsia="新宋体" w:cs="新宋体"/>
          <w:b/>
          <w:bCs/>
          <w:color w:val="auto"/>
          <w:sz w:val="22"/>
          <w:szCs w:val="22"/>
          <w:highlight w:val="none"/>
          <w:lang w:val="en-US" w:eastAsia="zh-CN"/>
        </w:rPr>
        <w:t>3</w:t>
      </w:r>
      <w:r>
        <w:rPr>
          <w:rFonts w:hint="eastAsia" w:ascii="新宋体" w:hAnsi="新宋体" w:eastAsia="新宋体" w:cs="新宋体"/>
          <w:b/>
          <w:bCs/>
          <w:color w:val="auto"/>
          <w:sz w:val="22"/>
          <w:szCs w:val="22"/>
          <w:highlight w:val="none"/>
        </w:rPr>
        <w:t>经澄清后，若偏差仍存在，且不可接受，投标人则被认为是“没有实质性响应招标文件要求”，其投标将被拒绝。</w:t>
      </w:r>
    </w:p>
    <w:p w14:paraId="44EF6F79">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13、评审结果的修改</w:t>
      </w:r>
    </w:p>
    <w:p w14:paraId="0082D2A4">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13.1评标结果汇总完成后，除下列情形外，任何人不得修改评标结果：</w:t>
      </w:r>
    </w:p>
    <w:p w14:paraId="0B5E8F0E">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（1）分值汇总计算错误的；</w:t>
      </w:r>
    </w:p>
    <w:p w14:paraId="63824D7D">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（2）分项评分超出评分标准范围的；</w:t>
      </w:r>
    </w:p>
    <w:p w14:paraId="2AEC0D52">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（3）评标委员会成员对客观评审因素评分不一致的；</w:t>
      </w:r>
    </w:p>
    <w:p w14:paraId="25EB3546">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（4）</w:t>
      </w:r>
      <w:r>
        <w:rPr>
          <w:rFonts w:hint="eastAsia" w:ascii="新宋体" w:hAnsi="新宋体" w:eastAsia="新宋体" w:cs="新宋体"/>
          <w:color w:val="auto"/>
          <w:sz w:val="22"/>
          <w:szCs w:val="22"/>
          <w:highlight w:val="none"/>
        </w:rPr>
        <w:t>经评标委员会认定评分畸高、畸低的。</w:t>
      </w:r>
    </w:p>
    <w:p w14:paraId="6DB8F711">
      <w:pPr>
        <w:snapToGrid w:val="0"/>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bCs/>
          <w:color w:val="auto"/>
          <w:sz w:val="22"/>
          <w:szCs w:val="22"/>
          <w:highlight w:val="none"/>
        </w:rPr>
        <w:t>13.2书面评标报告签署前，经复核发现存在以上情形之一的，评标委员会将当场修改评标结果，并在</w:t>
      </w:r>
      <w:r>
        <w:rPr>
          <w:rFonts w:hint="eastAsia" w:ascii="新宋体" w:hAnsi="新宋体" w:eastAsia="新宋体" w:cs="新宋体"/>
          <w:b/>
          <w:color w:val="auto"/>
          <w:sz w:val="22"/>
          <w:szCs w:val="22"/>
          <w:highlight w:val="none"/>
        </w:rPr>
        <w:t>评标报告中记载。</w:t>
      </w:r>
    </w:p>
    <w:p w14:paraId="35E964FB">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14、确定中标候选人</w:t>
      </w:r>
    </w:p>
    <w:p w14:paraId="6329AB6B">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14.1由评标委员会确定中标候选人。</w:t>
      </w:r>
    </w:p>
    <w:p w14:paraId="4D4F8BB9">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14.2评标委员会依据法律、法规及招标文件有关规定按评审后得分（即商务技术分与报价得分之和）由</w:t>
      </w:r>
      <w:r>
        <w:rPr>
          <w:rFonts w:hint="eastAsia" w:ascii="新宋体" w:hAnsi="新宋体" w:eastAsia="新宋体" w:cs="新宋体"/>
          <w:color w:val="auto"/>
          <w:sz w:val="22"/>
          <w:szCs w:val="22"/>
          <w:highlight w:val="none"/>
        </w:rPr>
        <w:t>高到低顺序排序，得分前二名的投标人确定为该项目的第一和第二中标候选人（得分相同的，按投标报价由低到高顺序排列。得分且投标报价相同的并列。）向招标人推荐。</w:t>
      </w:r>
    </w:p>
    <w:p w14:paraId="0F060A8C">
      <w:pPr>
        <w:snapToGrid w:val="0"/>
        <w:spacing w:line="460" w:lineRule="exact"/>
        <w:ind w:firstLine="442"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
          <w:bCs/>
          <w:color w:val="auto"/>
          <w:sz w:val="22"/>
          <w:szCs w:val="22"/>
          <w:highlight w:val="none"/>
        </w:rPr>
        <w:t>15、确定中标人</w:t>
      </w:r>
    </w:p>
    <w:p w14:paraId="5A5CF240">
      <w:pPr>
        <w:snapToGrid w:val="0"/>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15</w:t>
      </w:r>
      <w:r>
        <w:rPr>
          <w:rFonts w:hint="eastAsia" w:ascii="新宋体" w:hAnsi="新宋体" w:eastAsia="新宋体" w:cs="新宋体"/>
          <w:b/>
          <w:bCs/>
          <w:color w:val="auto"/>
          <w:sz w:val="22"/>
          <w:szCs w:val="22"/>
          <w:highlight w:val="none"/>
        </w:rPr>
        <w:t>.1招标人按照书面评标报告中推荐的中标候选供应商顺序确定中标人；也可以事先授权评标委员会按照推荐的中标候选供应商顺序直接确定中标人。中标候选人并列的，由评标委员会全体成员记名投票按少数服从多数的原则确定排名。</w:t>
      </w:r>
    </w:p>
    <w:p w14:paraId="4B1DF4ED">
      <w:pPr>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15.2如中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中标人或重新组织招标。</w:t>
      </w:r>
    </w:p>
    <w:p w14:paraId="6A4E4194">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16、</w:t>
      </w:r>
      <w:r>
        <w:rPr>
          <w:rFonts w:hint="eastAsia" w:ascii="新宋体" w:hAnsi="新宋体" w:eastAsia="新宋体" w:cs="新宋体"/>
          <w:color w:val="auto"/>
          <w:sz w:val="22"/>
          <w:szCs w:val="22"/>
          <w:highlight w:val="none"/>
        </w:rPr>
        <w:t>起草、签署评审报告</w:t>
      </w:r>
    </w:p>
    <w:p w14:paraId="118A51A2">
      <w:pPr>
        <w:snapToGrid w:val="0"/>
        <w:spacing w:line="460" w:lineRule="exact"/>
        <w:ind w:firstLine="440"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评审结束后，评标委员会将通过“</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”起草评审报告，评标委员会成员应当在评审报告上签字，对自己的评审意见承担法律责任。对评审报告有异议的，应当在评审报告上签署不同意见，并说明理由，否则视为同意评审报告。</w:t>
      </w:r>
    </w:p>
    <w:p w14:paraId="6EB16C2C">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17</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中标人确定后，招标人将在指定媒体公告中标结果，招标人向中标人发出中标通知书。</w:t>
      </w:r>
    </w:p>
    <w:p w14:paraId="5654FDA5">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18、</w:t>
      </w:r>
      <w:r>
        <w:rPr>
          <w:rFonts w:hint="eastAsia" w:ascii="新宋体" w:hAnsi="新宋体" w:eastAsia="新宋体" w:cs="新宋体"/>
          <w:b/>
          <w:color w:val="auto"/>
          <w:sz w:val="22"/>
          <w:szCs w:val="22"/>
          <w:highlight w:val="none"/>
        </w:rPr>
        <w:t>招标人对决标结果不做任何解释，也不保证最低价中标。</w:t>
      </w:r>
    </w:p>
    <w:p w14:paraId="5A803FE4">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19、评标细则详见“评标原则及方法”。</w:t>
      </w:r>
    </w:p>
    <w:p w14:paraId="6B1446AA">
      <w:pPr>
        <w:spacing w:before="100" w:beforeAutospacing="1" w:after="100" w:afterAutospacing="1" w:line="440" w:lineRule="exact"/>
        <w:jc w:val="center"/>
        <w:outlineLvl w:val="1"/>
        <w:rPr>
          <w:rFonts w:hint="eastAsia" w:ascii="新宋体" w:hAnsi="新宋体" w:eastAsia="新宋体" w:cs="新宋体"/>
          <w:b/>
          <w:bCs/>
          <w:color w:val="auto"/>
          <w:sz w:val="26"/>
          <w:szCs w:val="26"/>
          <w:highlight w:val="none"/>
        </w:rPr>
      </w:pPr>
      <w:bookmarkStart w:id="37" w:name="_Toc31243"/>
      <w:bookmarkStart w:id="38" w:name="_Toc4120"/>
      <w:bookmarkStart w:id="39" w:name="_Toc3840"/>
      <w:r>
        <w:rPr>
          <w:rFonts w:hint="eastAsia" w:ascii="新宋体" w:hAnsi="新宋体" w:eastAsia="新宋体" w:cs="新宋体"/>
          <w:b/>
          <w:bCs/>
          <w:color w:val="auto"/>
          <w:sz w:val="26"/>
          <w:szCs w:val="26"/>
          <w:highlight w:val="none"/>
        </w:rPr>
        <w:t>六、 授予合同</w:t>
      </w:r>
      <w:bookmarkEnd w:id="37"/>
      <w:bookmarkEnd w:id="38"/>
      <w:bookmarkEnd w:id="39"/>
    </w:p>
    <w:p w14:paraId="5489596C">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1、中标通知书</w:t>
      </w:r>
    </w:p>
    <w:p w14:paraId="62D11CCC">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val="0"/>
          <w:bCs w:val="0"/>
          <w:color w:val="auto"/>
          <w:sz w:val="22"/>
          <w:szCs w:val="22"/>
          <w:highlight w:val="none"/>
        </w:rPr>
        <w:t>1.1中标人</w:t>
      </w:r>
      <w:r>
        <w:rPr>
          <w:rFonts w:hint="eastAsia" w:ascii="新宋体" w:hAnsi="新宋体" w:eastAsia="新宋体" w:cs="新宋体"/>
          <w:color w:val="auto"/>
          <w:sz w:val="22"/>
          <w:szCs w:val="22"/>
          <w:highlight w:val="none"/>
        </w:rPr>
        <w:t xml:space="preserve">确定后，招标人将向中标人发出中标通知书。 </w:t>
      </w:r>
    </w:p>
    <w:p w14:paraId="60A5594B">
      <w:pPr>
        <w:snapToGrid w:val="0"/>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b w:val="0"/>
          <w:bCs w:val="0"/>
          <w:color w:val="auto"/>
          <w:sz w:val="22"/>
          <w:szCs w:val="22"/>
          <w:highlight w:val="none"/>
        </w:rPr>
        <w:t>1.2中标通</w:t>
      </w:r>
      <w:r>
        <w:rPr>
          <w:rFonts w:hint="eastAsia" w:ascii="新宋体" w:hAnsi="新宋体" w:eastAsia="新宋体" w:cs="新宋体"/>
          <w:color w:val="auto"/>
          <w:sz w:val="22"/>
          <w:szCs w:val="22"/>
          <w:highlight w:val="none"/>
        </w:rPr>
        <w:t>知书是合同的一个组成部分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对招标人和中标人均具有同等法律效力。</w:t>
      </w:r>
    </w:p>
    <w:p w14:paraId="1FCBA694">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2、授标时更改采购货物数量的权力</w:t>
      </w:r>
    </w:p>
    <w:p w14:paraId="4D015F50">
      <w:pPr>
        <w:snapToGrid w:val="0"/>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2.1招标人在授予合同时有权对采购货物的数量和服务在一定幅度范围内予以增加或减少</w:t>
      </w: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rPr>
        <w:t>但不得对单价和其他的条款和条件作任何改变。</w:t>
      </w:r>
    </w:p>
    <w:p w14:paraId="2E52410D">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3、签订合同</w:t>
      </w:r>
    </w:p>
    <w:p w14:paraId="599007D2">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3.1中标人应按中标通知书规定的时间、地点与招标人签订合同，同时提交履约保证金。</w:t>
      </w:r>
    </w:p>
    <w:p w14:paraId="70B7AD4C">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3.2</w:t>
      </w:r>
      <w:r>
        <w:rPr>
          <w:rFonts w:hint="eastAsia" w:ascii="新宋体" w:hAnsi="新宋体" w:eastAsia="新宋体" w:cs="新宋体"/>
          <w:b/>
          <w:color w:val="auto"/>
          <w:spacing w:val="6"/>
          <w:sz w:val="22"/>
          <w:szCs w:val="22"/>
          <w:highlight w:val="none"/>
        </w:rPr>
        <w:t>在签订合同前，招标人有权在中标总价不变的前提下要求中标人对商务报价中的不平衡报价和缺漏项进行调整，如果中标人无合理理由拒绝调整，其中投标资格将被取消，保证金将不予退还，且将导致其它进一步的赔偿和处罚。</w:t>
      </w:r>
    </w:p>
    <w:p w14:paraId="2765D99A">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3.3招标文件、中标人的投标文件、投标修改文件、评标过程中有关澄清文件及经投标人和评委双方签字的询标纪要和中标通知书均作为合同附件。</w:t>
      </w:r>
    </w:p>
    <w:p w14:paraId="0C61B5C6">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3.4拒签合同的违约责任</w:t>
      </w:r>
    </w:p>
    <w:p w14:paraId="7F61A1E6">
      <w:pPr>
        <w:snapToGrid w:val="0"/>
        <w:spacing w:line="460" w:lineRule="exact"/>
        <w:ind w:firstLine="466"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pacing w:val="6"/>
          <w:sz w:val="22"/>
          <w:szCs w:val="22"/>
          <w:highlight w:val="none"/>
        </w:rPr>
        <w:t>中标人接到中标通知书后，在规定时间内借故否认已经承诺的条件而拒签合同的，以违约处理。</w:t>
      </w:r>
    </w:p>
    <w:p w14:paraId="7E7A6A6A">
      <w:pPr>
        <w:snapToGrid w:val="0"/>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4、质疑与投诉</w:t>
      </w:r>
    </w:p>
    <w:p w14:paraId="21313DCA">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4.1投标人认为招标文件、采购过程、中标和成交结果使自己的合法权益受到损害的，可以在知道或应知道其权益受到损害之日起七个工作日内以书面形式向招标人或招标代理机构提出质疑。</w:t>
      </w:r>
    </w:p>
    <w:p w14:paraId="6D79E40D">
      <w:pPr>
        <w:snapToGrid w:val="0"/>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4.2招标人或招标代理机构在收到投标人的书面质疑后七个工作日内作出答复，但答复的内容不得涉及商业秘密。质疑投标人对招标人或招标代理机构的答复不满意，可以在答复期满后十五个工作日内向采购监督管理部门投诉。</w:t>
      </w:r>
    </w:p>
    <w:p w14:paraId="52529827">
      <w:pPr>
        <w:snapToGrid w:val="0"/>
        <w:spacing w:line="460" w:lineRule="exact"/>
        <w:ind w:firstLine="440" w:firstLineChars="20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4.3投诉人投诉时，应提交投诉书，投诉书应当由本人并由法定代表人签字盖公章，投诉书应说明具体的投诉事项及事实依据。投诉人对投诉书的真实性负责，恶意投诉将承当相应的法律和民事责任。</w:t>
      </w:r>
    </w:p>
    <w:p w14:paraId="77FDADE1">
      <w:pPr>
        <w:pStyle w:val="284"/>
        <w:ind w:firstLine="220"/>
        <w:rPr>
          <w:rFonts w:hint="eastAsia" w:ascii="新宋体" w:hAnsi="新宋体" w:eastAsia="新宋体" w:cs="新宋体"/>
          <w:color w:val="auto"/>
          <w:sz w:val="22"/>
          <w:highlight w:val="none"/>
        </w:rPr>
      </w:pPr>
    </w:p>
    <w:p w14:paraId="7F3EB22B">
      <w:pPr>
        <w:pStyle w:val="284"/>
        <w:ind w:firstLine="220"/>
        <w:rPr>
          <w:rFonts w:hint="eastAsia" w:ascii="新宋体" w:hAnsi="新宋体" w:eastAsia="新宋体" w:cs="新宋体"/>
          <w:color w:val="auto"/>
          <w:sz w:val="22"/>
          <w:highlight w:val="none"/>
        </w:rPr>
      </w:pPr>
    </w:p>
    <w:p w14:paraId="61BB5102">
      <w:pPr>
        <w:pStyle w:val="284"/>
        <w:ind w:firstLine="220"/>
        <w:rPr>
          <w:rFonts w:hint="eastAsia" w:ascii="新宋体" w:hAnsi="新宋体" w:eastAsia="新宋体" w:cs="新宋体"/>
          <w:color w:val="auto"/>
          <w:sz w:val="22"/>
          <w:highlight w:val="none"/>
        </w:rPr>
      </w:pPr>
    </w:p>
    <w:p w14:paraId="13251F63">
      <w:pPr>
        <w:pStyle w:val="284"/>
        <w:ind w:firstLine="220"/>
        <w:rPr>
          <w:rFonts w:hint="eastAsia" w:ascii="新宋体" w:hAnsi="新宋体" w:eastAsia="新宋体" w:cs="新宋体"/>
          <w:color w:val="auto"/>
          <w:sz w:val="22"/>
          <w:highlight w:val="none"/>
        </w:rPr>
      </w:pPr>
    </w:p>
    <w:p w14:paraId="33718603">
      <w:pPr>
        <w:pStyle w:val="24"/>
        <w:spacing w:line="460" w:lineRule="exact"/>
        <w:ind w:left="602" w:hanging="602"/>
        <w:jc w:val="center"/>
        <w:outlineLvl w:val="0"/>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40" w:name="_Toc29234"/>
      <w:bookmarkStart w:id="41" w:name="_Toc31786"/>
      <w:bookmarkStart w:id="42" w:name="_Toc5521"/>
      <w:bookmarkStart w:id="43" w:name="_Toc8964"/>
      <w:r>
        <w:rPr>
          <w:rFonts w:hint="eastAsia" w:ascii="新宋体" w:hAnsi="新宋体" w:eastAsia="新宋体" w:cs="新宋体"/>
          <w:b/>
          <w:color w:val="auto"/>
          <w:sz w:val="30"/>
          <w:highlight w:val="none"/>
        </w:rPr>
        <w:t>第二部分  合同主要条款</w:t>
      </w:r>
      <w:bookmarkEnd w:id="40"/>
      <w:bookmarkEnd w:id="41"/>
      <w:bookmarkEnd w:id="42"/>
      <w:bookmarkEnd w:id="43"/>
    </w:p>
    <w:p w14:paraId="3FFDC0C2">
      <w:pPr>
        <w:keepNext w:val="0"/>
        <w:keepLines w:val="0"/>
        <w:pageBreakBefore w:val="0"/>
        <w:widowControl w:val="0"/>
        <w:kinsoku/>
        <w:wordWrap/>
        <w:overflowPunct/>
        <w:topLinePunct w:val="0"/>
        <w:autoSpaceDE/>
        <w:autoSpaceDN/>
        <w:bidi w:val="0"/>
        <w:adjustRightInd/>
        <w:snapToGrid/>
        <w:spacing w:line="460" w:lineRule="exact"/>
        <w:ind w:left="0" w:leftChars="0" w:firstLine="442" w:firstLineChars="200"/>
        <w:textAlignment w:val="auto"/>
        <w:outlineLvl w:val="9"/>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如甲、乙双方同意，合同格式也可以按照其他形式, 具体条款以买方为主协商确定。但合同条款的基本内容应与以下要求的内容相一致。</w:t>
      </w:r>
    </w:p>
    <w:p w14:paraId="63F19828">
      <w:pPr>
        <w:keepNext w:val="0"/>
        <w:keepLines w:val="0"/>
        <w:pageBreakBefore w:val="0"/>
        <w:widowControl w:val="0"/>
        <w:kinsoku/>
        <w:wordWrap/>
        <w:overflowPunct/>
        <w:topLinePunct w:val="0"/>
        <w:autoSpaceDE/>
        <w:autoSpaceDN/>
        <w:bidi w:val="0"/>
        <w:adjustRightInd/>
        <w:snapToGrid/>
        <w:spacing w:line="460" w:lineRule="exact"/>
        <w:ind w:left="0" w:leftChars="0" w:firstLine="440" w:firstLineChars="200"/>
        <w:textAlignment w:val="auto"/>
        <w:outlineLvl w:val="9"/>
        <w:rPr>
          <w:rFonts w:hint="eastAsia" w:ascii="新宋体" w:hAnsi="新宋体" w:eastAsia="新宋体" w:cs="新宋体"/>
          <w:color w:val="auto"/>
          <w:sz w:val="22"/>
          <w:szCs w:val="22"/>
          <w:highlight w:val="none"/>
        </w:rPr>
      </w:pPr>
    </w:p>
    <w:p w14:paraId="7710CDE8">
      <w:pPr>
        <w:keepNext w:val="0"/>
        <w:keepLines w:val="0"/>
        <w:pageBreakBefore w:val="0"/>
        <w:widowControl w:val="0"/>
        <w:kinsoku/>
        <w:wordWrap/>
        <w:overflowPunct/>
        <w:topLinePunct w:val="0"/>
        <w:autoSpaceDE/>
        <w:autoSpaceDN/>
        <w:bidi w:val="0"/>
        <w:adjustRightInd/>
        <w:snapToGrid/>
        <w:spacing w:line="460" w:lineRule="exact"/>
        <w:ind w:left="0" w:leftChars="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甲方：</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（招标人）</w:t>
      </w:r>
    </w:p>
    <w:p w14:paraId="6333BB21">
      <w:pPr>
        <w:keepNext w:val="0"/>
        <w:keepLines w:val="0"/>
        <w:pageBreakBefore w:val="0"/>
        <w:widowControl w:val="0"/>
        <w:kinsoku/>
        <w:wordWrap/>
        <w:overflowPunct/>
        <w:topLinePunct w:val="0"/>
        <w:autoSpaceDE/>
        <w:autoSpaceDN/>
        <w:bidi w:val="0"/>
        <w:adjustRightInd/>
        <w:snapToGrid/>
        <w:spacing w:line="460" w:lineRule="exact"/>
        <w:ind w:left="0" w:leftChars="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乙方: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（中标人）</w:t>
      </w:r>
    </w:p>
    <w:p w14:paraId="7CB32446">
      <w:pPr>
        <w:keepNext w:val="0"/>
        <w:keepLines w:val="0"/>
        <w:pageBreakBefore w:val="0"/>
        <w:widowControl w:val="0"/>
        <w:kinsoku/>
        <w:wordWrap/>
        <w:overflowPunct/>
        <w:topLinePunct w:val="0"/>
        <w:autoSpaceDE/>
        <w:autoSpaceDN/>
        <w:bidi w:val="0"/>
        <w:adjustRightInd/>
        <w:snapToGrid/>
        <w:spacing w:line="460" w:lineRule="exact"/>
        <w:ind w:left="0" w:leftChars="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温州市第七人民医院的</w:t>
      </w:r>
      <w:r>
        <w:rPr>
          <w:rFonts w:hint="eastAsia" w:ascii="新宋体" w:hAnsi="新宋体" w:eastAsia="新宋体" w:cs="新宋体"/>
          <w:bCs/>
          <w:color w:val="auto"/>
          <w:sz w:val="22"/>
          <w:szCs w:val="22"/>
          <w:highlight w:val="none"/>
          <w:u w:val="single"/>
        </w:rPr>
        <w:t xml:space="preserve">               </w:t>
      </w:r>
      <w:r>
        <w:rPr>
          <w:rFonts w:hint="eastAsia" w:ascii="新宋体" w:hAnsi="新宋体" w:eastAsia="新宋体" w:cs="新宋体"/>
          <w:bCs/>
          <w:color w:val="auto"/>
          <w:sz w:val="22"/>
          <w:szCs w:val="22"/>
          <w:highlight w:val="none"/>
        </w:rPr>
        <w:t>（项目名称、编号）在国内以公开招标方式进行招标，经评标委员会评定</w:t>
      </w:r>
      <w:r>
        <w:rPr>
          <w:rFonts w:hint="eastAsia" w:ascii="新宋体" w:hAnsi="新宋体" w:eastAsia="新宋体" w:cs="新宋体"/>
          <w:bCs/>
          <w:color w:val="auto"/>
          <w:sz w:val="22"/>
          <w:szCs w:val="22"/>
          <w:highlight w:val="none"/>
          <w:u w:val="single"/>
        </w:rPr>
        <w:t xml:space="preserve">                 </w:t>
      </w:r>
      <w:r>
        <w:rPr>
          <w:rFonts w:hint="eastAsia" w:ascii="新宋体" w:hAnsi="新宋体" w:eastAsia="新宋体" w:cs="新宋体"/>
          <w:bCs/>
          <w:color w:val="auto"/>
          <w:sz w:val="22"/>
          <w:szCs w:val="22"/>
          <w:highlight w:val="none"/>
        </w:rPr>
        <w:t>（中标人名称）为中标人。双方本着诚信及互利互惠的原则，同意按照下面条款和条件，签署本合同。</w:t>
      </w:r>
    </w:p>
    <w:p w14:paraId="685CE41A">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442" w:firstLineChars="200"/>
        <w:textAlignment w:val="auto"/>
        <w:outlineLvl w:val="9"/>
        <w:rPr>
          <w:rFonts w:hint="eastAsia" w:ascii="新宋体" w:hAnsi="新宋体" w:eastAsia="新宋体" w:cs="新宋体"/>
          <w:b/>
          <w:color w:val="auto"/>
          <w:sz w:val="22"/>
          <w:szCs w:val="22"/>
          <w:highlight w:val="none"/>
        </w:rPr>
      </w:pPr>
      <w:bookmarkStart w:id="44" w:name="_Toc21800"/>
      <w:r>
        <w:rPr>
          <w:rFonts w:hint="eastAsia" w:ascii="新宋体" w:hAnsi="新宋体" w:eastAsia="新宋体" w:cs="新宋体"/>
          <w:b/>
          <w:color w:val="auto"/>
          <w:sz w:val="22"/>
          <w:szCs w:val="22"/>
          <w:highlight w:val="none"/>
        </w:rPr>
        <w:t>本合同签订依据</w:t>
      </w:r>
      <w:bookmarkEnd w:id="44"/>
    </w:p>
    <w:p w14:paraId="2F41139D">
      <w:pPr>
        <w:keepNext w:val="0"/>
        <w:keepLines w:val="0"/>
        <w:pageBreakBefore w:val="0"/>
        <w:widowControl w:val="0"/>
        <w:kinsoku/>
        <w:wordWrap/>
        <w:overflowPunct/>
        <w:topLinePunct w:val="0"/>
        <w:autoSpaceDE/>
        <w:autoSpaceDN/>
        <w:bidi w:val="0"/>
        <w:adjustRightInd/>
        <w:snapToGrid/>
        <w:spacing w:line="460" w:lineRule="exact"/>
        <w:ind w:left="0" w:leftChars="0" w:firstLine="440" w:firstLineChars="200"/>
        <w:textAlignment w:val="auto"/>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《中华人民共和国民典法》</w:t>
      </w:r>
    </w:p>
    <w:p w14:paraId="2F71FDFB">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442" w:firstLineChars="200"/>
        <w:textAlignment w:val="auto"/>
        <w:outlineLvl w:val="9"/>
        <w:rPr>
          <w:rFonts w:hint="eastAsia" w:ascii="新宋体" w:hAnsi="新宋体" w:eastAsia="新宋体" w:cs="新宋体"/>
          <w:b/>
          <w:color w:val="auto"/>
          <w:sz w:val="22"/>
          <w:szCs w:val="22"/>
          <w:highlight w:val="none"/>
        </w:rPr>
      </w:pPr>
      <w:bookmarkStart w:id="45" w:name="_Toc15868"/>
      <w:r>
        <w:rPr>
          <w:rFonts w:hint="eastAsia" w:ascii="新宋体" w:hAnsi="新宋体" w:eastAsia="新宋体" w:cs="新宋体"/>
          <w:b/>
          <w:color w:val="auto"/>
          <w:sz w:val="22"/>
          <w:szCs w:val="22"/>
          <w:highlight w:val="none"/>
        </w:rPr>
        <w:t>合同文件的优先次序</w:t>
      </w:r>
      <w:bookmarkEnd w:id="45"/>
    </w:p>
    <w:p w14:paraId="54E910A0">
      <w:pPr>
        <w:keepNext w:val="0"/>
        <w:keepLines w:val="0"/>
        <w:pageBreakBefore w:val="0"/>
        <w:widowControl w:val="0"/>
        <w:kinsoku/>
        <w:wordWrap/>
        <w:overflowPunct/>
        <w:topLinePunct w:val="0"/>
        <w:autoSpaceDE/>
        <w:autoSpaceDN/>
        <w:bidi w:val="0"/>
        <w:adjustRightInd/>
        <w:snapToGrid/>
        <w:spacing w:line="460" w:lineRule="exact"/>
        <w:ind w:left="0" w:leftChars="0" w:firstLine="440" w:firstLineChars="200"/>
        <w:textAlignment w:val="auto"/>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合同文件如存在歧义或不一致则根据以下优先次序来判断：</w:t>
      </w:r>
    </w:p>
    <w:p w14:paraId="409D67DA">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left="0" w:leftChars="0" w:firstLine="440" w:firstLineChars="200"/>
        <w:textAlignment w:val="auto"/>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合同书及合同补充条款或说明 </w:t>
      </w:r>
    </w:p>
    <w:p w14:paraId="208E20E1">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left="0" w:leftChars="0" w:firstLine="440" w:firstLineChars="200"/>
        <w:textAlignment w:val="auto"/>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中标通知书</w:t>
      </w:r>
    </w:p>
    <w:p w14:paraId="0E5F06CA">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left="0" w:leftChars="0" w:firstLine="440" w:firstLineChars="200"/>
        <w:textAlignment w:val="auto"/>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承诺书（含询标记录和优惠条款）</w:t>
      </w:r>
    </w:p>
    <w:p w14:paraId="2783D3D9">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left="0" w:leftChars="0" w:firstLine="440" w:firstLineChars="200"/>
        <w:textAlignment w:val="auto"/>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投标文件</w:t>
      </w:r>
    </w:p>
    <w:p w14:paraId="4AC6C68D">
      <w:pPr>
        <w:keepNext w:val="0"/>
        <w:keepLines w:val="0"/>
        <w:pageBreakBefore w:val="0"/>
        <w:widowControl w:val="0"/>
        <w:numPr>
          <w:ilvl w:val="0"/>
          <w:numId w:val="3"/>
        </w:numPr>
        <w:kinsoku/>
        <w:wordWrap/>
        <w:overflowPunct/>
        <w:topLinePunct w:val="0"/>
        <w:autoSpaceDE/>
        <w:autoSpaceDN/>
        <w:bidi w:val="0"/>
        <w:adjustRightInd/>
        <w:snapToGrid/>
        <w:spacing w:line="460" w:lineRule="exact"/>
        <w:ind w:left="0" w:leftChars="0" w:firstLine="440" w:firstLineChars="200"/>
        <w:textAlignment w:val="auto"/>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招标文件</w:t>
      </w:r>
    </w:p>
    <w:p w14:paraId="26F56937">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442" w:firstLineChars="200"/>
        <w:textAlignment w:val="auto"/>
        <w:outlineLvl w:val="9"/>
        <w:rPr>
          <w:rFonts w:hint="eastAsia" w:ascii="新宋体" w:hAnsi="新宋体" w:eastAsia="新宋体" w:cs="新宋体"/>
          <w:b/>
          <w:color w:val="auto"/>
          <w:sz w:val="22"/>
          <w:szCs w:val="22"/>
          <w:highlight w:val="none"/>
        </w:rPr>
      </w:pPr>
      <w:bookmarkStart w:id="46" w:name="_Toc11782"/>
      <w:r>
        <w:rPr>
          <w:rFonts w:hint="eastAsia" w:ascii="新宋体" w:hAnsi="新宋体" w:eastAsia="新宋体" w:cs="新宋体"/>
          <w:b/>
          <w:color w:val="auto"/>
          <w:sz w:val="22"/>
          <w:szCs w:val="22"/>
          <w:highlight w:val="none"/>
        </w:rPr>
        <w:t>服务内容</w:t>
      </w:r>
      <w:bookmarkEnd w:id="46"/>
    </w:p>
    <w:p w14:paraId="178396DD">
      <w:pPr>
        <w:keepNext w:val="0"/>
        <w:keepLines w:val="0"/>
        <w:pageBreakBefore w:val="0"/>
        <w:widowControl w:val="0"/>
        <w:kinsoku/>
        <w:wordWrap/>
        <w:overflowPunct/>
        <w:topLinePunct w:val="0"/>
        <w:autoSpaceDE/>
        <w:autoSpaceDN/>
        <w:bidi w:val="0"/>
        <w:adjustRightInd/>
        <w:snapToGrid/>
        <w:spacing w:line="460" w:lineRule="exact"/>
        <w:ind w:left="0" w:leftChars="0" w:firstLine="440" w:firstLineChars="200"/>
        <w:textAlignment w:val="auto"/>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详见招标文件</w:t>
      </w:r>
    </w:p>
    <w:p w14:paraId="78DCCA09">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442" w:firstLineChars="200"/>
        <w:textAlignment w:val="auto"/>
        <w:outlineLvl w:val="9"/>
        <w:rPr>
          <w:rFonts w:hint="eastAsia" w:ascii="新宋体" w:hAnsi="新宋体" w:eastAsia="新宋体" w:cs="新宋体"/>
          <w:b/>
          <w:color w:val="auto"/>
          <w:sz w:val="22"/>
          <w:szCs w:val="22"/>
          <w:highlight w:val="none"/>
        </w:rPr>
      </w:pPr>
      <w:bookmarkStart w:id="47" w:name="_Toc842"/>
      <w:r>
        <w:rPr>
          <w:rFonts w:hint="eastAsia" w:ascii="新宋体" w:hAnsi="新宋体" w:eastAsia="新宋体" w:cs="新宋体"/>
          <w:b/>
          <w:color w:val="auto"/>
          <w:sz w:val="22"/>
          <w:szCs w:val="22"/>
          <w:highlight w:val="none"/>
        </w:rPr>
        <w:t>服务地点：</w:t>
      </w:r>
      <w:bookmarkEnd w:id="47"/>
    </w:p>
    <w:p w14:paraId="793E2186">
      <w:pPr>
        <w:keepNext w:val="0"/>
        <w:keepLines w:val="0"/>
        <w:pageBreakBefore w:val="0"/>
        <w:widowControl w:val="0"/>
        <w:numPr>
          <w:ilvl w:val="255"/>
          <w:numId w:val="0"/>
        </w:numPr>
        <w:kinsoku/>
        <w:wordWrap/>
        <w:overflowPunct/>
        <w:topLinePunct w:val="0"/>
        <w:autoSpaceDE/>
        <w:autoSpaceDN/>
        <w:bidi w:val="0"/>
        <w:adjustRightInd/>
        <w:snapToGrid/>
        <w:spacing w:line="460" w:lineRule="exact"/>
        <w:ind w:left="0" w:leftChars="0" w:firstLine="440" w:firstLineChars="200"/>
        <w:textAlignment w:val="auto"/>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温州市第七人民医院（西山院区、潘桥院区、港务院区）</w:t>
      </w:r>
    </w:p>
    <w:p w14:paraId="2A3DEBDA">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left="0" w:leftChars="0" w:firstLine="442" w:firstLineChars="200"/>
        <w:textAlignment w:val="auto"/>
        <w:outlineLvl w:val="9"/>
        <w:rPr>
          <w:rFonts w:hint="eastAsia" w:ascii="新宋体" w:hAnsi="新宋体" w:eastAsia="新宋体" w:cs="新宋体"/>
          <w:b/>
          <w:color w:val="auto"/>
          <w:sz w:val="22"/>
          <w:szCs w:val="22"/>
          <w:highlight w:val="none"/>
        </w:rPr>
      </w:pPr>
      <w:bookmarkStart w:id="48" w:name="_Toc25733"/>
      <w:r>
        <w:rPr>
          <w:rFonts w:hint="eastAsia" w:ascii="新宋体" w:hAnsi="新宋体" w:eastAsia="新宋体" w:cs="新宋体"/>
          <w:b/>
          <w:color w:val="auto"/>
          <w:sz w:val="22"/>
          <w:szCs w:val="22"/>
          <w:highlight w:val="none"/>
        </w:rPr>
        <w:t>服务费用及价格清单</w:t>
      </w:r>
      <w:bookmarkEnd w:id="48"/>
    </w:p>
    <w:p w14:paraId="3E7821FA">
      <w:pPr>
        <w:keepNext w:val="0"/>
        <w:keepLines w:val="0"/>
        <w:pageBreakBefore w:val="0"/>
        <w:widowControl w:val="0"/>
        <w:numPr>
          <w:ilvl w:val="0"/>
          <w:numId w:val="4"/>
        </w:numPr>
        <w:kinsoku/>
        <w:wordWrap/>
        <w:overflowPunct/>
        <w:topLinePunct w:val="0"/>
        <w:autoSpaceDE/>
        <w:autoSpaceDN/>
        <w:bidi w:val="0"/>
        <w:adjustRightInd/>
        <w:snapToGrid/>
        <w:spacing w:line="460" w:lineRule="exact"/>
        <w:ind w:left="0" w:leftChars="0" w:firstLine="440" w:firstLineChars="200"/>
        <w:textAlignment w:val="auto"/>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价格清单：</w:t>
      </w:r>
    </w:p>
    <w:tbl>
      <w:tblPr>
        <w:tblStyle w:val="5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1046"/>
        <w:gridCol w:w="1554"/>
        <w:gridCol w:w="1125"/>
        <w:gridCol w:w="4906"/>
      </w:tblGrid>
      <w:tr w14:paraId="47CF3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6" w:type="dxa"/>
            <w:vAlign w:val="center"/>
          </w:tcPr>
          <w:p w14:paraId="0DE34054">
            <w:pPr>
              <w:keepNext w:val="0"/>
              <w:keepLines w:val="0"/>
              <w:pageBreakBefore w:val="0"/>
              <w:kinsoku/>
              <w:wordWrap/>
              <w:overflowPunct/>
              <w:topLinePunct w:val="0"/>
              <w:autoSpaceDE/>
              <w:autoSpaceDN/>
              <w:bidi w:val="0"/>
              <w:snapToGrid/>
              <w:spacing w:line="460" w:lineRule="exact"/>
              <w:ind w:left="0" w:leftChars="0"/>
              <w:jc w:val="center"/>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2600" w:type="dxa"/>
            <w:gridSpan w:val="2"/>
            <w:vAlign w:val="center"/>
          </w:tcPr>
          <w:p w14:paraId="3C129279">
            <w:pPr>
              <w:keepNext w:val="0"/>
              <w:keepLines w:val="0"/>
              <w:pageBreakBefore w:val="0"/>
              <w:kinsoku/>
              <w:wordWrap/>
              <w:overflowPunct/>
              <w:topLinePunct w:val="0"/>
              <w:autoSpaceDE/>
              <w:autoSpaceDN/>
              <w:bidi w:val="0"/>
              <w:snapToGrid/>
              <w:spacing w:line="460" w:lineRule="exact"/>
              <w:ind w:left="0" w:leftChars="0"/>
              <w:jc w:val="center"/>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名称</w:t>
            </w:r>
          </w:p>
        </w:tc>
        <w:tc>
          <w:tcPr>
            <w:tcW w:w="1125" w:type="dxa"/>
            <w:vAlign w:val="center"/>
          </w:tcPr>
          <w:p w14:paraId="76A638B4">
            <w:pPr>
              <w:keepNext w:val="0"/>
              <w:keepLines w:val="0"/>
              <w:pageBreakBefore w:val="0"/>
              <w:kinsoku/>
              <w:wordWrap/>
              <w:overflowPunct/>
              <w:topLinePunct w:val="0"/>
              <w:autoSpaceDE/>
              <w:autoSpaceDN/>
              <w:bidi w:val="0"/>
              <w:snapToGrid/>
              <w:spacing w:line="460" w:lineRule="exact"/>
              <w:ind w:left="0" w:leftChars="0"/>
              <w:jc w:val="center"/>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价格（元）</w:t>
            </w:r>
          </w:p>
        </w:tc>
        <w:tc>
          <w:tcPr>
            <w:tcW w:w="4906" w:type="dxa"/>
            <w:vAlign w:val="center"/>
          </w:tcPr>
          <w:p w14:paraId="28E4E54B">
            <w:pPr>
              <w:keepNext w:val="0"/>
              <w:keepLines w:val="0"/>
              <w:pageBreakBefore w:val="0"/>
              <w:kinsoku/>
              <w:wordWrap/>
              <w:overflowPunct/>
              <w:topLinePunct w:val="0"/>
              <w:autoSpaceDE/>
              <w:autoSpaceDN/>
              <w:bidi w:val="0"/>
              <w:snapToGrid/>
              <w:spacing w:line="460" w:lineRule="exact"/>
              <w:ind w:left="0" w:leftChars="0"/>
              <w:jc w:val="center"/>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备注</w:t>
            </w:r>
          </w:p>
        </w:tc>
      </w:tr>
      <w:tr w14:paraId="27530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6" w:type="dxa"/>
            <w:vAlign w:val="center"/>
          </w:tcPr>
          <w:p w14:paraId="24C69086">
            <w:pPr>
              <w:keepNext w:val="0"/>
              <w:keepLines w:val="0"/>
              <w:pageBreakBefore w:val="0"/>
              <w:kinsoku/>
              <w:wordWrap/>
              <w:overflowPunct/>
              <w:topLinePunct w:val="0"/>
              <w:autoSpaceDE/>
              <w:autoSpaceDN/>
              <w:bidi w:val="0"/>
              <w:snapToGrid/>
              <w:spacing w:line="460" w:lineRule="exact"/>
              <w:ind w:left="0" w:leftChars="0"/>
              <w:jc w:val="center"/>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2600" w:type="dxa"/>
            <w:gridSpan w:val="2"/>
            <w:vAlign w:val="center"/>
          </w:tcPr>
          <w:p w14:paraId="794EF1F4">
            <w:pPr>
              <w:spacing w:line="460" w:lineRule="exact"/>
              <w:jc w:val="center"/>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常规打印机外包服务</w:t>
            </w:r>
          </w:p>
        </w:tc>
        <w:tc>
          <w:tcPr>
            <w:tcW w:w="1125" w:type="dxa"/>
            <w:vAlign w:val="center"/>
          </w:tcPr>
          <w:p w14:paraId="785104CF">
            <w:pPr>
              <w:keepNext w:val="0"/>
              <w:keepLines w:val="0"/>
              <w:pageBreakBefore w:val="0"/>
              <w:kinsoku/>
              <w:wordWrap/>
              <w:overflowPunct/>
              <w:topLinePunct w:val="0"/>
              <w:autoSpaceDE/>
              <w:autoSpaceDN/>
              <w:bidi w:val="0"/>
              <w:snapToGrid/>
              <w:spacing w:line="460" w:lineRule="exact"/>
              <w:ind w:left="0" w:leftChars="0"/>
              <w:outlineLvl w:val="9"/>
              <w:rPr>
                <w:rFonts w:hint="eastAsia" w:ascii="新宋体" w:hAnsi="新宋体" w:eastAsia="新宋体" w:cs="新宋体"/>
                <w:color w:val="auto"/>
                <w:sz w:val="22"/>
                <w:szCs w:val="22"/>
                <w:highlight w:val="none"/>
              </w:rPr>
            </w:pPr>
          </w:p>
        </w:tc>
        <w:tc>
          <w:tcPr>
            <w:tcW w:w="4906" w:type="dxa"/>
            <w:vAlign w:val="center"/>
          </w:tcPr>
          <w:p w14:paraId="44670C81">
            <w:pPr>
              <w:spacing w:line="460" w:lineRule="exact"/>
              <w:jc w:val="left"/>
              <w:outlineLvl w:val="9"/>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①硬件投入：中标后需提供155台文印设备，并提供相应维护。</w:t>
            </w:r>
          </w:p>
          <w:p w14:paraId="1CBDDC05">
            <w:pPr>
              <w:numPr>
                <w:ilvl w:val="255"/>
                <w:numId w:val="0"/>
              </w:numPr>
              <w:spacing w:line="460" w:lineRule="exact"/>
              <w:jc w:val="left"/>
              <w:outlineLvl w:val="9"/>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②硬件投入：每年至少提供20台文印设备替换更新医院报废文印设备。</w:t>
            </w:r>
          </w:p>
          <w:p w14:paraId="7047F260">
            <w:pPr>
              <w:numPr>
                <w:ilvl w:val="255"/>
                <w:numId w:val="0"/>
              </w:numPr>
              <w:spacing w:line="460" w:lineRule="exact"/>
              <w:jc w:val="left"/>
              <w:outlineLvl w:val="9"/>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③硬件维护：对医院各个院区及门诊自有文印设备提供相应维护。</w:t>
            </w:r>
          </w:p>
          <w:p w14:paraId="626BAB1F">
            <w:pPr>
              <w:spacing w:line="460" w:lineRule="exact"/>
              <w:jc w:val="left"/>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④硬件维护：承担除纸张外所有打印耗材、维修维护服务及维修所需的配件费用。</w:t>
            </w:r>
          </w:p>
        </w:tc>
      </w:tr>
      <w:tr w14:paraId="2EA88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6" w:type="dxa"/>
            <w:vMerge w:val="restart"/>
            <w:vAlign w:val="center"/>
          </w:tcPr>
          <w:p w14:paraId="277F6905">
            <w:pPr>
              <w:keepNext w:val="0"/>
              <w:keepLines w:val="0"/>
              <w:pageBreakBefore w:val="0"/>
              <w:kinsoku/>
              <w:wordWrap/>
              <w:overflowPunct/>
              <w:topLinePunct w:val="0"/>
              <w:autoSpaceDE/>
              <w:autoSpaceDN/>
              <w:bidi w:val="0"/>
              <w:snapToGrid/>
              <w:spacing w:line="460" w:lineRule="exact"/>
              <w:ind w:left="0" w:leftChars="0"/>
              <w:jc w:val="center"/>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1046" w:type="dxa"/>
            <w:vMerge w:val="restart"/>
            <w:vAlign w:val="center"/>
          </w:tcPr>
          <w:p w14:paraId="2527FD7C">
            <w:pPr>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超额打印机外包服务</w:t>
            </w:r>
          </w:p>
        </w:tc>
        <w:tc>
          <w:tcPr>
            <w:tcW w:w="1554" w:type="dxa"/>
            <w:vAlign w:val="center"/>
          </w:tcPr>
          <w:p w14:paraId="40815AFF">
            <w:pPr>
              <w:spacing w:line="460" w:lineRule="exact"/>
              <w:jc w:val="center"/>
              <w:outlineLvl w:val="9"/>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黑白打印机</w:t>
            </w:r>
          </w:p>
          <w:p w14:paraId="0D70A549">
            <w:pPr>
              <w:spacing w:line="460" w:lineRule="exact"/>
              <w:jc w:val="center"/>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（打印量需求较小的）</w:t>
            </w:r>
          </w:p>
        </w:tc>
        <w:tc>
          <w:tcPr>
            <w:tcW w:w="1125" w:type="dxa"/>
            <w:vAlign w:val="center"/>
          </w:tcPr>
          <w:p w14:paraId="453AF9F9">
            <w:pPr>
              <w:pStyle w:val="52"/>
              <w:keepNext w:val="0"/>
              <w:keepLines w:val="0"/>
              <w:pageBreakBefore w:val="0"/>
              <w:kinsoku/>
              <w:wordWrap/>
              <w:overflowPunct/>
              <w:topLinePunct w:val="0"/>
              <w:autoSpaceDE/>
              <w:autoSpaceDN/>
              <w:bidi w:val="0"/>
              <w:snapToGrid/>
              <w:spacing w:before="0" w:beforeAutospacing="0" w:after="0" w:afterAutospacing="0" w:line="460" w:lineRule="exact"/>
              <w:ind w:left="0" w:leftChars="0"/>
              <w:jc w:val="center"/>
              <w:outlineLvl w:val="9"/>
              <w:rPr>
                <w:rFonts w:hint="eastAsia" w:ascii="新宋体" w:hAnsi="新宋体" w:eastAsia="新宋体" w:cs="新宋体"/>
                <w:color w:val="auto"/>
                <w:sz w:val="22"/>
                <w:szCs w:val="22"/>
                <w:highlight w:val="none"/>
              </w:rPr>
            </w:pPr>
          </w:p>
        </w:tc>
        <w:tc>
          <w:tcPr>
            <w:tcW w:w="4906" w:type="dxa"/>
            <w:vMerge w:val="restart"/>
            <w:vAlign w:val="center"/>
          </w:tcPr>
          <w:p w14:paraId="0ED9843E">
            <w:pPr>
              <w:spacing w:line="460" w:lineRule="exact"/>
              <w:jc w:val="left"/>
              <w:outlineLvl w:val="9"/>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①根据实际情况（医院扩建、科室新增等）使用经费租赁文印设备，中标方根据医院需求提供</w:t>
            </w:r>
            <w:r>
              <w:rPr>
                <w:rFonts w:hint="eastAsia" w:ascii="新宋体" w:hAnsi="新宋体" w:eastAsia="新宋体" w:cs="新宋体"/>
                <w:b/>
                <w:bCs/>
                <w:color w:val="auto"/>
                <w:sz w:val="22"/>
                <w:szCs w:val="22"/>
                <w:highlight w:val="none"/>
                <w:u w:val="single"/>
              </w:rPr>
              <w:t>每台文印设备每年租赁报价</w:t>
            </w:r>
            <w:r>
              <w:rPr>
                <w:rFonts w:hint="eastAsia" w:ascii="新宋体" w:hAnsi="新宋体" w:eastAsia="新宋体" w:cs="新宋体"/>
                <w:color w:val="auto"/>
                <w:sz w:val="22"/>
                <w:szCs w:val="22"/>
                <w:highlight w:val="none"/>
              </w:rPr>
              <w:t>。</w:t>
            </w:r>
          </w:p>
          <w:p w14:paraId="614ED9B7">
            <w:pPr>
              <w:spacing w:line="460" w:lineRule="exact"/>
              <w:jc w:val="left"/>
              <w:outlineLvl w:val="9"/>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②承担此项文印设备除纸张外所有耗材、维修维护服务及维修所需的配件费用。</w:t>
            </w:r>
          </w:p>
          <w:p w14:paraId="0C14DA56">
            <w:pPr>
              <w:spacing w:line="460" w:lineRule="exact"/>
              <w:jc w:val="left"/>
              <w:outlineLvl w:val="9"/>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③因医院原有文印设备报废淘汰而产生的替换服务不计入超额打印机外包服务。</w:t>
            </w:r>
          </w:p>
          <w:p w14:paraId="5BB58322">
            <w:pPr>
              <w:spacing w:line="460" w:lineRule="exact"/>
              <w:jc w:val="left"/>
              <w:outlineLvl w:val="9"/>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▲④黑白打印机单台/年服务费不得超过600元。</w:t>
            </w:r>
          </w:p>
          <w:p w14:paraId="60C9715A">
            <w:pPr>
              <w:spacing w:line="460" w:lineRule="exact"/>
              <w:jc w:val="left"/>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▲⑤彩色打印机单台/年服务费不得超过800元。</w:t>
            </w:r>
          </w:p>
        </w:tc>
      </w:tr>
      <w:tr w14:paraId="450FE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6" w:type="dxa"/>
            <w:vMerge w:val="continue"/>
            <w:vAlign w:val="center"/>
          </w:tcPr>
          <w:p w14:paraId="47E26C98">
            <w:pPr>
              <w:keepNext w:val="0"/>
              <w:keepLines w:val="0"/>
              <w:pageBreakBefore w:val="0"/>
              <w:kinsoku/>
              <w:wordWrap/>
              <w:overflowPunct/>
              <w:topLinePunct w:val="0"/>
              <w:autoSpaceDE/>
              <w:autoSpaceDN/>
              <w:bidi w:val="0"/>
              <w:snapToGrid/>
              <w:spacing w:line="460" w:lineRule="exact"/>
              <w:ind w:left="0" w:leftChars="0"/>
              <w:jc w:val="center"/>
              <w:outlineLvl w:val="9"/>
              <w:rPr>
                <w:rFonts w:hint="eastAsia" w:ascii="新宋体" w:hAnsi="新宋体" w:eastAsia="新宋体" w:cs="新宋体"/>
                <w:color w:val="auto"/>
                <w:sz w:val="22"/>
                <w:szCs w:val="22"/>
                <w:highlight w:val="none"/>
              </w:rPr>
            </w:pPr>
          </w:p>
        </w:tc>
        <w:tc>
          <w:tcPr>
            <w:tcW w:w="1046" w:type="dxa"/>
            <w:vMerge w:val="continue"/>
            <w:vAlign w:val="center"/>
          </w:tcPr>
          <w:p w14:paraId="78851FC2">
            <w:pPr>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eastAsia" w:ascii="新宋体" w:hAnsi="新宋体" w:eastAsia="新宋体" w:cs="新宋体"/>
                <w:color w:val="auto"/>
                <w:sz w:val="22"/>
                <w:szCs w:val="22"/>
                <w:highlight w:val="none"/>
              </w:rPr>
            </w:pPr>
          </w:p>
        </w:tc>
        <w:tc>
          <w:tcPr>
            <w:tcW w:w="1554" w:type="dxa"/>
            <w:vAlign w:val="center"/>
          </w:tcPr>
          <w:p w14:paraId="399FEEF6">
            <w:pPr>
              <w:spacing w:line="460" w:lineRule="exact"/>
              <w:jc w:val="center"/>
              <w:outlineLvl w:val="9"/>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黑白打印机</w:t>
            </w:r>
          </w:p>
          <w:p w14:paraId="36BF6D3D">
            <w:pPr>
              <w:spacing w:line="460" w:lineRule="exact"/>
              <w:jc w:val="center"/>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（打印量需求大的）</w:t>
            </w:r>
          </w:p>
        </w:tc>
        <w:tc>
          <w:tcPr>
            <w:tcW w:w="1125" w:type="dxa"/>
            <w:vAlign w:val="center"/>
          </w:tcPr>
          <w:p w14:paraId="0A8CC7BA">
            <w:pPr>
              <w:pStyle w:val="52"/>
              <w:keepNext w:val="0"/>
              <w:keepLines w:val="0"/>
              <w:pageBreakBefore w:val="0"/>
              <w:kinsoku/>
              <w:wordWrap/>
              <w:overflowPunct/>
              <w:topLinePunct w:val="0"/>
              <w:autoSpaceDE/>
              <w:autoSpaceDN/>
              <w:bidi w:val="0"/>
              <w:snapToGrid/>
              <w:spacing w:before="0" w:beforeAutospacing="0" w:after="0" w:afterAutospacing="0" w:line="460" w:lineRule="exact"/>
              <w:ind w:left="0" w:leftChars="0"/>
              <w:outlineLvl w:val="9"/>
              <w:rPr>
                <w:rFonts w:hint="eastAsia" w:ascii="新宋体" w:hAnsi="新宋体" w:eastAsia="新宋体" w:cs="新宋体"/>
                <w:color w:val="auto"/>
                <w:sz w:val="22"/>
                <w:szCs w:val="22"/>
                <w:highlight w:val="none"/>
              </w:rPr>
            </w:pPr>
          </w:p>
        </w:tc>
        <w:tc>
          <w:tcPr>
            <w:tcW w:w="4906" w:type="dxa"/>
            <w:vMerge w:val="continue"/>
            <w:vAlign w:val="center"/>
          </w:tcPr>
          <w:p w14:paraId="2D3071AE">
            <w:pPr>
              <w:keepNext w:val="0"/>
              <w:keepLines w:val="0"/>
              <w:pageBreakBefore w:val="0"/>
              <w:kinsoku/>
              <w:wordWrap/>
              <w:overflowPunct/>
              <w:topLinePunct w:val="0"/>
              <w:autoSpaceDE/>
              <w:autoSpaceDN/>
              <w:bidi w:val="0"/>
              <w:snapToGrid/>
              <w:spacing w:line="460" w:lineRule="exact"/>
              <w:ind w:left="0" w:leftChars="0"/>
              <w:jc w:val="center"/>
              <w:outlineLvl w:val="9"/>
              <w:rPr>
                <w:rFonts w:hint="eastAsia" w:ascii="新宋体" w:hAnsi="新宋体" w:eastAsia="新宋体" w:cs="新宋体"/>
                <w:color w:val="auto"/>
                <w:sz w:val="22"/>
                <w:szCs w:val="22"/>
                <w:highlight w:val="none"/>
              </w:rPr>
            </w:pPr>
          </w:p>
        </w:tc>
      </w:tr>
      <w:tr w14:paraId="162FE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6" w:type="dxa"/>
            <w:vMerge w:val="continue"/>
            <w:vAlign w:val="center"/>
          </w:tcPr>
          <w:p w14:paraId="5AA29E3F">
            <w:pPr>
              <w:keepNext w:val="0"/>
              <w:keepLines w:val="0"/>
              <w:pageBreakBefore w:val="0"/>
              <w:kinsoku/>
              <w:wordWrap/>
              <w:overflowPunct/>
              <w:topLinePunct w:val="0"/>
              <w:autoSpaceDE/>
              <w:autoSpaceDN/>
              <w:bidi w:val="0"/>
              <w:snapToGrid/>
              <w:spacing w:line="460" w:lineRule="exact"/>
              <w:ind w:left="0" w:leftChars="0"/>
              <w:jc w:val="center"/>
              <w:outlineLvl w:val="9"/>
              <w:rPr>
                <w:rFonts w:hint="eastAsia" w:ascii="新宋体" w:hAnsi="新宋体" w:eastAsia="新宋体" w:cs="新宋体"/>
                <w:color w:val="auto"/>
                <w:sz w:val="22"/>
                <w:szCs w:val="22"/>
                <w:highlight w:val="none"/>
              </w:rPr>
            </w:pPr>
          </w:p>
        </w:tc>
        <w:tc>
          <w:tcPr>
            <w:tcW w:w="1046" w:type="dxa"/>
            <w:vMerge w:val="continue"/>
            <w:vAlign w:val="center"/>
          </w:tcPr>
          <w:p w14:paraId="08CCF1E9">
            <w:pPr>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eastAsia" w:ascii="新宋体" w:hAnsi="新宋体" w:eastAsia="新宋体" w:cs="新宋体"/>
                <w:color w:val="auto"/>
                <w:sz w:val="22"/>
                <w:szCs w:val="22"/>
                <w:highlight w:val="none"/>
              </w:rPr>
            </w:pPr>
          </w:p>
        </w:tc>
        <w:tc>
          <w:tcPr>
            <w:tcW w:w="1554" w:type="dxa"/>
            <w:vAlign w:val="center"/>
          </w:tcPr>
          <w:p w14:paraId="343B3496">
            <w:pPr>
              <w:spacing w:line="460" w:lineRule="exact"/>
              <w:jc w:val="center"/>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彩色打印机</w:t>
            </w:r>
          </w:p>
        </w:tc>
        <w:tc>
          <w:tcPr>
            <w:tcW w:w="1125" w:type="dxa"/>
            <w:vAlign w:val="center"/>
          </w:tcPr>
          <w:p w14:paraId="5B445DF2">
            <w:pPr>
              <w:pStyle w:val="52"/>
              <w:keepNext w:val="0"/>
              <w:keepLines w:val="0"/>
              <w:pageBreakBefore w:val="0"/>
              <w:kinsoku/>
              <w:wordWrap/>
              <w:overflowPunct/>
              <w:topLinePunct w:val="0"/>
              <w:autoSpaceDE/>
              <w:autoSpaceDN/>
              <w:bidi w:val="0"/>
              <w:snapToGrid/>
              <w:spacing w:before="0" w:beforeAutospacing="0" w:after="0" w:afterAutospacing="0" w:line="460" w:lineRule="exact"/>
              <w:ind w:left="0" w:leftChars="0"/>
              <w:outlineLvl w:val="9"/>
              <w:rPr>
                <w:rFonts w:hint="eastAsia" w:ascii="新宋体" w:hAnsi="新宋体" w:eastAsia="新宋体" w:cs="新宋体"/>
                <w:color w:val="auto"/>
                <w:sz w:val="22"/>
                <w:szCs w:val="22"/>
                <w:highlight w:val="none"/>
              </w:rPr>
            </w:pPr>
          </w:p>
        </w:tc>
        <w:tc>
          <w:tcPr>
            <w:tcW w:w="4906" w:type="dxa"/>
            <w:vMerge w:val="continue"/>
            <w:vAlign w:val="center"/>
          </w:tcPr>
          <w:p w14:paraId="087664C4">
            <w:pPr>
              <w:keepNext w:val="0"/>
              <w:keepLines w:val="0"/>
              <w:pageBreakBefore w:val="0"/>
              <w:kinsoku/>
              <w:wordWrap/>
              <w:overflowPunct/>
              <w:topLinePunct w:val="0"/>
              <w:autoSpaceDE/>
              <w:autoSpaceDN/>
              <w:bidi w:val="0"/>
              <w:snapToGrid/>
              <w:spacing w:line="460" w:lineRule="exact"/>
              <w:ind w:left="0" w:leftChars="0"/>
              <w:jc w:val="center"/>
              <w:outlineLvl w:val="9"/>
              <w:rPr>
                <w:rFonts w:hint="eastAsia" w:ascii="新宋体" w:hAnsi="新宋体" w:eastAsia="新宋体" w:cs="新宋体"/>
                <w:color w:val="auto"/>
                <w:sz w:val="22"/>
                <w:szCs w:val="22"/>
                <w:highlight w:val="none"/>
              </w:rPr>
            </w:pPr>
          </w:p>
        </w:tc>
      </w:tr>
      <w:tr w14:paraId="3DD07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6" w:type="dxa"/>
            <w:vMerge w:val="continue"/>
            <w:vAlign w:val="center"/>
          </w:tcPr>
          <w:p w14:paraId="12C26A00">
            <w:pPr>
              <w:keepNext w:val="0"/>
              <w:keepLines w:val="0"/>
              <w:pageBreakBefore w:val="0"/>
              <w:kinsoku/>
              <w:wordWrap/>
              <w:overflowPunct/>
              <w:topLinePunct w:val="0"/>
              <w:autoSpaceDE/>
              <w:autoSpaceDN/>
              <w:bidi w:val="0"/>
              <w:snapToGrid/>
              <w:spacing w:line="460" w:lineRule="exact"/>
              <w:ind w:left="0" w:leftChars="0"/>
              <w:jc w:val="center"/>
              <w:outlineLvl w:val="9"/>
              <w:rPr>
                <w:rFonts w:hint="eastAsia" w:ascii="新宋体" w:hAnsi="新宋体" w:eastAsia="新宋体" w:cs="新宋体"/>
                <w:color w:val="auto"/>
                <w:sz w:val="22"/>
                <w:szCs w:val="22"/>
                <w:highlight w:val="none"/>
              </w:rPr>
            </w:pPr>
          </w:p>
        </w:tc>
        <w:tc>
          <w:tcPr>
            <w:tcW w:w="1046" w:type="dxa"/>
            <w:vMerge w:val="continue"/>
            <w:vAlign w:val="center"/>
          </w:tcPr>
          <w:p w14:paraId="5A6E40AE">
            <w:pPr>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9"/>
              <w:rPr>
                <w:rFonts w:hint="eastAsia" w:ascii="新宋体" w:hAnsi="新宋体" w:eastAsia="新宋体" w:cs="新宋体"/>
                <w:color w:val="auto"/>
                <w:sz w:val="22"/>
                <w:szCs w:val="22"/>
                <w:highlight w:val="none"/>
              </w:rPr>
            </w:pPr>
          </w:p>
        </w:tc>
        <w:tc>
          <w:tcPr>
            <w:tcW w:w="1554" w:type="dxa"/>
            <w:vAlign w:val="center"/>
          </w:tcPr>
          <w:p w14:paraId="109E9D9D">
            <w:pPr>
              <w:spacing w:line="460" w:lineRule="exact"/>
              <w:jc w:val="center"/>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复合打印机</w:t>
            </w:r>
          </w:p>
        </w:tc>
        <w:tc>
          <w:tcPr>
            <w:tcW w:w="1125" w:type="dxa"/>
            <w:vAlign w:val="center"/>
          </w:tcPr>
          <w:p w14:paraId="7B2DFE63">
            <w:pPr>
              <w:pStyle w:val="52"/>
              <w:keepNext w:val="0"/>
              <w:keepLines w:val="0"/>
              <w:pageBreakBefore w:val="0"/>
              <w:kinsoku/>
              <w:wordWrap/>
              <w:overflowPunct/>
              <w:topLinePunct w:val="0"/>
              <w:autoSpaceDE/>
              <w:autoSpaceDN/>
              <w:bidi w:val="0"/>
              <w:snapToGrid/>
              <w:spacing w:before="0" w:beforeAutospacing="0" w:after="0" w:afterAutospacing="0" w:line="460" w:lineRule="exact"/>
              <w:ind w:left="0" w:leftChars="0"/>
              <w:outlineLvl w:val="9"/>
              <w:rPr>
                <w:rFonts w:hint="eastAsia" w:ascii="新宋体" w:hAnsi="新宋体" w:eastAsia="新宋体" w:cs="新宋体"/>
                <w:color w:val="auto"/>
                <w:sz w:val="22"/>
                <w:szCs w:val="22"/>
                <w:highlight w:val="none"/>
              </w:rPr>
            </w:pPr>
          </w:p>
        </w:tc>
        <w:tc>
          <w:tcPr>
            <w:tcW w:w="4906" w:type="dxa"/>
            <w:vMerge w:val="continue"/>
            <w:vAlign w:val="center"/>
          </w:tcPr>
          <w:p w14:paraId="64C1370B">
            <w:pPr>
              <w:keepNext w:val="0"/>
              <w:keepLines w:val="0"/>
              <w:pageBreakBefore w:val="0"/>
              <w:kinsoku/>
              <w:wordWrap/>
              <w:overflowPunct/>
              <w:topLinePunct w:val="0"/>
              <w:autoSpaceDE/>
              <w:autoSpaceDN/>
              <w:bidi w:val="0"/>
              <w:snapToGrid/>
              <w:spacing w:line="460" w:lineRule="exact"/>
              <w:ind w:left="0" w:leftChars="0"/>
              <w:jc w:val="center"/>
              <w:outlineLvl w:val="9"/>
              <w:rPr>
                <w:rFonts w:hint="eastAsia" w:ascii="新宋体" w:hAnsi="新宋体" w:eastAsia="新宋体" w:cs="新宋体"/>
                <w:color w:val="auto"/>
                <w:sz w:val="22"/>
                <w:szCs w:val="22"/>
                <w:highlight w:val="none"/>
              </w:rPr>
            </w:pPr>
          </w:p>
        </w:tc>
      </w:tr>
    </w:tbl>
    <w:p w14:paraId="5F2702DB">
      <w:pPr>
        <w:keepNext w:val="0"/>
        <w:keepLines w:val="0"/>
        <w:pageBreakBefore w:val="0"/>
        <w:widowControl w:val="0"/>
        <w:numPr>
          <w:ilvl w:val="0"/>
          <w:numId w:val="4"/>
        </w:numPr>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以上价格指乙方在正确地完全履行合同义务后甲方应支付给乙方所有的服务价款，即打印设备、耗材、维修维护服务、维修所需的配件、设备租赁费用、税金、包装、运输、安装调试、售后服务等全部费用。</w:t>
      </w:r>
    </w:p>
    <w:p w14:paraId="38B93B16">
      <w:pPr>
        <w:keepNext w:val="0"/>
        <w:keepLines w:val="0"/>
        <w:pageBreakBefore w:val="0"/>
        <w:widowControl w:val="0"/>
        <w:numPr>
          <w:ilvl w:val="0"/>
          <w:numId w:val="2"/>
        </w:numPr>
        <w:kinsoku/>
        <w:wordWrap/>
        <w:overflowPunct/>
        <w:topLinePunct w:val="0"/>
        <w:autoSpaceDE/>
        <w:autoSpaceDN/>
        <w:bidi w:val="0"/>
        <w:snapToGrid/>
        <w:spacing w:line="460" w:lineRule="exact"/>
        <w:ind w:left="0" w:leftChars="0" w:firstLine="442" w:firstLineChars="200"/>
        <w:outlineLvl w:val="9"/>
        <w:rPr>
          <w:rFonts w:hint="eastAsia" w:ascii="新宋体" w:hAnsi="新宋体" w:eastAsia="新宋体" w:cs="新宋体"/>
          <w:b/>
          <w:color w:val="auto"/>
          <w:sz w:val="22"/>
          <w:szCs w:val="22"/>
          <w:highlight w:val="none"/>
        </w:rPr>
      </w:pPr>
      <w:bookmarkStart w:id="49" w:name="_Toc27180"/>
      <w:r>
        <w:rPr>
          <w:rFonts w:hint="eastAsia" w:ascii="新宋体" w:hAnsi="新宋体" w:eastAsia="新宋体" w:cs="新宋体"/>
          <w:b/>
          <w:color w:val="auto"/>
          <w:sz w:val="22"/>
          <w:szCs w:val="22"/>
          <w:highlight w:val="none"/>
        </w:rPr>
        <w:t>商务服务要求</w:t>
      </w:r>
      <w:bookmarkEnd w:id="49"/>
    </w:p>
    <w:p w14:paraId="6F771AC9">
      <w:pPr>
        <w:keepNext w:val="0"/>
        <w:keepLines w:val="0"/>
        <w:pageBreakBefore w:val="0"/>
        <w:widowControl w:val="0"/>
        <w:numPr>
          <w:ilvl w:val="0"/>
          <w:numId w:val="5"/>
        </w:numPr>
        <w:kinsoku/>
        <w:wordWrap/>
        <w:overflowPunct/>
        <w:topLinePunct w:val="0"/>
        <w:autoSpaceDE/>
        <w:autoSpaceDN/>
        <w:bidi w:val="0"/>
        <w:snapToGrid/>
        <w:spacing w:line="460" w:lineRule="exact"/>
        <w:ind w:left="0" w:leftChars="0" w:firstLine="442" w:firstLineChars="200"/>
        <w:outlineLvl w:val="9"/>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履约保证金</w:t>
      </w:r>
    </w:p>
    <w:p w14:paraId="35A1FDB9">
      <w:pPr>
        <w:keepNext w:val="0"/>
        <w:keepLines w:val="0"/>
        <w:pageBreakBefore w:val="0"/>
        <w:widowControl w:val="0"/>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lang w:eastAsia="zh-CN"/>
        </w:rPr>
        <w:t>乙方</w:t>
      </w:r>
      <w:r>
        <w:rPr>
          <w:rFonts w:hint="eastAsia" w:ascii="新宋体" w:hAnsi="新宋体" w:eastAsia="新宋体" w:cs="新宋体"/>
          <w:color w:val="auto"/>
          <w:sz w:val="22"/>
          <w:szCs w:val="22"/>
          <w:highlight w:val="none"/>
        </w:rPr>
        <w:t>需在合同签订后一个月内缴纳</w:t>
      </w:r>
      <w:r>
        <w:rPr>
          <w:rFonts w:hint="eastAsia" w:ascii="新宋体" w:hAnsi="新宋体" w:eastAsia="新宋体" w:cs="新宋体"/>
          <w:bCs/>
          <w:color w:val="auto"/>
          <w:sz w:val="22"/>
          <w:szCs w:val="22"/>
          <w:highlight w:val="none"/>
        </w:rPr>
        <w:t>预算总金额</w:t>
      </w:r>
      <w:r>
        <w:rPr>
          <w:rFonts w:hint="eastAsia" w:ascii="新宋体" w:hAnsi="新宋体" w:eastAsia="新宋体" w:cs="新宋体"/>
          <w:color w:val="auto"/>
          <w:sz w:val="22"/>
          <w:szCs w:val="22"/>
          <w:highlight w:val="none"/>
        </w:rPr>
        <w:t>的1%作为履约保证金。合同期内，</w:t>
      </w:r>
      <w:r>
        <w:rPr>
          <w:rFonts w:hint="eastAsia" w:ascii="新宋体" w:hAnsi="新宋体" w:eastAsia="新宋体" w:cs="新宋体"/>
          <w:color w:val="auto"/>
          <w:sz w:val="22"/>
          <w:szCs w:val="22"/>
          <w:highlight w:val="none"/>
          <w:lang w:eastAsia="zh-CN"/>
        </w:rPr>
        <w:t>乙方</w:t>
      </w:r>
      <w:r>
        <w:rPr>
          <w:rFonts w:hint="eastAsia" w:ascii="新宋体" w:hAnsi="新宋体" w:eastAsia="新宋体" w:cs="新宋体"/>
          <w:color w:val="auto"/>
          <w:sz w:val="22"/>
          <w:szCs w:val="22"/>
          <w:highlight w:val="none"/>
        </w:rPr>
        <w:t>未按合同约定的时间供货（含耗材和租赁设备），每次扣100元，相应费用在履约保证金中扣除。</w:t>
      </w:r>
    </w:p>
    <w:p w14:paraId="1FD2FF70">
      <w:pPr>
        <w:keepNext w:val="0"/>
        <w:keepLines w:val="0"/>
        <w:pageBreakBefore w:val="0"/>
        <w:widowControl w:val="0"/>
        <w:numPr>
          <w:ilvl w:val="0"/>
          <w:numId w:val="5"/>
        </w:numPr>
        <w:kinsoku/>
        <w:wordWrap/>
        <w:overflowPunct/>
        <w:topLinePunct w:val="0"/>
        <w:autoSpaceDE/>
        <w:autoSpaceDN/>
        <w:bidi w:val="0"/>
        <w:snapToGrid/>
        <w:spacing w:line="460" w:lineRule="exact"/>
        <w:ind w:left="0" w:leftChars="0" w:firstLine="442" w:firstLineChars="200"/>
        <w:outlineLvl w:val="9"/>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 xml:space="preserve">付款方式 </w:t>
      </w:r>
    </w:p>
    <w:p w14:paraId="77391E32">
      <w:pPr>
        <w:keepNext w:val="0"/>
        <w:keepLines w:val="0"/>
        <w:pageBreakBefore w:val="0"/>
        <w:widowControl w:val="0"/>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常规打印机外包服务费：合同签订后一个月内，甲方向乙方支付常规打印机外包服务费的40%，6个月后支付常规打印机外包服务费的20%，服务期满经考核后，按考核细则支付剩余款项，考核细则详见本合同第十五条。</w:t>
      </w:r>
    </w:p>
    <w:p w14:paraId="7BDF2A19">
      <w:pPr>
        <w:keepNext w:val="0"/>
        <w:keepLines w:val="0"/>
        <w:pageBreakBefore w:val="0"/>
        <w:widowControl w:val="0"/>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（2）超额打印机外包服务：服务期满，双方根据实际新增文印设备数量及其投放天数另行结算。</w:t>
      </w:r>
    </w:p>
    <w:p w14:paraId="457DD41E">
      <w:pPr>
        <w:keepNext w:val="0"/>
        <w:keepLines w:val="0"/>
        <w:pageBreakBefore w:val="0"/>
        <w:widowControl w:val="0"/>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（3）甲方每次付款前，乙方应提供对应金额的增值税发票。</w:t>
      </w:r>
    </w:p>
    <w:p w14:paraId="21F95CB6">
      <w:pPr>
        <w:keepNext w:val="0"/>
        <w:keepLines w:val="0"/>
        <w:pageBreakBefore w:val="0"/>
        <w:widowControl w:val="0"/>
        <w:numPr>
          <w:ilvl w:val="0"/>
          <w:numId w:val="5"/>
        </w:numPr>
        <w:kinsoku/>
        <w:wordWrap/>
        <w:overflowPunct/>
        <w:topLinePunct w:val="0"/>
        <w:autoSpaceDE/>
        <w:autoSpaceDN/>
        <w:bidi w:val="0"/>
        <w:snapToGrid/>
        <w:spacing w:line="460" w:lineRule="exact"/>
        <w:ind w:left="0" w:leftChars="0" w:firstLine="442" w:firstLineChars="200"/>
        <w:outlineLvl w:val="9"/>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惩罚措施</w:t>
      </w:r>
    </w:p>
    <w:p w14:paraId="7132C5AA">
      <w:pPr>
        <w:keepNext w:val="0"/>
        <w:keepLines w:val="0"/>
        <w:pageBreakBefore w:val="0"/>
        <w:widowControl w:val="0"/>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医院使用科室在合同期间如有书面投诉的，在确认投诉理由成立后，投诉一次扣除100元的打印费用。</w:t>
      </w:r>
    </w:p>
    <w:p w14:paraId="5FF9DEC3">
      <w:pPr>
        <w:keepNext w:val="0"/>
        <w:keepLines w:val="0"/>
        <w:pageBreakBefore w:val="0"/>
        <w:widowControl w:val="0"/>
        <w:numPr>
          <w:ilvl w:val="0"/>
          <w:numId w:val="5"/>
        </w:numPr>
        <w:kinsoku/>
        <w:wordWrap/>
        <w:overflowPunct/>
        <w:topLinePunct w:val="0"/>
        <w:autoSpaceDE/>
        <w:autoSpaceDN/>
        <w:bidi w:val="0"/>
        <w:snapToGrid/>
        <w:spacing w:line="460" w:lineRule="exact"/>
        <w:ind w:left="0" w:leftChars="0" w:firstLine="442" w:firstLineChars="200"/>
        <w:outlineLvl w:val="9"/>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合同终止</w:t>
      </w:r>
    </w:p>
    <w:p w14:paraId="32B98C9E">
      <w:pPr>
        <w:keepNext w:val="0"/>
        <w:keepLines w:val="0"/>
        <w:pageBreakBefore w:val="0"/>
        <w:widowControl w:val="0"/>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合同期满双方不再续签合同的，乙方在两个月内，在不影响甲方正常打印的情况下，陆续取回出租的打印设备。如果超期按原合同价格结算超期费用。</w:t>
      </w:r>
    </w:p>
    <w:p w14:paraId="138AD04B">
      <w:pPr>
        <w:keepNext w:val="0"/>
        <w:keepLines w:val="0"/>
        <w:pageBreakBefore w:val="0"/>
        <w:widowControl w:val="0"/>
        <w:numPr>
          <w:ilvl w:val="0"/>
          <w:numId w:val="2"/>
        </w:numPr>
        <w:kinsoku/>
        <w:wordWrap/>
        <w:overflowPunct/>
        <w:topLinePunct w:val="0"/>
        <w:autoSpaceDE/>
        <w:autoSpaceDN/>
        <w:bidi w:val="0"/>
        <w:snapToGrid/>
        <w:spacing w:line="460" w:lineRule="exact"/>
        <w:ind w:left="0" w:leftChars="0" w:firstLine="442" w:firstLineChars="200"/>
        <w:outlineLvl w:val="9"/>
        <w:rPr>
          <w:rFonts w:hint="eastAsia" w:ascii="新宋体" w:hAnsi="新宋体" w:eastAsia="新宋体" w:cs="新宋体"/>
          <w:b/>
          <w:color w:val="auto"/>
          <w:sz w:val="22"/>
          <w:szCs w:val="22"/>
          <w:highlight w:val="none"/>
        </w:rPr>
      </w:pPr>
      <w:bookmarkStart w:id="50" w:name="_Toc14307"/>
      <w:r>
        <w:rPr>
          <w:rFonts w:hint="eastAsia" w:ascii="新宋体" w:hAnsi="新宋体" w:eastAsia="新宋体" w:cs="新宋体"/>
          <w:b/>
          <w:bCs/>
          <w:color w:val="auto"/>
          <w:sz w:val="22"/>
          <w:szCs w:val="22"/>
          <w:highlight w:val="none"/>
        </w:rPr>
        <w:t>服务期限</w:t>
      </w:r>
      <w:bookmarkEnd w:id="50"/>
    </w:p>
    <w:p w14:paraId="6D11A032">
      <w:pPr>
        <w:keepNext w:val="0"/>
        <w:keepLines w:val="0"/>
        <w:pageBreakBefore w:val="0"/>
        <w:widowControl w:val="0"/>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合同期限</w:t>
      </w:r>
      <w:r>
        <w:rPr>
          <w:rFonts w:hint="eastAsia" w:ascii="新宋体" w:hAnsi="新宋体" w:eastAsia="新宋体" w:cs="新宋体"/>
          <w:b/>
          <w:color w:val="auto"/>
          <w:sz w:val="22"/>
          <w:szCs w:val="22"/>
          <w:highlight w:val="none"/>
          <w:u w:val="single"/>
        </w:rPr>
        <w:t>壹</w:t>
      </w:r>
      <w:r>
        <w:rPr>
          <w:rFonts w:hint="eastAsia" w:ascii="新宋体" w:hAnsi="新宋体" w:eastAsia="新宋体" w:cs="新宋体"/>
          <w:bCs/>
          <w:color w:val="auto"/>
          <w:sz w:val="22"/>
          <w:szCs w:val="22"/>
          <w:highlight w:val="none"/>
        </w:rPr>
        <w:t>年。</w:t>
      </w:r>
    </w:p>
    <w:p w14:paraId="433C2F40">
      <w:pPr>
        <w:keepNext w:val="0"/>
        <w:keepLines w:val="0"/>
        <w:pageBreakBefore w:val="0"/>
        <w:widowControl w:val="0"/>
        <w:numPr>
          <w:ilvl w:val="0"/>
          <w:numId w:val="2"/>
        </w:numPr>
        <w:kinsoku/>
        <w:wordWrap/>
        <w:overflowPunct/>
        <w:topLinePunct w:val="0"/>
        <w:autoSpaceDE/>
        <w:autoSpaceDN/>
        <w:bidi w:val="0"/>
        <w:snapToGrid/>
        <w:spacing w:line="460" w:lineRule="exact"/>
        <w:ind w:left="0" w:leftChars="0" w:firstLine="442" w:firstLineChars="200"/>
        <w:outlineLvl w:val="9"/>
        <w:rPr>
          <w:rFonts w:hint="eastAsia" w:ascii="新宋体" w:hAnsi="新宋体" w:eastAsia="新宋体" w:cs="新宋体"/>
          <w:b/>
          <w:bCs/>
          <w:color w:val="auto"/>
          <w:sz w:val="22"/>
          <w:szCs w:val="22"/>
          <w:highlight w:val="none"/>
        </w:rPr>
      </w:pPr>
      <w:bookmarkStart w:id="51" w:name="_Toc25261"/>
      <w:r>
        <w:rPr>
          <w:rFonts w:hint="eastAsia" w:ascii="新宋体" w:hAnsi="新宋体" w:eastAsia="新宋体" w:cs="新宋体"/>
          <w:b/>
          <w:bCs/>
          <w:color w:val="auto"/>
          <w:sz w:val="22"/>
          <w:szCs w:val="22"/>
          <w:highlight w:val="none"/>
        </w:rPr>
        <w:t>技术服务要求</w:t>
      </w:r>
      <w:bookmarkEnd w:id="51"/>
    </w:p>
    <w:p w14:paraId="4A38BD71">
      <w:pPr>
        <w:keepNext w:val="0"/>
        <w:keepLines w:val="0"/>
        <w:pageBreakBefore w:val="0"/>
        <w:widowControl w:val="0"/>
        <w:kinsoku/>
        <w:wordWrap/>
        <w:overflowPunct/>
        <w:topLinePunct w:val="0"/>
        <w:autoSpaceDE/>
        <w:autoSpaceDN/>
        <w:bidi w:val="0"/>
        <w:snapToGrid/>
        <w:spacing w:line="460" w:lineRule="exact"/>
        <w:ind w:left="0" w:leftChars="0" w:firstLine="442" w:firstLineChars="200"/>
        <w:outlineLvl w:val="9"/>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1.服务要求</w:t>
      </w:r>
    </w:p>
    <w:p w14:paraId="533ADF3E">
      <w:pPr>
        <w:keepNext w:val="0"/>
        <w:keepLines w:val="0"/>
        <w:pageBreakBefore w:val="0"/>
        <w:widowControl w:val="0"/>
        <w:kinsoku/>
        <w:wordWrap/>
        <w:overflowPunct/>
        <w:topLinePunct w:val="0"/>
        <w:autoSpaceDE/>
        <w:autoSpaceDN/>
        <w:bidi w:val="0"/>
        <w:snapToGrid/>
        <w:spacing w:line="460" w:lineRule="exact"/>
        <w:ind w:left="0" w:leftChars="0" w:firstLine="442" w:firstLineChars="200"/>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（1）驻点:</w:t>
      </w:r>
    </w:p>
    <w:p w14:paraId="2DC714B6">
      <w:pPr>
        <w:keepNext w:val="0"/>
        <w:keepLines w:val="0"/>
        <w:pageBreakBefore w:val="0"/>
        <w:widowControl w:val="0"/>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乙方必须在甲方派驻固定的驻点维护人员。乙方要提供一个统一的维护、维修、耗材配送等服务运维受理平台。</w:t>
      </w:r>
    </w:p>
    <w:p w14:paraId="6B2F1E28">
      <w:pPr>
        <w:keepNext w:val="0"/>
        <w:keepLines w:val="0"/>
        <w:pageBreakBefore w:val="0"/>
        <w:widowControl w:val="0"/>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bCs/>
          <w:color w:val="auto"/>
          <w:sz w:val="22"/>
          <w:szCs w:val="22"/>
          <w:highlight w:val="none"/>
        </w:rPr>
        <w:t xml:space="preserve">驻点人员：乙方必须提供技术人员最少1名，驻点人员必须服从甲方安排，和医院上班时间同步。    </w:t>
      </w:r>
    </w:p>
    <w:p w14:paraId="37DBC51D">
      <w:pPr>
        <w:keepNext w:val="0"/>
        <w:keepLines w:val="0"/>
        <w:pageBreakBefore w:val="0"/>
        <w:widowControl w:val="0"/>
        <w:kinsoku/>
        <w:wordWrap/>
        <w:overflowPunct/>
        <w:topLinePunct w:val="0"/>
        <w:autoSpaceDE/>
        <w:autoSpaceDN/>
        <w:bidi w:val="0"/>
        <w:snapToGrid/>
        <w:spacing w:line="460" w:lineRule="exact"/>
        <w:ind w:left="0" w:leftChars="0" w:firstLine="442" w:firstLineChars="200"/>
        <w:outlineLvl w:val="9"/>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（2）维护、维修要求:</w:t>
      </w:r>
    </w:p>
    <w:p w14:paraId="4006795A">
      <w:pPr>
        <w:keepNext w:val="0"/>
        <w:keepLines w:val="0"/>
        <w:pageBreakBefore w:val="0"/>
        <w:widowControl w:val="0"/>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1）乙方要对甲方打印机制定相应方案，进行巡检、预防性维修。</w:t>
      </w:r>
    </w:p>
    <w:p w14:paraId="32CF3395">
      <w:pPr>
        <w:keepNext w:val="0"/>
        <w:keepLines w:val="0"/>
        <w:pageBreakBefore w:val="0"/>
        <w:widowControl w:val="0"/>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2）使用部门报修后，乙方必须在15分钟内响应，30分钟内到场，一小时内解决问题，如果不能按要求解决的应提供备用机器。</w:t>
      </w:r>
    </w:p>
    <w:p w14:paraId="4DE61625">
      <w:pPr>
        <w:keepNext w:val="0"/>
        <w:keepLines w:val="0"/>
        <w:pageBreakBefore w:val="0"/>
        <w:widowControl w:val="0"/>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3）乙方自备一定数量的备用机作为维修周转备用。</w:t>
      </w:r>
    </w:p>
    <w:p w14:paraId="6F46CEEC">
      <w:pPr>
        <w:keepNext w:val="0"/>
        <w:keepLines w:val="0"/>
        <w:pageBreakBefore w:val="0"/>
        <w:widowControl w:val="0"/>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4）乙方定期提供巡检、维护、维修处理记录。</w:t>
      </w:r>
    </w:p>
    <w:p w14:paraId="15A6449E">
      <w:pPr>
        <w:keepNext w:val="0"/>
        <w:keepLines w:val="0"/>
        <w:pageBreakBefore w:val="0"/>
        <w:widowControl w:val="0"/>
        <w:kinsoku/>
        <w:wordWrap/>
        <w:overflowPunct/>
        <w:topLinePunct w:val="0"/>
        <w:autoSpaceDE/>
        <w:autoSpaceDN/>
        <w:bidi w:val="0"/>
        <w:snapToGrid/>
        <w:spacing w:line="460" w:lineRule="exact"/>
        <w:ind w:left="0" w:leftChars="0" w:firstLine="442"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
          <w:color w:val="auto"/>
          <w:sz w:val="22"/>
          <w:szCs w:val="22"/>
          <w:highlight w:val="none"/>
        </w:rPr>
        <w:t>（3）耗材、整机配送及设备更新</w:t>
      </w:r>
    </w:p>
    <w:p w14:paraId="4908A450">
      <w:pPr>
        <w:keepNext w:val="0"/>
        <w:keepLines w:val="0"/>
        <w:pageBreakBefore w:val="0"/>
        <w:widowControl w:val="0"/>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乙方必须建立一个耗材配送服务方案，及时满足耗材更换的要求。新机器的安装由乙方进行。</w:t>
      </w:r>
    </w:p>
    <w:p w14:paraId="1EC4CE71">
      <w:pPr>
        <w:keepNext w:val="0"/>
        <w:keepLines w:val="0"/>
        <w:pageBreakBefore w:val="0"/>
        <w:widowControl w:val="0"/>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如使用部门需要添置新的打印机，甲方可自行购置也可以选择由乙方按照甲方要求提供。</w:t>
      </w:r>
    </w:p>
    <w:p w14:paraId="773B3DC0">
      <w:pPr>
        <w:keepNext w:val="0"/>
        <w:keepLines w:val="0"/>
        <w:pageBreakBefore w:val="0"/>
        <w:widowControl w:val="0"/>
        <w:kinsoku/>
        <w:wordWrap/>
        <w:overflowPunct/>
        <w:topLinePunct w:val="0"/>
        <w:autoSpaceDE/>
        <w:autoSpaceDN/>
        <w:bidi w:val="0"/>
        <w:snapToGrid/>
        <w:spacing w:line="460" w:lineRule="exact"/>
        <w:ind w:left="0" w:leftChars="0" w:firstLine="442"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
          <w:color w:val="auto"/>
          <w:sz w:val="22"/>
          <w:szCs w:val="22"/>
          <w:highlight w:val="none"/>
        </w:rPr>
        <w:t>（4）退换服务</w:t>
      </w:r>
      <w:r>
        <w:rPr>
          <w:rFonts w:hint="eastAsia" w:ascii="新宋体" w:hAnsi="新宋体" w:eastAsia="新宋体" w:cs="新宋体"/>
          <w:bCs/>
          <w:color w:val="auto"/>
          <w:sz w:val="22"/>
          <w:szCs w:val="22"/>
          <w:highlight w:val="none"/>
        </w:rPr>
        <w:t xml:space="preserve"> </w:t>
      </w:r>
    </w:p>
    <w:p w14:paraId="3645D5F0">
      <w:pPr>
        <w:keepNext w:val="0"/>
        <w:keepLines w:val="0"/>
        <w:pageBreakBefore w:val="0"/>
        <w:widowControl w:val="0"/>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乙方对送交到甲方的打印设备不能有任何质量问题。若抽查时发现有不合格的打印设备，以及与投标文件中中标打印设备参数不符的打印设备，一律予以退换，不能以已安装为理由拒绝，由此造成的损失及费用全部由乙方承担。事后做好记录工作。</w:t>
      </w:r>
    </w:p>
    <w:p w14:paraId="77515377">
      <w:pPr>
        <w:keepNext w:val="0"/>
        <w:keepLines w:val="0"/>
        <w:pageBreakBefore w:val="0"/>
        <w:widowControl w:val="0"/>
        <w:kinsoku/>
        <w:wordWrap/>
        <w:overflowPunct/>
        <w:topLinePunct w:val="0"/>
        <w:autoSpaceDE/>
        <w:autoSpaceDN/>
        <w:bidi w:val="0"/>
        <w:snapToGrid/>
        <w:spacing w:line="460" w:lineRule="exact"/>
        <w:ind w:left="0" w:leftChars="0" w:firstLine="442" w:firstLineChars="200"/>
        <w:outlineLvl w:val="9"/>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（5）人员培训</w:t>
      </w:r>
    </w:p>
    <w:p w14:paraId="35A29C3C">
      <w:pPr>
        <w:keepNext w:val="0"/>
        <w:keepLines w:val="0"/>
        <w:pageBreakBefore w:val="0"/>
        <w:widowControl w:val="0"/>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乙方免费提供打印设备使用人员操作培训。</w:t>
      </w:r>
    </w:p>
    <w:p w14:paraId="3B25D07A">
      <w:pPr>
        <w:pStyle w:val="9"/>
        <w:keepNext w:val="0"/>
        <w:keepLines w:val="0"/>
        <w:pageBreakBefore w:val="0"/>
        <w:widowControl w:val="0"/>
        <w:kinsoku/>
        <w:wordWrap/>
        <w:overflowPunct/>
        <w:topLinePunct w:val="0"/>
        <w:autoSpaceDE/>
        <w:autoSpaceDN/>
        <w:bidi w:val="0"/>
        <w:snapToGrid/>
        <w:spacing w:line="460" w:lineRule="exact"/>
        <w:ind w:left="0" w:leftChars="0" w:firstLine="442" w:firstLineChars="200"/>
        <w:outlineLvl w:val="9"/>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rPr>
        <w:t>（6）其他要求：</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 xml:space="preserve"> 。</w:t>
      </w:r>
    </w:p>
    <w:p w14:paraId="69BE5484">
      <w:pPr>
        <w:keepNext w:val="0"/>
        <w:keepLines w:val="0"/>
        <w:pageBreakBefore w:val="0"/>
        <w:widowControl w:val="0"/>
        <w:numPr>
          <w:ilvl w:val="0"/>
          <w:numId w:val="2"/>
        </w:numPr>
        <w:kinsoku/>
        <w:wordWrap/>
        <w:overflowPunct/>
        <w:topLinePunct w:val="0"/>
        <w:autoSpaceDE/>
        <w:autoSpaceDN/>
        <w:bidi w:val="0"/>
        <w:snapToGrid/>
        <w:spacing w:line="460" w:lineRule="exact"/>
        <w:ind w:left="0" w:leftChars="0" w:firstLine="442" w:firstLineChars="200"/>
        <w:outlineLvl w:val="9"/>
        <w:rPr>
          <w:rFonts w:hint="eastAsia" w:ascii="新宋体" w:hAnsi="新宋体" w:eastAsia="新宋体" w:cs="新宋体"/>
          <w:b/>
          <w:color w:val="auto"/>
          <w:sz w:val="22"/>
          <w:szCs w:val="22"/>
          <w:highlight w:val="none"/>
        </w:rPr>
      </w:pPr>
      <w:bookmarkStart w:id="52" w:name="_Toc22195"/>
      <w:r>
        <w:rPr>
          <w:rFonts w:hint="eastAsia" w:ascii="新宋体" w:hAnsi="新宋体" w:eastAsia="新宋体" w:cs="新宋体"/>
          <w:b/>
          <w:color w:val="auto"/>
          <w:sz w:val="22"/>
          <w:szCs w:val="22"/>
          <w:highlight w:val="none"/>
        </w:rPr>
        <w:t>耗材与设备要求</w:t>
      </w:r>
      <w:bookmarkEnd w:id="52"/>
    </w:p>
    <w:p w14:paraId="56DD1F14">
      <w:pPr>
        <w:pStyle w:val="9"/>
        <w:keepNext w:val="0"/>
        <w:keepLines w:val="0"/>
        <w:pageBreakBefore w:val="0"/>
        <w:widowControl w:val="0"/>
        <w:kinsoku/>
        <w:wordWrap/>
        <w:overflowPunct/>
        <w:topLinePunct w:val="0"/>
        <w:autoSpaceDE/>
        <w:autoSpaceDN/>
        <w:bidi w:val="0"/>
        <w:snapToGrid/>
        <w:spacing w:line="460" w:lineRule="exact"/>
        <w:ind w:left="0" w:leftChars="0" w:firstLine="442" w:firstLineChars="200"/>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详见招标文件</w:t>
      </w:r>
    </w:p>
    <w:p w14:paraId="7F6538D0">
      <w:pPr>
        <w:keepNext w:val="0"/>
        <w:keepLines w:val="0"/>
        <w:pageBreakBefore w:val="0"/>
        <w:widowControl w:val="0"/>
        <w:numPr>
          <w:ilvl w:val="0"/>
          <w:numId w:val="2"/>
        </w:numPr>
        <w:kinsoku/>
        <w:wordWrap/>
        <w:overflowPunct/>
        <w:topLinePunct w:val="0"/>
        <w:autoSpaceDE/>
        <w:autoSpaceDN/>
        <w:bidi w:val="0"/>
        <w:snapToGrid/>
        <w:spacing w:line="460" w:lineRule="exact"/>
        <w:ind w:left="0" w:leftChars="0" w:firstLine="442" w:firstLineChars="200"/>
        <w:outlineLvl w:val="9"/>
        <w:rPr>
          <w:rFonts w:hint="eastAsia" w:ascii="新宋体" w:hAnsi="新宋体" w:eastAsia="新宋体" w:cs="新宋体"/>
          <w:b/>
          <w:color w:val="auto"/>
          <w:sz w:val="22"/>
          <w:szCs w:val="22"/>
          <w:highlight w:val="none"/>
        </w:rPr>
      </w:pPr>
      <w:bookmarkStart w:id="53" w:name="_Toc19681"/>
      <w:r>
        <w:rPr>
          <w:rFonts w:hint="eastAsia" w:ascii="新宋体" w:hAnsi="新宋体" w:eastAsia="新宋体" w:cs="新宋体"/>
          <w:b/>
          <w:color w:val="auto"/>
          <w:sz w:val="22"/>
          <w:szCs w:val="22"/>
          <w:highlight w:val="none"/>
        </w:rPr>
        <w:t>售后服务</w:t>
      </w:r>
      <w:bookmarkEnd w:id="53"/>
    </w:p>
    <w:p w14:paraId="3CC126CB">
      <w:pPr>
        <w:keepNext w:val="0"/>
        <w:keepLines w:val="0"/>
        <w:pageBreakBefore w:val="0"/>
        <w:widowControl w:val="0"/>
        <w:numPr>
          <w:ilvl w:val="0"/>
          <w:numId w:val="6"/>
        </w:numPr>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乙方必须根据本次招标文件所制定的目标和范围，提出相应的售后服务方案。</w:t>
      </w:r>
    </w:p>
    <w:p w14:paraId="74E3899B">
      <w:pPr>
        <w:keepNext w:val="0"/>
        <w:keepLines w:val="0"/>
        <w:pageBreakBefore w:val="0"/>
        <w:widowControl w:val="0"/>
        <w:numPr>
          <w:ilvl w:val="0"/>
          <w:numId w:val="6"/>
        </w:numPr>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为了保证本次项目顺利成功，要求乙方必须提供驻点技术人员最少1名，驻点人员必须服从甲方安排，和医院上班时间同步。乙方提供7×24小时售后技术服务，包括免费升级、功能完善、故障排除、性能调优、技术咨询等。</w:t>
      </w:r>
    </w:p>
    <w:p w14:paraId="09F8F68E">
      <w:pPr>
        <w:keepNext w:val="0"/>
        <w:keepLines w:val="0"/>
        <w:pageBreakBefore w:val="0"/>
        <w:widowControl w:val="0"/>
        <w:numPr>
          <w:ilvl w:val="0"/>
          <w:numId w:val="6"/>
        </w:numPr>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乙方须保证所提供产品具有合法的版权或使用权，本项目采购的产品，如在本项目范围内使用过程中出现版权或使用权纠纷，应由乙方负责，采购人和采购机构不承担任何责任。</w:t>
      </w:r>
    </w:p>
    <w:p w14:paraId="2BDD455F">
      <w:pPr>
        <w:keepNext w:val="0"/>
        <w:keepLines w:val="0"/>
        <w:pageBreakBefore w:val="0"/>
        <w:widowControl w:val="0"/>
        <w:numPr>
          <w:ilvl w:val="0"/>
          <w:numId w:val="6"/>
        </w:numPr>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乙方应为用户提供系统培训，使其能对系统熟练的操作和日常的维护以及能对一般系统故障进行处置。</w:t>
      </w:r>
    </w:p>
    <w:p w14:paraId="54E54537">
      <w:pPr>
        <w:keepNext w:val="0"/>
        <w:keepLines w:val="0"/>
        <w:pageBreakBefore w:val="0"/>
        <w:widowControl w:val="0"/>
        <w:numPr>
          <w:ilvl w:val="0"/>
          <w:numId w:val="6"/>
        </w:numPr>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乙方须保证所提供产品具有合法的版权或使用权，本项目采购的产品，如在本项目范围内使用过程中出现版权或使用权纠纷，应由乙方负责，采购人和采购机构不承担任何责任。</w:t>
      </w:r>
    </w:p>
    <w:p w14:paraId="366A5329">
      <w:pPr>
        <w:keepNext w:val="0"/>
        <w:keepLines w:val="0"/>
        <w:pageBreakBefore w:val="0"/>
        <w:widowControl w:val="0"/>
        <w:numPr>
          <w:ilvl w:val="0"/>
          <w:numId w:val="6"/>
        </w:numPr>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乙方应为用户提供系统培训，使其能对系统熟练的操作和日常的维护以及能对一般系统故障进行处置。</w:t>
      </w:r>
    </w:p>
    <w:p w14:paraId="4BECB849">
      <w:pPr>
        <w:keepNext w:val="0"/>
        <w:keepLines w:val="0"/>
        <w:pageBreakBefore w:val="0"/>
        <w:widowControl w:val="0"/>
        <w:numPr>
          <w:ilvl w:val="0"/>
          <w:numId w:val="2"/>
        </w:numPr>
        <w:kinsoku/>
        <w:wordWrap/>
        <w:overflowPunct/>
        <w:topLinePunct w:val="0"/>
        <w:autoSpaceDE/>
        <w:autoSpaceDN/>
        <w:bidi w:val="0"/>
        <w:snapToGrid/>
        <w:spacing w:line="460" w:lineRule="exact"/>
        <w:ind w:left="0" w:leftChars="0" w:firstLine="442" w:firstLineChars="200"/>
        <w:outlineLvl w:val="9"/>
        <w:rPr>
          <w:rFonts w:hint="eastAsia" w:ascii="新宋体" w:hAnsi="新宋体" w:eastAsia="新宋体" w:cs="新宋体"/>
          <w:b/>
          <w:bCs/>
          <w:color w:val="auto"/>
          <w:sz w:val="22"/>
          <w:szCs w:val="22"/>
          <w:highlight w:val="none"/>
        </w:rPr>
      </w:pPr>
      <w:bookmarkStart w:id="54" w:name="_Toc9542"/>
      <w:r>
        <w:rPr>
          <w:rFonts w:hint="eastAsia" w:ascii="新宋体" w:hAnsi="新宋体" w:eastAsia="新宋体" w:cs="新宋体"/>
          <w:b/>
          <w:bCs/>
          <w:color w:val="auto"/>
          <w:sz w:val="22"/>
          <w:szCs w:val="22"/>
          <w:highlight w:val="none"/>
        </w:rPr>
        <w:t>税费</w:t>
      </w:r>
      <w:bookmarkEnd w:id="54"/>
    </w:p>
    <w:p w14:paraId="43BEB27A">
      <w:pPr>
        <w:keepNext w:val="0"/>
        <w:keepLines w:val="0"/>
        <w:pageBreakBefore w:val="0"/>
        <w:widowControl w:val="0"/>
        <w:numPr>
          <w:ilvl w:val="0"/>
          <w:numId w:val="7"/>
        </w:numPr>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根据国家现行税法对甲方征收的与本合同有关的一切费用由甲方承担。</w:t>
      </w:r>
    </w:p>
    <w:p w14:paraId="1FE47A6F">
      <w:pPr>
        <w:keepNext w:val="0"/>
        <w:keepLines w:val="0"/>
        <w:pageBreakBefore w:val="0"/>
        <w:widowControl w:val="0"/>
        <w:numPr>
          <w:ilvl w:val="0"/>
          <w:numId w:val="7"/>
        </w:numPr>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根据现行税法对乙方征收的与本合同有关的一切税费均由乙方承担。</w:t>
      </w:r>
    </w:p>
    <w:p w14:paraId="359C71AA">
      <w:pPr>
        <w:keepNext w:val="0"/>
        <w:keepLines w:val="0"/>
        <w:pageBreakBefore w:val="0"/>
        <w:widowControl w:val="0"/>
        <w:numPr>
          <w:ilvl w:val="0"/>
          <w:numId w:val="7"/>
        </w:numPr>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在中国境外发生的与本合同执行有关的一切税费由乙方承担。</w:t>
      </w:r>
    </w:p>
    <w:p w14:paraId="19BCAA8B">
      <w:pPr>
        <w:keepNext w:val="0"/>
        <w:keepLines w:val="0"/>
        <w:pageBreakBefore w:val="0"/>
        <w:widowControl w:val="0"/>
        <w:numPr>
          <w:ilvl w:val="0"/>
          <w:numId w:val="2"/>
        </w:numPr>
        <w:kinsoku/>
        <w:wordWrap/>
        <w:overflowPunct/>
        <w:topLinePunct w:val="0"/>
        <w:autoSpaceDE/>
        <w:autoSpaceDN/>
        <w:bidi w:val="0"/>
        <w:snapToGrid/>
        <w:spacing w:line="460" w:lineRule="exact"/>
        <w:ind w:left="0" w:leftChars="0" w:firstLine="442" w:firstLineChars="200"/>
        <w:outlineLvl w:val="9"/>
        <w:rPr>
          <w:rFonts w:hint="eastAsia" w:ascii="新宋体" w:hAnsi="新宋体" w:eastAsia="新宋体" w:cs="新宋体"/>
          <w:b/>
          <w:color w:val="auto"/>
          <w:sz w:val="22"/>
          <w:szCs w:val="22"/>
          <w:highlight w:val="none"/>
        </w:rPr>
      </w:pPr>
      <w:bookmarkStart w:id="55" w:name="_Toc5692"/>
      <w:r>
        <w:rPr>
          <w:rFonts w:hint="eastAsia" w:ascii="新宋体" w:hAnsi="新宋体" w:eastAsia="新宋体" w:cs="新宋体"/>
          <w:b/>
          <w:color w:val="auto"/>
          <w:sz w:val="22"/>
          <w:szCs w:val="22"/>
          <w:highlight w:val="none"/>
        </w:rPr>
        <w:t>不可抗力</w:t>
      </w:r>
      <w:bookmarkEnd w:id="55"/>
    </w:p>
    <w:p w14:paraId="7D830827">
      <w:pPr>
        <w:keepNext w:val="0"/>
        <w:keepLines w:val="0"/>
        <w:pageBreakBefore w:val="0"/>
        <w:widowControl w:val="0"/>
        <w:tabs>
          <w:tab w:val="left" w:pos="0"/>
        </w:tabs>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如果双方中任何一方由于战争、严重火灾、水灾、破坏性台风和地震以及其它经双方同意属不可抗力的事故，致使合同履行受阻时，履行合同期限应予延长，延长时限应相当于事故所影响的时间，或双方协商解决。</w:t>
      </w:r>
    </w:p>
    <w:p w14:paraId="1BADE29B">
      <w:pPr>
        <w:keepNext w:val="0"/>
        <w:keepLines w:val="0"/>
        <w:pageBreakBefore w:val="0"/>
        <w:widowControl w:val="0"/>
        <w:numPr>
          <w:ilvl w:val="0"/>
          <w:numId w:val="2"/>
        </w:numPr>
        <w:kinsoku/>
        <w:wordWrap/>
        <w:overflowPunct/>
        <w:topLinePunct w:val="0"/>
        <w:autoSpaceDE/>
        <w:autoSpaceDN/>
        <w:bidi w:val="0"/>
        <w:snapToGrid/>
        <w:spacing w:line="460" w:lineRule="exact"/>
        <w:ind w:left="0" w:leftChars="0" w:firstLine="442" w:firstLineChars="200"/>
        <w:outlineLvl w:val="9"/>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争端的解决</w:t>
      </w:r>
    </w:p>
    <w:p w14:paraId="6398604B">
      <w:pPr>
        <w:keepNext w:val="0"/>
        <w:keepLines w:val="0"/>
        <w:pageBreakBefore w:val="0"/>
        <w:widowControl w:val="0"/>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凡关于本合同争议，应双方友好协商解决，若协商不成，任何一方有权向甲方所在地人民法院起诉。</w:t>
      </w:r>
    </w:p>
    <w:p w14:paraId="6304970B">
      <w:pPr>
        <w:keepNext w:val="0"/>
        <w:keepLines w:val="0"/>
        <w:pageBreakBefore w:val="0"/>
        <w:widowControl w:val="0"/>
        <w:numPr>
          <w:ilvl w:val="0"/>
          <w:numId w:val="2"/>
        </w:numPr>
        <w:kinsoku/>
        <w:wordWrap/>
        <w:overflowPunct/>
        <w:topLinePunct w:val="0"/>
        <w:autoSpaceDE/>
        <w:autoSpaceDN/>
        <w:bidi w:val="0"/>
        <w:snapToGrid/>
        <w:spacing w:line="460" w:lineRule="exact"/>
        <w:ind w:left="0" w:leftChars="0" w:firstLine="442" w:firstLineChars="200"/>
        <w:outlineLvl w:val="9"/>
        <w:rPr>
          <w:rFonts w:hint="eastAsia" w:ascii="新宋体" w:hAnsi="新宋体" w:eastAsia="新宋体" w:cs="新宋体"/>
          <w:b/>
          <w:bCs/>
          <w:color w:val="auto"/>
          <w:sz w:val="22"/>
          <w:szCs w:val="22"/>
          <w:highlight w:val="none"/>
        </w:rPr>
      </w:pPr>
      <w:bookmarkStart w:id="56" w:name="_Toc10939"/>
      <w:r>
        <w:rPr>
          <w:rFonts w:hint="eastAsia" w:ascii="新宋体" w:hAnsi="新宋体" w:eastAsia="新宋体" w:cs="新宋体"/>
          <w:b/>
          <w:bCs/>
          <w:color w:val="auto"/>
          <w:sz w:val="22"/>
          <w:szCs w:val="22"/>
          <w:highlight w:val="none"/>
        </w:rPr>
        <w:t>适用法律</w:t>
      </w:r>
      <w:bookmarkEnd w:id="56"/>
    </w:p>
    <w:p w14:paraId="59E9AE13">
      <w:pPr>
        <w:keepNext w:val="0"/>
        <w:keepLines w:val="0"/>
        <w:pageBreakBefore w:val="0"/>
        <w:widowControl w:val="0"/>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本合同应按照中华人民共和国的法律进行解释。</w:t>
      </w:r>
    </w:p>
    <w:p w14:paraId="7ACD6AAF">
      <w:pPr>
        <w:keepNext w:val="0"/>
        <w:keepLines w:val="0"/>
        <w:pageBreakBefore w:val="0"/>
        <w:widowControl w:val="0"/>
        <w:numPr>
          <w:ilvl w:val="0"/>
          <w:numId w:val="2"/>
        </w:numPr>
        <w:kinsoku/>
        <w:wordWrap/>
        <w:overflowPunct/>
        <w:topLinePunct w:val="0"/>
        <w:autoSpaceDE/>
        <w:autoSpaceDN/>
        <w:bidi w:val="0"/>
        <w:snapToGrid/>
        <w:spacing w:line="460" w:lineRule="exact"/>
        <w:ind w:left="0" w:leftChars="0" w:firstLine="442" w:firstLineChars="200"/>
        <w:outlineLvl w:val="9"/>
        <w:rPr>
          <w:rFonts w:hint="eastAsia" w:ascii="新宋体" w:hAnsi="新宋体" w:eastAsia="新宋体" w:cs="新宋体"/>
          <w:b/>
          <w:bCs/>
          <w:color w:val="auto"/>
          <w:sz w:val="22"/>
          <w:szCs w:val="22"/>
          <w:highlight w:val="none"/>
        </w:rPr>
      </w:pPr>
      <w:bookmarkStart w:id="57" w:name="_Toc28383"/>
      <w:r>
        <w:rPr>
          <w:rFonts w:hint="eastAsia" w:ascii="新宋体" w:hAnsi="新宋体" w:eastAsia="新宋体" w:cs="新宋体"/>
          <w:b/>
          <w:bCs/>
          <w:color w:val="auto"/>
          <w:sz w:val="22"/>
          <w:szCs w:val="22"/>
          <w:highlight w:val="none"/>
        </w:rPr>
        <w:t>考核细则</w:t>
      </w:r>
      <w:bookmarkEnd w:id="57"/>
    </w:p>
    <w:p w14:paraId="5F6B4338">
      <w:pPr>
        <w:spacing w:line="460" w:lineRule="exact"/>
        <w:ind w:firstLine="440" w:firstLineChars="200"/>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为监督外包公司为温州市第七人民医院提供更优质的打印服务，提高服务质量，温州市第七人民医院特制定打印机外包服务考核细则，对服务质量进行考核，具体考核办法如下：</w:t>
      </w:r>
    </w:p>
    <w:p w14:paraId="249A0D52">
      <w:pPr>
        <w:spacing w:line="460" w:lineRule="exact"/>
        <w:ind w:firstLine="440" w:firstLineChars="200"/>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考核内容及评分标准：</w:t>
      </w:r>
    </w:p>
    <w:p w14:paraId="29CFCCD8">
      <w:pPr>
        <w:spacing w:line="460" w:lineRule="exact"/>
        <w:ind w:firstLine="440" w:firstLineChars="200"/>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1.服务期满后对打印机外包服务质量进行考核。考核采取定时或抽查形式进行考核，考核总分为100分，达标分为80分（含），低于80分为不达标。</w:t>
      </w:r>
    </w:p>
    <w:p w14:paraId="15A1E648">
      <w:pPr>
        <w:spacing w:line="460" w:lineRule="exact"/>
        <w:ind w:firstLine="440" w:firstLineChars="200"/>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2.以达标分为标准，评分在达标分以下，每下降1分扣除合同总额的1%，最多扣除20%。</w:t>
      </w:r>
    </w:p>
    <w:tbl>
      <w:tblPr>
        <w:tblStyle w:val="55"/>
        <w:tblW w:w="102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65"/>
        <w:gridCol w:w="4536"/>
      </w:tblGrid>
      <w:tr w14:paraId="01C1B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201" w:type="dxa"/>
            <w:gridSpan w:val="2"/>
            <w:vAlign w:val="center"/>
          </w:tcPr>
          <w:p w14:paraId="124F2C85">
            <w:pPr>
              <w:keepNext w:val="0"/>
              <w:keepLines w:val="0"/>
              <w:pageBreakBefore w:val="0"/>
              <w:kinsoku/>
              <w:wordWrap/>
              <w:overflowPunct/>
              <w:topLinePunct w:val="0"/>
              <w:autoSpaceDE/>
              <w:autoSpaceDN/>
              <w:bidi w:val="0"/>
              <w:adjustRightInd/>
              <w:snapToGrid/>
              <w:spacing w:line="460" w:lineRule="exact"/>
              <w:jc w:val="center"/>
              <w:textAlignment w:val="auto"/>
              <w:outlineLvl w:val="9"/>
              <w:rPr>
                <w:rFonts w:ascii="新宋体" w:hAnsi="新宋体" w:eastAsia="新宋体" w:cs="新宋体"/>
                <w:b/>
                <w:bCs/>
                <w:color w:val="auto"/>
                <w:kern w:val="0"/>
                <w:sz w:val="22"/>
                <w:szCs w:val="22"/>
                <w:highlight w:val="none"/>
              </w:rPr>
            </w:pPr>
            <w:r>
              <w:rPr>
                <w:rFonts w:hint="eastAsia" w:ascii="新宋体" w:hAnsi="新宋体" w:eastAsia="新宋体" w:cs="新宋体"/>
                <w:b/>
                <w:color w:val="auto"/>
                <w:sz w:val="22"/>
                <w:szCs w:val="22"/>
                <w:highlight w:val="none"/>
              </w:rPr>
              <w:t>温州市第七人民医院打印机外包服务合同考核表</w:t>
            </w:r>
          </w:p>
        </w:tc>
      </w:tr>
      <w:tr w14:paraId="073CA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65" w:type="dxa"/>
            <w:vAlign w:val="center"/>
          </w:tcPr>
          <w:p w14:paraId="4F95C6EE">
            <w:pPr>
              <w:keepNext w:val="0"/>
              <w:keepLines w:val="0"/>
              <w:pageBreakBefore w:val="0"/>
              <w:widowControl/>
              <w:kinsoku/>
              <w:wordWrap/>
              <w:overflowPunct/>
              <w:topLinePunct w:val="0"/>
              <w:autoSpaceDE/>
              <w:autoSpaceDN/>
              <w:bidi w:val="0"/>
              <w:adjustRightInd/>
              <w:snapToGrid/>
              <w:spacing w:line="460" w:lineRule="exact"/>
              <w:jc w:val="center"/>
              <w:textAlignment w:val="auto"/>
              <w:outlineLvl w:val="9"/>
              <w:rPr>
                <w:rFonts w:ascii="新宋体" w:hAnsi="新宋体" w:eastAsia="新宋体" w:cs="新宋体"/>
                <w:b/>
                <w:bCs/>
                <w:color w:val="auto"/>
                <w:kern w:val="0"/>
                <w:sz w:val="22"/>
                <w:szCs w:val="22"/>
                <w:highlight w:val="none"/>
              </w:rPr>
            </w:pPr>
            <w:r>
              <w:rPr>
                <w:rFonts w:hint="eastAsia" w:ascii="新宋体" w:hAnsi="新宋体" w:eastAsia="新宋体" w:cs="新宋体"/>
                <w:b/>
                <w:bCs/>
                <w:color w:val="auto"/>
                <w:sz w:val="22"/>
                <w:szCs w:val="22"/>
                <w:highlight w:val="none"/>
              </w:rPr>
              <w:t>考核</w:t>
            </w:r>
            <w:r>
              <w:rPr>
                <w:rFonts w:hint="eastAsia" w:ascii="新宋体" w:hAnsi="新宋体" w:eastAsia="新宋体" w:cs="新宋体"/>
                <w:b/>
                <w:bCs/>
                <w:color w:val="auto"/>
                <w:kern w:val="0"/>
                <w:sz w:val="22"/>
                <w:szCs w:val="22"/>
                <w:highlight w:val="none"/>
              </w:rPr>
              <w:t>内容</w:t>
            </w:r>
          </w:p>
        </w:tc>
        <w:tc>
          <w:tcPr>
            <w:tcW w:w="4536" w:type="dxa"/>
            <w:vAlign w:val="center"/>
          </w:tcPr>
          <w:p w14:paraId="20B2C37C">
            <w:pPr>
              <w:keepNext w:val="0"/>
              <w:keepLines w:val="0"/>
              <w:pageBreakBefore w:val="0"/>
              <w:widowControl/>
              <w:kinsoku/>
              <w:wordWrap/>
              <w:overflowPunct/>
              <w:topLinePunct w:val="0"/>
              <w:autoSpaceDE/>
              <w:autoSpaceDN/>
              <w:bidi w:val="0"/>
              <w:adjustRightInd/>
              <w:snapToGrid/>
              <w:spacing w:line="460" w:lineRule="exact"/>
              <w:jc w:val="center"/>
              <w:textAlignment w:val="auto"/>
              <w:outlineLvl w:val="9"/>
              <w:rPr>
                <w:rFonts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评分细则</w:t>
            </w:r>
          </w:p>
        </w:tc>
      </w:tr>
      <w:tr w14:paraId="10FB6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14:paraId="6F529B42">
            <w:pPr>
              <w:keepNext w:val="0"/>
              <w:keepLines w:val="0"/>
              <w:pageBreakBefore w:val="0"/>
              <w:widowControl/>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及时响应驻点所在院区报修（响应时间≤30分钟）（20分）</w:t>
            </w:r>
          </w:p>
        </w:tc>
        <w:tc>
          <w:tcPr>
            <w:tcW w:w="4536" w:type="dxa"/>
            <w:vAlign w:val="center"/>
          </w:tcPr>
          <w:p w14:paraId="045E4B99">
            <w:pPr>
              <w:keepNext w:val="0"/>
              <w:keepLines w:val="0"/>
              <w:pageBreakBefore w:val="0"/>
              <w:widowControl/>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季度内，未在</w:t>
            </w:r>
            <w:r>
              <w:rPr>
                <w:rFonts w:ascii="新宋体" w:hAnsi="新宋体" w:eastAsia="新宋体" w:cs="新宋体"/>
                <w:color w:val="auto"/>
                <w:sz w:val="22"/>
                <w:szCs w:val="22"/>
                <w:highlight w:val="none"/>
              </w:rPr>
              <w:t>30</w:t>
            </w:r>
            <w:r>
              <w:rPr>
                <w:rFonts w:hint="eastAsia" w:ascii="新宋体" w:hAnsi="新宋体" w:eastAsia="新宋体" w:cs="新宋体"/>
                <w:color w:val="auto"/>
                <w:sz w:val="22"/>
                <w:szCs w:val="22"/>
                <w:highlight w:val="none"/>
              </w:rPr>
              <w:t>分钟内响应，扣分1分/次。</w:t>
            </w:r>
          </w:p>
        </w:tc>
      </w:tr>
      <w:tr w14:paraId="67AED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14:paraId="73075253">
            <w:pPr>
              <w:keepNext w:val="0"/>
              <w:keepLines w:val="0"/>
              <w:pageBreakBefore w:val="0"/>
              <w:widowControl/>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提供的耗材、配件与设备匹配，设备运行顺畅（</w:t>
            </w:r>
            <w:r>
              <w:rPr>
                <w:rFonts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rPr>
              <w:t>分）</w:t>
            </w:r>
          </w:p>
        </w:tc>
        <w:tc>
          <w:tcPr>
            <w:tcW w:w="4536" w:type="dxa"/>
            <w:vMerge w:val="restart"/>
            <w:vAlign w:val="center"/>
          </w:tcPr>
          <w:p w14:paraId="3239CE44">
            <w:pPr>
              <w:keepNext w:val="0"/>
              <w:keepLines w:val="0"/>
              <w:pageBreakBefore w:val="0"/>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一处不符合扣1分，一处严重不符合扣2分及以上。</w:t>
            </w:r>
          </w:p>
        </w:tc>
      </w:tr>
      <w:tr w14:paraId="385FF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14:paraId="5011FE00">
            <w:pPr>
              <w:keepNext w:val="0"/>
              <w:keepLines w:val="0"/>
              <w:pageBreakBefore w:val="0"/>
              <w:kinsoku/>
              <w:wordWrap/>
              <w:overflowPunct/>
              <w:topLinePunct w:val="0"/>
              <w:autoSpaceDE/>
              <w:autoSpaceDN/>
              <w:bidi w:val="0"/>
              <w:adjustRightInd/>
              <w:snapToGrid/>
              <w:spacing w:line="460" w:lineRule="exact"/>
              <w:textAlignment w:val="auto"/>
              <w:outlineLvl w:val="9"/>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运维人员准时出勤，不得无故迟到早退</w:t>
            </w:r>
            <w:r>
              <w:rPr>
                <w:rFonts w:hint="eastAsia" w:ascii="新宋体" w:hAnsi="新宋体" w:eastAsia="新宋体" w:cs="新宋体"/>
                <w:color w:val="auto"/>
                <w:sz w:val="22"/>
                <w:szCs w:val="22"/>
                <w:highlight w:val="none"/>
              </w:rPr>
              <w:t>（</w:t>
            </w:r>
            <w:r>
              <w:rPr>
                <w:rFonts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rPr>
              <w:t>分）</w:t>
            </w:r>
          </w:p>
        </w:tc>
        <w:tc>
          <w:tcPr>
            <w:tcW w:w="4536" w:type="dxa"/>
            <w:vMerge w:val="continue"/>
            <w:vAlign w:val="center"/>
          </w:tcPr>
          <w:p w14:paraId="38001BDA">
            <w:pPr>
              <w:keepNext w:val="0"/>
              <w:keepLines w:val="0"/>
              <w:pageBreakBefore w:val="0"/>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sz w:val="22"/>
                <w:szCs w:val="22"/>
                <w:highlight w:val="none"/>
              </w:rPr>
            </w:pPr>
          </w:p>
        </w:tc>
      </w:tr>
      <w:tr w14:paraId="41C91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14:paraId="603F03B1">
            <w:pPr>
              <w:keepNext w:val="0"/>
              <w:keepLines w:val="0"/>
              <w:pageBreakBefore w:val="0"/>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运维人员按时完成巡检任务，并有巡检签字单（</w:t>
            </w:r>
            <w:r>
              <w:rPr>
                <w:rFonts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rPr>
              <w:t>分）</w:t>
            </w:r>
          </w:p>
        </w:tc>
        <w:tc>
          <w:tcPr>
            <w:tcW w:w="4536" w:type="dxa"/>
            <w:vMerge w:val="continue"/>
            <w:vAlign w:val="center"/>
          </w:tcPr>
          <w:p w14:paraId="6EE2D8D2">
            <w:pPr>
              <w:keepNext w:val="0"/>
              <w:keepLines w:val="0"/>
              <w:pageBreakBefore w:val="0"/>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sz w:val="22"/>
                <w:szCs w:val="22"/>
                <w:highlight w:val="none"/>
              </w:rPr>
            </w:pPr>
          </w:p>
        </w:tc>
      </w:tr>
      <w:tr w14:paraId="140C2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14:paraId="77CA07E4">
            <w:pPr>
              <w:keepNext w:val="0"/>
              <w:keepLines w:val="0"/>
              <w:pageBreakBefore w:val="0"/>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运维人员仪态自然，着装整洁，待人和谐，文明礼貌</w:t>
            </w:r>
          </w:p>
          <w:p w14:paraId="44E68F68">
            <w:pPr>
              <w:keepNext w:val="0"/>
              <w:keepLines w:val="0"/>
              <w:pageBreakBefore w:val="0"/>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rPr>
              <w:t>分）</w:t>
            </w:r>
          </w:p>
        </w:tc>
        <w:tc>
          <w:tcPr>
            <w:tcW w:w="4536" w:type="dxa"/>
            <w:vMerge w:val="continue"/>
            <w:vAlign w:val="center"/>
          </w:tcPr>
          <w:p w14:paraId="0B91EDE9">
            <w:pPr>
              <w:keepNext w:val="0"/>
              <w:keepLines w:val="0"/>
              <w:pageBreakBefore w:val="0"/>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sz w:val="22"/>
                <w:szCs w:val="22"/>
                <w:highlight w:val="none"/>
              </w:rPr>
            </w:pPr>
          </w:p>
        </w:tc>
      </w:tr>
      <w:tr w14:paraId="54D01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14:paraId="53D77572">
            <w:pPr>
              <w:keepNext w:val="0"/>
              <w:keepLines w:val="0"/>
              <w:pageBreakBefore w:val="0"/>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运维人员不以任何理由与</w:t>
            </w:r>
            <w:r>
              <w:rPr>
                <w:rFonts w:hint="eastAsia" w:ascii="新宋体" w:hAnsi="新宋体" w:eastAsia="新宋体" w:cs="新宋体"/>
                <w:color w:val="auto"/>
                <w:sz w:val="22"/>
                <w:szCs w:val="22"/>
                <w:highlight w:val="none"/>
              </w:rPr>
              <w:t>职工、患者及其家属</w:t>
            </w:r>
            <w:r>
              <w:rPr>
                <w:rFonts w:hint="eastAsia" w:ascii="新宋体" w:hAnsi="新宋体" w:eastAsia="新宋体" w:cs="新宋体"/>
                <w:color w:val="auto"/>
                <w:kern w:val="0"/>
                <w:sz w:val="22"/>
                <w:szCs w:val="22"/>
                <w:highlight w:val="none"/>
              </w:rPr>
              <w:t>发生争吵、打架</w:t>
            </w:r>
            <w:r>
              <w:rPr>
                <w:rFonts w:hint="eastAsia" w:ascii="新宋体" w:hAnsi="新宋体" w:eastAsia="新宋体" w:cs="新宋体"/>
                <w:color w:val="auto"/>
                <w:sz w:val="22"/>
                <w:szCs w:val="22"/>
                <w:highlight w:val="none"/>
              </w:rPr>
              <w:t>（</w:t>
            </w:r>
            <w:r>
              <w:rPr>
                <w:rFonts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rPr>
              <w:t>分）</w:t>
            </w:r>
          </w:p>
        </w:tc>
        <w:tc>
          <w:tcPr>
            <w:tcW w:w="4536" w:type="dxa"/>
            <w:vMerge w:val="continue"/>
            <w:vAlign w:val="center"/>
          </w:tcPr>
          <w:p w14:paraId="656B1B9C">
            <w:pPr>
              <w:keepNext w:val="0"/>
              <w:keepLines w:val="0"/>
              <w:pageBreakBefore w:val="0"/>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sz w:val="22"/>
                <w:szCs w:val="22"/>
                <w:highlight w:val="none"/>
              </w:rPr>
            </w:pPr>
          </w:p>
        </w:tc>
      </w:tr>
      <w:tr w14:paraId="5F6F4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14:paraId="6BCB62C3">
            <w:pPr>
              <w:keepNext w:val="0"/>
              <w:keepLines w:val="0"/>
              <w:pageBreakBefore w:val="0"/>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运维人员能及时有效地与采购人方的联系人交流工作，不得隐瞒重要故障和信息（</w:t>
            </w:r>
            <w:r>
              <w:rPr>
                <w:rFonts w:ascii="新宋体" w:hAnsi="新宋体" w:eastAsia="新宋体" w:cs="新宋体"/>
                <w:color w:val="auto"/>
                <w:sz w:val="22"/>
                <w:szCs w:val="22"/>
                <w:highlight w:val="none"/>
              </w:rPr>
              <w:t>5</w:t>
            </w:r>
            <w:r>
              <w:rPr>
                <w:rFonts w:hint="eastAsia" w:ascii="新宋体" w:hAnsi="新宋体" w:eastAsia="新宋体" w:cs="新宋体"/>
                <w:color w:val="auto"/>
                <w:sz w:val="22"/>
                <w:szCs w:val="22"/>
                <w:highlight w:val="none"/>
              </w:rPr>
              <w:t>分）</w:t>
            </w:r>
          </w:p>
        </w:tc>
        <w:tc>
          <w:tcPr>
            <w:tcW w:w="4536" w:type="dxa"/>
            <w:vMerge w:val="continue"/>
            <w:vAlign w:val="center"/>
          </w:tcPr>
          <w:p w14:paraId="65F0204E">
            <w:pPr>
              <w:keepNext w:val="0"/>
              <w:keepLines w:val="0"/>
              <w:pageBreakBefore w:val="0"/>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sz w:val="22"/>
                <w:szCs w:val="22"/>
                <w:highlight w:val="none"/>
              </w:rPr>
            </w:pPr>
          </w:p>
        </w:tc>
      </w:tr>
      <w:tr w14:paraId="347D6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14:paraId="4611A8F9">
            <w:pPr>
              <w:keepNext w:val="0"/>
              <w:keepLines w:val="0"/>
              <w:pageBreakBefore w:val="0"/>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运维人员积极参与采购人方组织的业务培训（</w:t>
            </w:r>
            <w:r>
              <w:rPr>
                <w:rFonts w:ascii="新宋体" w:hAnsi="新宋体" w:eastAsia="新宋体" w:cs="新宋体"/>
                <w:color w:val="auto"/>
                <w:sz w:val="22"/>
                <w:szCs w:val="22"/>
                <w:highlight w:val="none"/>
              </w:rPr>
              <w:t>5</w:t>
            </w:r>
            <w:r>
              <w:rPr>
                <w:rFonts w:hint="eastAsia" w:ascii="新宋体" w:hAnsi="新宋体" w:eastAsia="新宋体" w:cs="新宋体"/>
                <w:color w:val="auto"/>
                <w:sz w:val="22"/>
                <w:szCs w:val="22"/>
                <w:highlight w:val="none"/>
              </w:rPr>
              <w:t>分）</w:t>
            </w:r>
          </w:p>
        </w:tc>
        <w:tc>
          <w:tcPr>
            <w:tcW w:w="4536" w:type="dxa"/>
            <w:vMerge w:val="continue"/>
            <w:vAlign w:val="center"/>
          </w:tcPr>
          <w:p w14:paraId="601017EB">
            <w:pPr>
              <w:keepNext w:val="0"/>
              <w:keepLines w:val="0"/>
              <w:pageBreakBefore w:val="0"/>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sz w:val="22"/>
                <w:szCs w:val="22"/>
                <w:highlight w:val="none"/>
              </w:rPr>
            </w:pPr>
          </w:p>
        </w:tc>
      </w:tr>
      <w:tr w14:paraId="3F74C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5665" w:type="dxa"/>
            <w:vAlign w:val="center"/>
          </w:tcPr>
          <w:p w14:paraId="03C91955">
            <w:pPr>
              <w:keepNext w:val="0"/>
              <w:keepLines w:val="0"/>
              <w:pageBreakBefore w:val="0"/>
              <w:widowControl/>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工作态度、工作质量方面的投诉（</w:t>
            </w:r>
            <w:r>
              <w:rPr>
                <w:rFonts w:ascii="新宋体" w:hAnsi="新宋体" w:eastAsia="新宋体" w:cs="新宋体"/>
                <w:color w:val="auto"/>
                <w:sz w:val="22"/>
                <w:szCs w:val="22"/>
                <w:highlight w:val="none"/>
              </w:rPr>
              <w:t>12</w:t>
            </w:r>
            <w:r>
              <w:rPr>
                <w:rFonts w:hint="eastAsia" w:ascii="新宋体" w:hAnsi="新宋体" w:eastAsia="新宋体" w:cs="新宋体"/>
                <w:color w:val="auto"/>
                <w:sz w:val="22"/>
                <w:szCs w:val="22"/>
                <w:highlight w:val="none"/>
              </w:rPr>
              <w:t>分）</w:t>
            </w:r>
          </w:p>
        </w:tc>
        <w:tc>
          <w:tcPr>
            <w:tcW w:w="4536" w:type="dxa"/>
            <w:vAlign w:val="center"/>
          </w:tcPr>
          <w:p w14:paraId="04401BF7">
            <w:pPr>
              <w:keepNext w:val="0"/>
              <w:keepLines w:val="0"/>
              <w:pageBreakBefore w:val="0"/>
              <w:widowControl/>
              <w:kinsoku/>
              <w:wordWrap/>
              <w:overflowPunct/>
              <w:topLinePunct w:val="0"/>
              <w:autoSpaceDE/>
              <w:autoSpaceDN/>
              <w:bidi w:val="0"/>
              <w:adjustRightInd/>
              <w:snapToGrid/>
              <w:spacing w:line="460" w:lineRule="exact"/>
              <w:jc w:val="left"/>
              <w:textAlignment w:val="auto"/>
              <w:outlineLvl w:val="9"/>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性质一般的，扣分1</w:t>
            </w:r>
            <w:r>
              <w:rPr>
                <w:rFonts w:hint="eastAsia" w:ascii="新宋体" w:hAnsi="新宋体" w:eastAsia="新宋体" w:cs="新宋体"/>
                <w:color w:val="auto"/>
                <w:kern w:val="0"/>
                <w:sz w:val="22"/>
                <w:szCs w:val="22"/>
                <w:highlight w:val="none"/>
              </w:rPr>
              <w:t>分</w:t>
            </w:r>
            <w:r>
              <w:rPr>
                <w:rFonts w:hint="eastAsia" w:ascii="新宋体" w:hAnsi="新宋体" w:eastAsia="新宋体" w:cs="新宋体"/>
                <w:color w:val="auto"/>
                <w:sz w:val="22"/>
                <w:szCs w:val="22"/>
                <w:highlight w:val="none"/>
              </w:rPr>
              <w:t>/起</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季度内</w:t>
            </w:r>
            <w:r>
              <w:rPr>
                <w:rFonts w:hint="eastAsia" w:ascii="新宋体" w:hAnsi="新宋体" w:eastAsia="新宋体" w:cs="新宋体"/>
                <w:color w:val="auto"/>
                <w:kern w:val="0"/>
                <w:sz w:val="22"/>
                <w:szCs w:val="22"/>
                <w:highlight w:val="none"/>
              </w:rPr>
              <w:t>超过</w:t>
            </w: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kern w:val="0"/>
                <w:sz w:val="22"/>
                <w:szCs w:val="22"/>
                <w:highlight w:val="none"/>
              </w:rPr>
              <w:t>起，每起扣</w:t>
            </w: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kern w:val="0"/>
                <w:sz w:val="22"/>
                <w:szCs w:val="22"/>
                <w:highlight w:val="none"/>
              </w:rPr>
              <w:t>分；</w:t>
            </w:r>
          </w:p>
          <w:p w14:paraId="66DCC0DD">
            <w:pPr>
              <w:keepNext w:val="0"/>
              <w:keepLines w:val="0"/>
              <w:pageBreakBefore w:val="0"/>
              <w:widowControl/>
              <w:kinsoku/>
              <w:wordWrap/>
              <w:overflowPunct/>
              <w:topLinePunct w:val="0"/>
              <w:autoSpaceDE/>
              <w:autoSpaceDN/>
              <w:bidi w:val="0"/>
              <w:adjustRightInd/>
              <w:snapToGrid/>
              <w:spacing w:line="460" w:lineRule="exact"/>
              <w:jc w:val="left"/>
              <w:textAlignment w:val="auto"/>
              <w:outlineLvl w:val="9"/>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性质恶劣且影响差的，扣分</w:t>
            </w:r>
            <w:r>
              <w:rPr>
                <w:rFonts w:hint="eastAsia" w:ascii="新宋体" w:hAnsi="新宋体" w:eastAsia="新宋体" w:cs="新宋体"/>
                <w:color w:val="auto"/>
                <w:kern w:val="0"/>
                <w:sz w:val="22"/>
                <w:szCs w:val="22"/>
                <w:highlight w:val="none"/>
              </w:rPr>
              <w:t>3分</w:t>
            </w:r>
            <w:r>
              <w:rPr>
                <w:rFonts w:hint="eastAsia" w:ascii="新宋体" w:hAnsi="新宋体" w:eastAsia="新宋体" w:cs="新宋体"/>
                <w:color w:val="auto"/>
                <w:sz w:val="22"/>
                <w:szCs w:val="22"/>
                <w:highlight w:val="none"/>
              </w:rPr>
              <w:t>/起</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季度内</w:t>
            </w:r>
            <w:r>
              <w:rPr>
                <w:rFonts w:hint="eastAsia" w:ascii="新宋体" w:hAnsi="新宋体" w:eastAsia="新宋体" w:cs="新宋体"/>
                <w:color w:val="auto"/>
                <w:kern w:val="0"/>
                <w:sz w:val="22"/>
                <w:szCs w:val="22"/>
                <w:highlight w:val="none"/>
              </w:rPr>
              <w:t>超过</w:t>
            </w: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kern w:val="0"/>
                <w:sz w:val="22"/>
                <w:szCs w:val="22"/>
                <w:highlight w:val="none"/>
              </w:rPr>
              <w:t>起的,每起扣</w:t>
            </w:r>
            <w:r>
              <w:rPr>
                <w:rFonts w:ascii="新宋体" w:hAnsi="新宋体" w:eastAsia="新宋体" w:cs="新宋体"/>
                <w:color w:val="auto"/>
                <w:kern w:val="0"/>
                <w:sz w:val="22"/>
                <w:szCs w:val="22"/>
                <w:highlight w:val="none"/>
              </w:rPr>
              <w:t>3</w:t>
            </w:r>
            <w:r>
              <w:rPr>
                <w:rFonts w:hint="eastAsia" w:ascii="新宋体" w:hAnsi="新宋体" w:eastAsia="新宋体" w:cs="新宋体"/>
                <w:color w:val="auto"/>
                <w:kern w:val="0"/>
                <w:sz w:val="22"/>
                <w:szCs w:val="22"/>
                <w:highlight w:val="none"/>
              </w:rPr>
              <w:t>分</w:t>
            </w:r>
            <w:r>
              <w:rPr>
                <w:rFonts w:hint="eastAsia" w:ascii="新宋体" w:hAnsi="新宋体" w:eastAsia="新宋体" w:cs="新宋体"/>
                <w:color w:val="auto"/>
                <w:sz w:val="22"/>
                <w:szCs w:val="22"/>
                <w:highlight w:val="none"/>
              </w:rPr>
              <w:t>。</w:t>
            </w:r>
          </w:p>
        </w:tc>
      </w:tr>
      <w:tr w14:paraId="6B61F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14:paraId="09A16D4A">
            <w:pPr>
              <w:keepNext w:val="0"/>
              <w:keepLines w:val="0"/>
              <w:pageBreakBefore w:val="0"/>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触犯</w:t>
            </w:r>
            <w:r>
              <w:rPr>
                <w:rFonts w:hint="eastAsia" w:ascii="新宋体" w:hAnsi="新宋体" w:eastAsia="新宋体" w:cs="新宋体"/>
                <w:color w:val="auto"/>
                <w:kern w:val="0"/>
                <w:sz w:val="22"/>
                <w:szCs w:val="22"/>
                <w:highlight w:val="none"/>
              </w:rPr>
              <w:t>法律法规</w:t>
            </w:r>
            <w:r>
              <w:rPr>
                <w:rFonts w:hint="eastAsia" w:ascii="新宋体" w:hAnsi="新宋体" w:eastAsia="新宋体" w:cs="新宋体"/>
                <w:color w:val="auto"/>
                <w:sz w:val="22"/>
                <w:szCs w:val="22"/>
                <w:highlight w:val="none"/>
              </w:rPr>
              <w:t>或违反采购人内部</w:t>
            </w:r>
            <w:r>
              <w:rPr>
                <w:rFonts w:hint="eastAsia" w:ascii="新宋体" w:hAnsi="新宋体" w:eastAsia="新宋体" w:cs="新宋体"/>
                <w:color w:val="auto"/>
                <w:kern w:val="0"/>
                <w:sz w:val="22"/>
                <w:szCs w:val="22"/>
                <w:highlight w:val="none"/>
              </w:rPr>
              <w:t>制度</w:t>
            </w:r>
            <w:r>
              <w:rPr>
                <w:rFonts w:hint="eastAsia" w:ascii="新宋体" w:hAnsi="新宋体" w:eastAsia="新宋体" w:cs="新宋体"/>
                <w:color w:val="auto"/>
                <w:sz w:val="22"/>
                <w:szCs w:val="22"/>
                <w:highlight w:val="none"/>
              </w:rPr>
              <w:t>方面</w:t>
            </w:r>
            <w:r>
              <w:rPr>
                <w:rFonts w:hint="eastAsia" w:ascii="新宋体" w:hAnsi="新宋体" w:eastAsia="新宋体" w:cs="新宋体"/>
                <w:color w:val="auto"/>
                <w:kern w:val="0"/>
                <w:sz w:val="22"/>
                <w:szCs w:val="22"/>
                <w:highlight w:val="none"/>
              </w:rPr>
              <w:t>的投诉（</w:t>
            </w:r>
            <w:r>
              <w:rPr>
                <w:rFonts w:ascii="新宋体" w:hAnsi="新宋体" w:eastAsia="新宋体" w:cs="新宋体"/>
                <w:color w:val="auto"/>
                <w:kern w:val="0"/>
                <w:sz w:val="22"/>
                <w:szCs w:val="22"/>
                <w:highlight w:val="none"/>
              </w:rPr>
              <w:t>8</w:t>
            </w:r>
            <w:r>
              <w:rPr>
                <w:rFonts w:hint="eastAsia" w:ascii="新宋体" w:hAnsi="新宋体" w:eastAsia="新宋体" w:cs="新宋体"/>
                <w:color w:val="auto"/>
                <w:kern w:val="0"/>
                <w:sz w:val="22"/>
                <w:szCs w:val="22"/>
                <w:highlight w:val="none"/>
              </w:rPr>
              <w:t>分）</w:t>
            </w:r>
          </w:p>
        </w:tc>
        <w:tc>
          <w:tcPr>
            <w:tcW w:w="4536" w:type="dxa"/>
            <w:vAlign w:val="center"/>
          </w:tcPr>
          <w:p w14:paraId="4B857C69">
            <w:pPr>
              <w:keepNext w:val="0"/>
              <w:keepLines w:val="0"/>
              <w:pageBreakBefore w:val="0"/>
              <w:widowControl/>
              <w:kinsoku/>
              <w:wordWrap/>
              <w:overflowPunct/>
              <w:topLinePunct w:val="0"/>
              <w:autoSpaceDE/>
              <w:autoSpaceDN/>
              <w:bidi w:val="0"/>
              <w:adjustRightInd/>
              <w:snapToGrid/>
              <w:spacing w:line="460" w:lineRule="exact"/>
              <w:jc w:val="left"/>
              <w:textAlignment w:val="auto"/>
              <w:outlineLvl w:val="9"/>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性质一般的，</w:t>
            </w:r>
            <w:r>
              <w:rPr>
                <w:rFonts w:hint="eastAsia" w:ascii="新宋体" w:hAnsi="新宋体" w:eastAsia="新宋体" w:cs="新宋体"/>
                <w:color w:val="auto"/>
                <w:sz w:val="22"/>
                <w:szCs w:val="22"/>
                <w:highlight w:val="none"/>
              </w:rPr>
              <w:t>扣分3</w:t>
            </w:r>
            <w:r>
              <w:rPr>
                <w:rFonts w:hint="eastAsia" w:ascii="新宋体" w:hAnsi="新宋体" w:eastAsia="新宋体" w:cs="新宋体"/>
                <w:color w:val="auto"/>
                <w:kern w:val="0"/>
                <w:sz w:val="22"/>
                <w:szCs w:val="22"/>
                <w:highlight w:val="none"/>
              </w:rPr>
              <w:t>分</w:t>
            </w:r>
            <w:r>
              <w:rPr>
                <w:rFonts w:hint="eastAsia" w:ascii="新宋体" w:hAnsi="新宋体" w:eastAsia="新宋体" w:cs="新宋体"/>
                <w:color w:val="auto"/>
                <w:sz w:val="22"/>
                <w:szCs w:val="22"/>
                <w:highlight w:val="none"/>
              </w:rPr>
              <w:t>/起；</w:t>
            </w:r>
          </w:p>
          <w:p w14:paraId="0AA368EA">
            <w:pPr>
              <w:keepNext w:val="0"/>
              <w:keepLines w:val="0"/>
              <w:pageBreakBefore w:val="0"/>
              <w:widowControl/>
              <w:kinsoku/>
              <w:wordWrap/>
              <w:overflowPunct/>
              <w:topLinePunct w:val="0"/>
              <w:autoSpaceDE/>
              <w:autoSpaceDN/>
              <w:bidi w:val="0"/>
              <w:adjustRightInd/>
              <w:snapToGrid/>
              <w:spacing w:line="460" w:lineRule="exact"/>
              <w:jc w:val="left"/>
              <w:textAlignment w:val="auto"/>
              <w:outlineLvl w:val="9"/>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性质恶劣且影响极坏的，</w:t>
            </w:r>
            <w:r>
              <w:rPr>
                <w:rFonts w:hint="eastAsia" w:ascii="新宋体" w:hAnsi="新宋体" w:eastAsia="新宋体" w:cs="新宋体"/>
                <w:color w:val="auto"/>
                <w:sz w:val="22"/>
                <w:szCs w:val="22"/>
                <w:highlight w:val="none"/>
              </w:rPr>
              <w:t>扣分5</w:t>
            </w:r>
            <w:r>
              <w:rPr>
                <w:rFonts w:hint="eastAsia" w:ascii="新宋体" w:hAnsi="新宋体" w:eastAsia="新宋体" w:cs="新宋体"/>
                <w:color w:val="auto"/>
                <w:kern w:val="0"/>
                <w:sz w:val="22"/>
                <w:szCs w:val="22"/>
                <w:highlight w:val="none"/>
              </w:rPr>
              <w:t>分</w:t>
            </w:r>
            <w:r>
              <w:rPr>
                <w:rFonts w:hint="eastAsia" w:ascii="新宋体" w:hAnsi="新宋体" w:eastAsia="新宋体" w:cs="新宋体"/>
                <w:color w:val="auto"/>
                <w:sz w:val="22"/>
                <w:szCs w:val="22"/>
                <w:highlight w:val="none"/>
              </w:rPr>
              <w:t>/起及以上，或者更换人员。</w:t>
            </w:r>
          </w:p>
        </w:tc>
      </w:tr>
    </w:tbl>
    <w:p w14:paraId="6ADC4161">
      <w:pPr>
        <w:keepNext w:val="0"/>
        <w:keepLines w:val="0"/>
        <w:pageBreakBefore w:val="0"/>
        <w:numPr>
          <w:ilvl w:val="0"/>
          <w:numId w:val="2"/>
        </w:numPr>
        <w:kinsoku/>
        <w:wordWrap/>
        <w:overflowPunct/>
        <w:topLinePunct w:val="0"/>
        <w:autoSpaceDE/>
        <w:autoSpaceDN/>
        <w:bidi w:val="0"/>
        <w:snapToGrid/>
        <w:spacing w:line="460" w:lineRule="exact"/>
        <w:ind w:left="0" w:leftChars="0"/>
        <w:outlineLvl w:val="9"/>
        <w:rPr>
          <w:rFonts w:hint="eastAsia" w:ascii="新宋体" w:hAnsi="新宋体" w:eastAsia="新宋体" w:cs="新宋体"/>
          <w:b/>
          <w:bCs/>
          <w:color w:val="auto"/>
          <w:sz w:val="22"/>
          <w:szCs w:val="22"/>
          <w:highlight w:val="none"/>
        </w:rPr>
      </w:pPr>
      <w:bookmarkStart w:id="58" w:name="_Toc8252"/>
      <w:r>
        <w:rPr>
          <w:rFonts w:hint="eastAsia" w:ascii="新宋体" w:hAnsi="新宋体" w:eastAsia="新宋体" w:cs="新宋体"/>
          <w:b/>
          <w:bCs/>
          <w:color w:val="auto"/>
          <w:sz w:val="22"/>
          <w:szCs w:val="22"/>
          <w:highlight w:val="none"/>
        </w:rPr>
        <w:t>合同生效及其他</w:t>
      </w:r>
      <w:bookmarkEnd w:id="58"/>
      <w:bookmarkStart w:id="59" w:name="_Toc84779283"/>
    </w:p>
    <w:p w14:paraId="30724873">
      <w:pPr>
        <w:keepNext w:val="0"/>
        <w:keepLines w:val="0"/>
        <w:pageBreakBefore w:val="0"/>
        <w:numPr>
          <w:ilvl w:val="0"/>
          <w:numId w:val="8"/>
        </w:numPr>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合同应在双方签字盖章后开始生效。</w:t>
      </w:r>
      <w:bookmarkEnd w:id="59"/>
    </w:p>
    <w:p w14:paraId="7932366D">
      <w:pPr>
        <w:keepNext w:val="0"/>
        <w:keepLines w:val="0"/>
        <w:pageBreakBefore w:val="0"/>
        <w:numPr>
          <w:ilvl w:val="0"/>
          <w:numId w:val="8"/>
        </w:numPr>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本合同一式五份，双方各执两份，一份送招标代理公司备案，同等有效。</w:t>
      </w:r>
    </w:p>
    <w:p w14:paraId="77CD4DE2">
      <w:pPr>
        <w:keepNext w:val="0"/>
        <w:keepLines w:val="0"/>
        <w:pageBreakBefore w:val="0"/>
        <w:numPr>
          <w:ilvl w:val="0"/>
          <w:numId w:val="8"/>
        </w:numPr>
        <w:kinsoku/>
        <w:wordWrap/>
        <w:overflowPunct/>
        <w:topLinePunct w:val="0"/>
        <w:autoSpaceDE/>
        <w:autoSpaceDN/>
        <w:bidi w:val="0"/>
        <w:snapToGrid/>
        <w:spacing w:line="460" w:lineRule="exact"/>
        <w:ind w:left="0" w:leftChars="0" w:firstLine="440" w:firstLineChars="200"/>
        <w:outlineLvl w:val="9"/>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未尽事宜，双方友好协商。</w:t>
      </w:r>
    </w:p>
    <w:p w14:paraId="41DC6E9C">
      <w:pPr>
        <w:keepNext w:val="0"/>
        <w:keepLines w:val="0"/>
        <w:pageBreakBefore w:val="0"/>
        <w:widowControl w:val="0"/>
        <w:tabs>
          <w:tab w:val="left" w:pos="360"/>
        </w:tabs>
        <w:kinsoku/>
        <w:wordWrap/>
        <w:overflowPunct/>
        <w:topLinePunct w:val="0"/>
        <w:autoSpaceDE/>
        <w:autoSpaceDN/>
        <w:bidi w:val="0"/>
        <w:adjustRightInd/>
        <w:snapToGrid/>
        <w:spacing w:line="460" w:lineRule="exact"/>
        <w:ind w:left="0" w:leftChars="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甲方：（印章）                      </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t>乙方：（印章）</w:t>
      </w:r>
    </w:p>
    <w:p w14:paraId="74BEF6E5">
      <w:pPr>
        <w:keepNext w:val="0"/>
        <w:keepLines w:val="0"/>
        <w:pageBreakBefore w:val="0"/>
        <w:widowControl w:val="0"/>
        <w:tabs>
          <w:tab w:val="left" w:pos="360"/>
        </w:tabs>
        <w:kinsoku/>
        <w:wordWrap/>
        <w:overflowPunct/>
        <w:topLinePunct w:val="0"/>
        <w:autoSpaceDE/>
        <w:autoSpaceDN/>
        <w:bidi w:val="0"/>
        <w:adjustRightInd/>
        <w:snapToGrid/>
        <w:spacing w:line="460" w:lineRule="exact"/>
        <w:ind w:left="0" w:leftChars="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全权代表</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 xml:space="preserve">（签字）                    </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t>全权代表</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（签字）</w:t>
      </w:r>
    </w:p>
    <w:p w14:paraId="69C2C61E">
      <w:pPr>
        <w:keepNext w:val="0"/>
        <w:keepLines w:val="0"/>
        <w:pageBreakBefore w:val="0"/>
        <w:widowControl w:val="0"/>
        <w:tabs>
          <w:tab w:val="left" w:pos="360"/>
        </w:tabs>
        <w:kinsoku/>
        <w:wordWrap/>
        <w:overflowPunct/>
        <w:topLinePunct w:val="0"/>
        <w:autoSpaceDE/>
        <w:autoSpaceDN/>
        <w:bidi w:val="0"/>
        <w:adjustRightInd/>
        <w:snapToGrid/>
        <w:spacing w:line="460" w:lineRule="exact"/>
        <w:ind w:left="0" w:leftChars="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地址：                               地址：</w:t>
      </w:r>
    </w:p>
    <w:p w14:paraId="4694039B">
      <w:pPr>
        <w:keepNext w:val="0"/>
        <w:keepLines w:val="0"/>
        <w:pageBreakBefore w:val="0"/>
        <w:widowControl w:val="0"/>
        <w:tabs>
          <w:tab w:val="left" w:pos="360"/>
        </w:tabs>
        <w:kinsoku/>
        <w:wordWrap/>
        <w:overflowPunct/>
        <w:topLinePunct w:val="0"/>
        <w:autoSpaceDE/>
        <w:autoSpaceDN/>
        <w:bidi w:val="0"/>
        <w:adjustRightInd/>
        <w:snapToGrid/>
        <w:spacing w:line="460" w:lineRule="exact"/>
        <w:ind w:left="0" w:leftChars="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邮政编码：                           邮政编码：</w:t>
      </w:r>
    </w:p>
    <w:p w14:paraId="32E49CC8">
      <w:pPr>
        <w:keepNext w:val="0"/>
        <w:keepLines w:val="0"/>
        <w:pageBreakBefore w:val="0"/>
        <w:widowControl w:val="0"/>
        <w:tabs>
          <w:tab w:val="left" w:pos="360"/>
        </w:tabs>
        <w:kinsoku/>
        <w:wordWrap/>
        <w:overflowPunct/>
        <w:topLinePunct w:val="0"/>
        <w:autoSpaceDE/>
        <w:autoSpaceDN/>
        <w:bidi w:val="0"/>
        <w:adjustRightInd/>
        <w:snapToGrid/>
        <w:spacing w:line="460" w:lineRule="exact"/>
        <w:ind w:left="0" w:leftChars="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电话：                               电话：</w:t>
      </w:r>
    </w:p>
    <w:p w14:paraId="7C981C3A">
      <w:pPr>
        <w:keepNext w:val="0"/>
        <w:keepLines w:val="0"/>
        <w:pageBreakBefore w:val="0"/>
        <w:widowControl w:val="0"/>
        <w:tabs>
          <w:tab w:val="left" w:pos="360"/>
        </w:tabs>
        <w:kinsoku/>
        <w:wordWrap/>
        <w:overflowPunct/>
        <w:topLinePunct w:val="0"/>
        <w:autoSpaceDE/>
        <w:autoSpaceDN/>
        <w:bidi w:val="0"/>
        <w:adjustRightInd/>
        <w:snapToGrid/>
        <w:spacing w:line="460" w:lineRule="exact"/>
        <w:ind w:left="0" w:leftChars="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传真：                               传真：</w:t>
      </w:r>
    </w:p>
    <w:p w14:paraId="14F0B4A6">
      <w:pPr>
        <w:keepNext w:val="0"/>
        <w:keepLines w:val="0"/>
        <w:pageBreakBefore w:val="0"/>
        <w:widowControl w:val="0"/>
        <w:tabs>
          <w:tab w:val="left" w:pos="360"/>
        </w:tabs>
        <w:kinsoku/>
        <w:wordWrap/>
        <w:overflowPunct/>
        <w:topLinePunct w:val="0"/>
        <w:autoSpaceDE/>
        <w:autoSpaceDN/>
        <w:bidi w:val="0"/>
        <w:adjustRightInd/>
        <w:snapToGrid/>
        <w:spacing w:line="460" w:lineRule="exact"/>
        <w:ind w:left="0" w:leftChars="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开户银行：                           开户银行：</w:t>
      </w:r>
    </w:p>
    <w:p w14:paraId="5203AC76">
      <w:pPr>
        <w:keepNext w:val="0"/>
        <w:keepLines w:val="0"/>
        <w:pageBreakBefore w:val="0"/>
        <w:widowControl w:val="0"/>
        <w:tabs>
          <w:tab w:val="left" w:pos="360"/>
        </w:tabs>
        <w:kinsoku/>
        <w:wordWrap/>
        <w:overflowPunct/>
        <w:topLinePunct w:val="0"/>
        <w:autoSpaceDE/>
        <w:autoSpaceDN/>
        <w:bidi w:val="0"/>
        <w:adjustRightInd/>
        <w:snapToGrid/>
        <w:spacing w:line="460" w:lineRule="exact"/>
        <w:ind w:left="0" w:leftChars="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帐号：                               帐号：</w:t>
      </w:r>
    </w:p>
    <w:p w14:paraId="04734622">
      <w:pPr>
        <w:keepNext w:val="0"/>
        <w:keepLines w:val="0"/>
        <w:pageBreakBefore w:val="0"/>
        <w:widowControl w:val="0"/>
        <w:kinsoku/>
        <w:wordWrap/>
        <w:overflowPunct/>
        <w:topLinePunct w:val="0"/>
        <w:autoSpaceDE/>
        <w:autoSpaceDN/>
        <w:bidi w:val="0"/>
        <w:adjustRightInd/>
        <w:snapToGrid/>
        <w:spacing w:line="460" w:lineRule="exact"/>
        <w:ind w:left="0" w:leftChars="0" w:firstLine="440" w:firstLineChars="200"/>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时间</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 xml:space="preserve">                               时间</w:t>
      </w:r>
      <w:r>
        <w:rPr>
          <w:rFonts w:hint="eastAsia" w:ascii="新宋体" w:hAnsi="新宋体" w:eastAsia="新宋体" w:cs="新宋体"/>
          <w:color w:val="auto"/>
          <w:sz w:val="22"/>
          <w:szCs w:val="22"/>
          <w:highlight w:val="none"/>
          <w:lang w:eastAsia="zh-CN"/>
        </w:rPr>
        <w:t>：</w:t>
      </w:r>
    </w:p>
    <w:p w14:paraId="56859A43">
      <w:pPr>
        <w:pStyle w:val="31"/>
        <w:snapToGrid w:val="0"/>
        <w:spacing w:line="460" w:lineRule="exact"/>
        <w:jc w:val="both"/>
        <w:rPr>
          <w:rFonts w:hint="eastAsia" w:ascii="新宋体" w:hAnsi="新宋体" w:eastAsia="新宋体" w:cs="新宋体"/>
          <w:color w:val="auto"/>
          <w:sz w:val="28"/>
          <w:szCs w:val="28"/>
          <w:highlight w:val="none"/>
        </w:rPr>
      </w:pPr>
      <w:r>
        <w:rPr>
          <w:rFonts w:hint="eastAsia" w:ascii="新宋体" w:hAnsi="新宋体" w:eastAsia="新宋体" w:cs="新宋体"/>
          <w:color w:val="auto"/>
          <w:sz w:val="22"/>
          <w:szCs w:val="22"/>
          <w:highlight w:val="none"/>
        </w:rPr>
        <w:t>附件</w:t>
      </w: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rPr>
        <w:t>：</w:t>
      </w:r>
    </w:p>
    <w:p w14:paraId="455FE15A">
      <w:pPr>
        <w:spacing w:line="460" w:lineRule="exact"/>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医疗卫生机构医药产品廉洁购销合同（样本）</w:t>
      </w:r>
    </w:p>
    <w:p w14:paraId="7807F1C6">
      <w:pPr>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甲方</w:t>
      </w:r>
      <w:r>
        <w:rPr>
          <w:rFonts w:hint="eastAsia" w:ascii="新宋体" w:hAnsi="新宋体" w:eastAsia="新宋体" w:cs="新宋体"/>
          <w:bCs/>
          <w:color w:val="auto"/>
          <w:sz w:val="22"/>
          <w:szCs w:val="22"/>
          <w:highlight w:val="none"/>
        </w:rPr>
        <w:t>（医疗卫生机构）：</w:t>
      </w:r>
    </w:p>
    <w:p w14:paraId="1426BFF8">
      <w:pPr>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乙方</w:t>
      </w:r>
      <w:r>
        <w:rPr>
          <w:rFonts w:hint="eastAsia" w:ascii="新宋体" w:hAnsi="新宋体" w:eastAsia="新宋体" w:cs="新宋体"/>
          <w:bCs/>
          <w:color w:val="auto"/>
          <w:sz w:val="22"/>
          <w:szCs w:val="22"/>
          <w:highlight w:val="none"/>
        </w:rPr>
        <w:t>（医药生产经营企业及其代理人）：</w:t>
      </w:r>
    </w:p>
    <w:p w14:paraId="1AA0CD95">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为进一步加强医疗卫生行风建设，规范医疗卫生机构医药购销行为，有效防范商业贿赂行为，营造公平交易、诚实守信的购销环境，经甲、乙双方协商，同意签订本合同，并共同遵守：</w:t>
      </w:r>
    </w:p>
    <w:p w14:paraId="30814DDE">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一、甲乙双方按照《民法典》及医药产品购销合同约定购销药品、医用设备、医用耗材等医药产品。</w:t>
      </w:r>
    </w:p>
    <w:p w14:paraId="0F2772DE">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二、甲方应当严格执行医药产品购销合同验收、入库制度，对采购医药产品及发票进行查验，不得违反有关规定合同外采购、违价采购或从非规定渠道采购。</w:t>
      </w:r>
    </w:p>
    <w:p w14:paraId="7384E8BF">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三、甲方严禁接受乙方以任何名义、形式给予的回扣，不得将接受捐赠资助与采购挂钩。甲方工作人员不得参加乙方安排并支付费用的营业性娱乐场所的娱乐活动，不得以任何形式向乙方索要现金、有价证券、支付凭证和贵重礼品等。被动接受乙方给予的钱物，应予退还，无法退还的，有责任如实向有关纪检监察部门反映情况。</w:t>
      </w:r>
    </w:p>
    <w:p w14:paraId="76466297">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四、严禁甲方工作人员利用任何途径和方式，为乙方统计医师个人及临床科室有关医药产品用量信息，或为乙方统计提供便利。</w:t>
      </w:r>
    </w:p>
    <w:p w14:paraId="7A613E60">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五、乙方不得以回扣、宴请等方式影响甲方工作人员采购或使用医药产品的选择权，不得在学术活动中提供旅游、超标准支付食宿费用。</w:t>
      </w:r>
    </w:p>
    <w:p w14:paraId="4ABD1BB6">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六、乙方指定作为销售代表洽谈业务。销售代表必须在工作时间到甲方指定地点联系商谈，不得到住院部、门诊部、医技科室等推销医药产品，不得借故到甲方相关领导、部门负责人及相关工作人员家中访谈并提供任何好处费。</w:t>
      </w:r>
    </w:p>
    <w:p w14:paraId="10F4487E">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七、乙方如违反本合同，一经发现，甲方有权终止购销合同，并向有关卫生计生行政部门报告。如乙方被列入商业贿赂不良记录，则严格按照《国家卫生计生委关于建立医药购销领域商业贿赂不良记录的规定》</w:t>
      </w:r>
      <w:r>
        <w:rPr>
          <w:rFonts w:hint="eastAsia" w:ascii="新宋体" w:hAnsi="新宋体" w:eastAsia="新宋体" w:cs="新宋体"/>
          <w:bCs/>
          <w:color w:val="auto"/>
          <w:sz w:val="22"/>
          <w:szCs w:val="22"/>
          <w:highlight w:val="none"/>
          <w:shd w:val="clear" w:color="auto" w:fill="FFFFFF"/>
        </w:rPr>
        <w:t>（国卫法制发〔2013〕50号）</w:t>
      </w:r>
      <w:r>
        <w:rPr>
          <w:rFonts w:hint="eastAsia" w:ascii="新宋体" w:hAnsi="新宋体" w:eastAsia="新宋体" w:cs="新宋体"/>
          <w:bCs/>
          <w:color w:val="auto"/>
          <w:sz w:val="22"/>
          <w:szCs w:val="22"/>
          <w:highlight w:val="none"/>
        </w:rPr>
        <w:t>相关规定处理。</w:t>
      </w:r>
    </w:p>
    <w:p w14:paraId="4FEE7E4E">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八、本合同作为医药产品购销合同的重要组成部分，与购销合同一并执行，具有同等的法律效力。</w:t>
      </w:r>
    </w:p>
    <w:p w14:paraId="3D33F789">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九、本合同一式二份，甲、乙双方各执一份，并从签订之日起生效。</w:t>
      </w:r>
    </w:p>
    <w:p w14:paraId="013014CB">
      <w:pPr>
        <w:spacing w:line="460" w:lineRule="exact"/>
        <w:rPr>
          <w:rFonts w:hint="eastAsia" w:ascii="新宋体" w:hAnsi="新宋体" w:eastAsia="新宋体" w:cs="新宋体"/>
          <w:bCs/>
          <w:color w:val="auto"/>
          <w:sz w:val="22"/>
          <w:szCs w:val="22"/>
          <w:highlight w:val="none"/>
        </w:rPr>
      </w:pPr>
    </w:p>
    <w:p w14:paraId="36C99174">
      <w:pPr>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甲方（盖章）：                     乙方（盖章）：</w:t>
      </w:r>
    </w:p>
    <w:p w14:paraId="30729C8A">
      <w:pPr>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法定代表人（负责人）：             法定代表人（负责人）：</w:t>
      </w:r>
    </w:p>
    <w:p w14:paraId="6BFC42AA">
      <w:pPr>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经办人签名：                      </w:t>
      </w:r>
      <w:r>
        <w:rPr>
          <w:rFonts w:hint="eastAsia" w:ascii="新宋体" w:hAnsi="新宋体" w:eastAsia="新宋体" w:cs="新宋体"/>
          <w:bCs/>
          <w:color w:val="auto"/>
          <w:sz w:val="22"/>
          <w:szCs w:val="22"/>
          <w:highlight w:val="none"/>
          <w:lang w:val="en-US" w:eastAsia="zh-CN"/>
        </w:rPr>
        <w:t xml:space="preserve"> </w:t>
      </w:r>
      <w:r>
        <w:rPr>
          <w:rFonts w:hint="eastAsia" w:ascii="新宋体" w:hAnsi="新宋体" w:eastAsia="新宋体" w:cs="新宋体"/>
          <w:bCs/>
          <w:color w:val="auto"/>
          <w:sz w:val="22"/>
          <w:szCs w:val="22"/>
          <w:highlight w:val="none"/>
        </w:rPr>
        <w:t>经办人签名：</w:t>
      </w:r>
    </w:p>
    <w:p w14:paraId="0D9278AA">
      <w:pPr>
        <w:pStyle w:val="31"/>
        <w:snapToGrid w:val="0"/>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年   月   日                       年   月  日</w:t>
      </w:r>
    </w:p>
    <w:p w14:paraId="158C1BC7">
      <w:pPr>
        <w:keepNext w:val="0"/>
        <w:keepLines w:val="0"/>
        <w:pageBreakBefore w:val="0"/>
        <w:widowControl w:val="0"/>
        <w:kinsoku/>
        <w:wordWrap/>
        <w:overflowPunct/>
        <w:topLinePunct w:val="0"/>
        <w:autoSpaceDE/>
        <w:autoSpaceDN/>
        <w:bidi w:val="0"/>
        <w:adjustRightInd/>
        <w:snapToGrid/>
        <w:spacing w:line="460" w:lineRule="exact"/>
        <w:ind w:left="0" w:leftChars="0" w:firstLine="440" w:firstLineChars="20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br w:type="page"/>
      </w:r>
    </w:p>
    <w:p w14:paraId="5ACB7114">
      <w:pPr>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0"/>
        <w:rPr>
          <w:rFonts w:hint="eastAsia" w:ascii="新宋体" w:hAnsi="新宋体" w:eastAsia="新宋体" w:cs="新宋体"/>
          <w:b/>
          <w:color w:val="auto"/>
          <w:sz w:val="30"/>
          <w:highlight w:val="none"/>
        </w:rPr>
      </w:pPr>
      <w:bookmarkStart w:id="60" w:name="_Toc8864"/>
      <w:bookmarkStart w:id="61" w:name="_Toc23818"/>
      <w:bookmarkStart w:id="62" w:name="_Toc7857"/>
      <w:r>
        <w:rPr>
          <w:rFonts w:hint="eastAsia" w:ascii="新宋体" w:hAnsi="新宋体" w:eastAsia="新宋体" w:cs="新宋体"/>
          <w:b/>
          <w:color w:val="auto"/>
          <w:sz w:val="30"/>
          <w:highlight w:val="none"/>
        </w:rPr>
        <w:t>第三部分  附件</w:t>
      </w:r>
      <w:bookmarkEnd w:id="60"/>
      <w:bookmarkEnd w:id="61"/>
      <w:bookmarkEnd w:id="62"/>
    </w:p>
    <w:p w14:paraId="7369F314">
      <w:pPr>
        <w:pStyle w:val="24"/>
        <w:spacing w:line="460" w:lineRule="exact"/>
        <w:ind w:left="433" w:hanging="433" w:hangingChars="196"/>
        <w:outlineLvl w:val="1"/>
        <w:rPr>
          <w:rFonts w:hint="eastAsia" w:ascii="新宋体" w:hAnsi="新宋体" w:eastAsia="新宋体" w:cs="新宋体"/>
          <w:b/>
          <w:color w:val="auto"/>
          <w:sz w:val="22"/>
          <w:highlight w:val="none"/>
        </w:rPr>
      </w:pPr>
      <w:bookmarkStart w:id="63" w:name="_Toc2993"/>
      <w:bookmarkStart w:id="64" w:name="_Toc5655"/>
      <w:bookmarkStart w:id="65" w:name="_Toc2361"/>
      <w:r>
        <w:rPr>
          <w:rFonts w:hint="eastAsia" w:ascii="新宋体" w:hAnsi="新宋体" w:eastAsia="新宋体" w:cs="新宋体"/>
          <w:b/>
          <w:color w:val="auto"/>
          <w:sz w:val="22"/>
          <w:highlight w:val="none"/>
        </w:rPr>
        <w:t>附件一</w:t>
      </w:r>
      <w:bookmarkEnd w:id="63"/>
      <w:bookmarkEnd w:id="64"/>
      <w:bookmarkEnd w:id="65"/>
    </w:p>
    <w:p w14:paraId="2D56EA8F">
      <w:pPr>
        <w:spacing w:line="460" w:lineRule="exact"/>
        <w:jc w:val="center"/>
        <w:outlineLvl w:val="2"/>
        <w:rPr>
          <w:rFonts w:hint="eastAsia" w:ascii="新宋体" w:hAnsi="新宋体" w:eastAsia="新宋体" w:cs="新宋体"/>
          <w:color w:val="auto"/>
          <w:sz w:val="28"/>
          <w:szCs w:val="28"/>
          <w:highlight w:val="none"/>
        </w:rPr>
      </w:pPr>
      <w:bookmarkStart w:id="66" w:name="_Toc8120"/>
      <w:bookmarkStart w:id="67" w:name="_Toc20233"/>
      <w:bookmarkStart w:id="68" w:name="_Toc14100"/>
      <w:r>
        <w:rPr>
          <w:rFonts w:hint="eastAsia" w:ascii="新宋体" w:hAnsi="新宋体" w:eastAsia="新宋体" w:cs="新宋体"/>
          <w:b/>
          <w:bCs/>
          <w:color w:val="auto"/>
          <w:sz w:val="28"/>
          <w:szCs w:val="28"/>
          <w:highlight w:val="none"/>
          <w:lang w:val="zh-CN"/>
        </w:rPr>
        <w:t>资格证明文件</w:t>
      </w:r>
      <w:bookmarkEnd w:id="66"/>
      <w:bookmarkEnd w:id="67"/>
    </w:p>
    <w:p w14:paraId="3C8AA229">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1、资格条件承诺函</w:t>
      </w:r>
    </w:p>
    <w:p w14:paraId="14DB53B3">
      <w:pPr>
        <w:keepNext w:val="0"/>
        <w:keepLines w:val="0"/>
        <w:pageBreakBefore w:val="0"/>
        <w:widowControl/>
        <w:kinsoku/>
        <w:wordWrap/>
        <w:overflowPunct/>
        <w:topLinePunct w:val="0"/>
        <w:autoSpaceDE/>
        <w:autoSpaceDN/>
        <w:bidi w:val="0"/>
        <w:adjustRightInd/>
        <w:spacing w:line="460" w:lineRule="exac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温州市第七人民医院</w:t>
      </w:r>
      <w:r>
        <w:rPr>
          <w:rFonts w:hint="eastAsia" w:ascii="新宋体" w:hAnsi="新宋体" w:eastAsia="新宋体" w:cs="新宋体"/>
          <w:color w:val="auto"/>
          <w:kern w:val="0"/>
          <w:sz w:val="22"/>
          <w:szCs w:val="22"/>
          <w:highlight w:val="none"/>
        </w:rPr>
        <w:t>、温州历程招标有限公司：</w:t>
      </w:r>
    </w:p>
    <w:p w14:paraId="0FC84220">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我方参与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（项目名称、编号）投标，现郑重承诺</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kern w:val="0"/>
          <w:sz w:val="22"/>
          <w:szCs w:val="22"/>
          <w:highlight w:val="none"/>
        </w:rPr>
        <w:t>参加本次采购活动前3年内</w:t>
      </w:r>
      <w:r>
        <w:rPr>
          <w:rFonts w:hint="eastAsia" w:ascii="新宋体" w:hAnsi="新宋体" w:eastAsia="新宋体" w:cs="新宋体"/>
          <w:color w:val="auto"/>
          <w:sz w:val="22"/>
          <w:szCs w:val="22"/>
          <w:highlight w:val="none"/>
        </w:rPr>
        <w:t>：</w:t>
      </w:r>
    </w:p>
    <w:p w14:paraId="1E687429">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1、我方符合《中华人民共和国政府采购法》第22条规定的资格条件，即</w:t>
      </w:r>
    </w:p>
    <w:p w14:paraId="0E131B4B">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（1）我方具有独立承担民事责任的能力；</w:t>
      </w:r>
    </w:p>
    <w:p w14:paraId="18C2E9B1">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（2）我方具有良好的商业信誉和健全的财务会计制度；</w:t>
      </w:r>
    </w:p>
    <w:p w14:paraId="3F632EF4">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（3）我方具有履行合同所必需的设备和专业技术能力；</w:t>
      </w:r>
    </w:p>
    <w:p w14:paraId="206DDDD5">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（4）我方有依法缴纳税收和社会保障资金的良好记录；</w:t>
      </w:r>
    </w:p>
    <w:p w14:paraId="7F94CC9A">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（5）我方参加本次政府采购活动前3年内在经营活动中没有重大违法记录（没有因违法经营</w:t>
      </w:r>
      <w:r>
        <w:rPr>
          <w:rFonts w:hint="eastAsia" w:ascii="新宋体" w:hAnsi="新宋体" w:eastAsia="新宋体" w:cs="新宋体"/>
          <w:color w:val="auto"/>
          <w:kern w:val="0"/>
          <w:sz w:val="22"/>
          <w:szCs w:val="22"/>
          <w:highlight w:val="none"/>
        </w:rPr>
        <w:t>受到刑事处罚，没有被责令停产停业、被吊销许可证或者执照、被处以较大数额罚款等行政处罚，没有因违法经营被禁止参加政府采购活动的期限未满情形）。</w:t>
      </w:r>
    </w:p>
    <w:p w14:paraId="1A5D9DE4">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2、到本项目投标截止时间为止，我方未被“信用中国（</w:t>
      </w:r>
      <w:r>
        <w:rPr>
          <w:rFonts w:hint="eastAsia" w:ascii="新宋体" w:hAnsi="新宋体" w:eastAsia="新宋体" w:cs="新宋体"/>
          <w:color w:val="auto"/>
          <w:kern w:val="0"/>
          <w:sz w:val="22"/>
          <w:szCs w:val="22"/>
          <w:highlight w:val="none"/>
          <w:lang w:eastAsia="zh-CN"/>
        </w:rPr>
        <w:fldChar w:fldCharType="begin"/>
      </w:r>
      <w:r>
        <w:rPr>
          <w:rFonts w:hint="eastAsia" w:ascii="新宋体" w:hAnsi="新宋体" w:eastAsia="新宋体" w:cs="新宋体"/>
          <w:color w:val="auto"/>
          <w:kern w:val="0"/>
          <w:sz w:val="22"/>
          <w:szCs w:val="22"/>
          <w:highlight w:val="none"/>
          <w:lang w:eastAsia="zh-CN"/>
        </w:rPr>
        <w:instrText xml:space="preserve"> HYPERLINK "http://www.creditchina.gov.cn）、" </w:instrText>
      </w:r>
      <w:r>
        <w:rPr>
          <w:rFonts w:hint="eastAsia" w:ascii="新宋体" w:hAnsi="新宋体" w:eastAsia="新宋体" w:cs="新宋体"/>
          <w:color w:val="auto"/>
          <w:kern w:val="0"/>
          <w:sz w:val="22"/>
          <w:szCs w:val="22"/>
          <w:highlight w:val="none"/>
          <w:lang w:eastAsia="zh-CN"/>
        </w:rPr>
        <w:fldChar w:fldCharType="separate"/>
      </w:r>
      <w:r>
        <w:rPr>
          <w:rFonts w:hint="eastAsia" w:ascii="新宋体" w:hAnsi="新宋体" w:eastAsia="新宋体" w:cs="新宋体"/>
          <w:color w:val="auto"/>
          <w:kern w:val="0"/>
          <w:sz w:val="22"/>
          <w:szCs w:val="22"/>
          <w:highlight w:val="none"/>
          <w:lang w:eastAsia="zh-CN"/>
        </w:rPr>
        <w:t>www.creditchina.gov.cn）、</w:t>
      </w:r>
      <w:r>
        <w:rPr>
          <w:rFonts w:hint="eastAsia" w:ascii="新宋体" w:hAnsi="新宋体" w:eastAsia="新宋体" w:cs="新宋体"/>
          <w:color w:val="auto"/>
          <w:kern w:val="0"/>
          <w:sz w:val="22"/>
          <w:szCs w:val="22"/>
          <w:highlight w:val="none"/>
          <w:lang w:eastAsia="zh-CN"/>
        </w:rPr>
        <w:fldChar w:fldCharType="end"/>
      </w:r>
      <w:r>
        <w:rPr>
          <w:rFonts w:hint="eastAsia" w:ascii="新宋体" w:hAnsi="新宋体" w:eastAsia="新宋体" w:cs="新宋体"/>
          <w:color w:val="auto"/>
          <w:kern w:val="0"/>
          <w:sz w:val="22"/>
          <w:szCs w:val="22"/>
          <w:highlight w:val="none"/>
          <w:lang w:eastAsia="zh-CN"/>
        </w:rPr>
        <w:t>中国政府采购网（www.ccgp.gov.cn）列入失信被执行人名单、重大税收违法案件当事人名单、政府采购严重违法失信行为记录名单。</w:t>
      </w:r>
    </w:p>
    <w:p w14:paraId="24B40BB7">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3、我方与参加本次项目同一合同项下政府采购活动的其他供应商不存在单位负责人为同一人或者直接控股、管理关系。</w:t>
      </w:r>
    </w:p>
    <w:p w14:paraId="0CB828AF">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4、我方</w:t>
      </w:r>
      <w:r>
        <w:rPr>
          <w:rFonts w:hint="eastAsia" w:ascii="新宋体" w:hAnsi="新宋体" w:eastAsia="新宋体" w:cs="新宋体"/>
          <w:color w:val="auto"/>
          <w:kern w:val="0"/>
          <w:sz w:val="22"/>
          <w:szCs w:val="22"/>
          <w:highlight w:val="none"/>
          <w:lang w:eastAsia="zh-CN"/>
        </w:rPr>
        <w:t>不属于公益一类事业单位。</w:t>
      </w:r>
    </w:p>
    <w:p w14:paraId="082C4B16">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lang w:val="en-US" w:eastAsia="zh-CN"/>
        </w:rPr>
      </w:pPr>
    </w:p>
    <w:p w14:paraId="6E8466C3">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以上承诺如有虚假，愿接受取消我方任何资格（投标/成交/签订合同）及其他任何形式的处理。</w:t>
      </w:r>
    </w:p>
    <w:p w14:paraId="40E338F7">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rPr>
      </w:pPr>
    </w:p>
    <w:p w14:paraId="5C00E090">
      <w:pPr>
        <w:keepNext w:val="0"/>
        <w:keepLines w:val="0"/>
        <w:pageBreakBefore w:val="0"/>
        <w:kinsoku/>
        <w:wordWrap/>
        <w:overflowPunct/>
        <w:topLinePunct w:val="0"/>
        <w:autoSpaceDE/>
        <w:autoSpaceDN/>
        <w:bidi w:val="0"/>
        <w:adjustRightInd/>
        <w:snapToGrid w:val="0"/>
        <w:spacing w:line="460" w:lineRule="exact"/>
        <w:ind w:firstLine="5060" w:firstLineChars="2300"/>
        <w:textAlignment w:val="auto"/>
        <w:rPr>
          <w:rFonts w:hint="eastAsia" w:ascii="新宋体" w:hAnsi="新宋体" w:eastAsia="新宋体" w:cs="新宋体"/>
          <w:color w:val="auto"/>
          <w:kern w:val="0"/>
          <w:sz w:val="22"/>
          <w:szCs w:val="22"/>
          <w:highlight w:val="none"/>
          <w:lang w:val="zh-CN"/>
        </w:rPr>
      </w:pPr>
    </w:p>
    <w:p w14:paraId="7E73105C">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投标人全称（盖章） ：</w:t>
      </w:r>
    </w:p>
    <w:p w14:paraId="4CCDEC49">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法定代表人或其授权代表（签字或盖章）：</w:t>
      </w:r>
    </w:p>
    <w:p w14:paraId="29A683B1">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rPr>
      </w:pPr>
    </w:p>
    <w:p w14:paraId="4B8E1225">
      <w:pPr>
        <w:pStyle w:val="24"/>
        <w:keepNext w:val="0"/>
        <w:keepLines w:val="0"/>
        <w:pageBreakBefore w:val="0"/>
        <w:kinsoku/>
        <w:wordWrap/>
        <w:overflowPunct/>
        <w:topLinePunct w:val="0"/>
        <w:autoSpaceDE/>
        <w:autoSpaceDN/>
        <w:bidi w:val="0"/>
        <w:adjustRightInd/>
        <w:spacing w:line="460" w:lineRule="exact"/>
        <w:ind w:left="479" w:leftChars="228" w:firstLine="5280" w:firstLineChars="2400"/>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4F9B34EA">
      <w:pPr>
        <w:bidi w:val="0"/>
        <w:rPr>
          <w:rFonts w:hint="eastAsia" w:ascii="新宋体" w:hAnsi="新宋体" w:eastAsia="新宋体" w:cs="新宋体"/>
          <w:color w:val="auto"/>
          <w:highlight w:val="none"/>
        </w:rPr>
      </w:pPr>
    </w:p>
    <w:p w14:paraId="08D55525">
      <w:pPr>
        <w:bidi w:val="0"/>
        <w:rPr>
          <w:rFonts w:hint="eastAsia" w:ascii="新宋体" w:hAnsi="新宋体" w:eastAsia="新宋体" w:cs="新宋体"/>
          <w:color w:val="auto"/>
          <w:highlight w:val="none"/>
        </w:rPr>
      </w:pPr>
    </w:p>
    <w:p w14:paraId="047B315E">
      <w:pPr>
        <w:bidi w:val="0"/>
        <w:rPr>
          <w:rFonts w:hint="eastAsia" w:ascii="新宋体" w:hAnsi="新宋体" w:eastAsia="新宋体" w:cs="新宋体"/>
          <w:color w:val="auto"/>
          <w:highlight w:val="none"/>
        </w:rPr>
      </w:pPr>
    </w:p>
    <w:p w14:paraId="6B28F73B">
      <w:pPr>
        <w:rPr>
          <w:rFonts w:hint="eastAsia" w:ascii="新宋体" w:hAnsi="新宋体" w:eastAsia="新宋体" w:cs="新宋体"/>
          <w:b/>
          <w:bCs w:val="0"/>
          <w:color w:val="auto"/>
          <w:kern w:val="0"/>
          <w:sz w:val="28"/>
          <w:szCs w:val="28"/>
          <w:highlight w:val="none"/>
          <w:lang w:val="en-US" w:eastAsia="zh-CN" w:bidi="ar-SA"/>
        </w:rPr>
      </w:pPr>
      <w:r>
        <w:rPr>
          <w:rFonts w:hint="eastAsia" w:ascii="新宋体" w:hAnsi="新宋体" w:eastAsia="新宋体" w:cs="新宋体"/>
          <w:b/>
          <w:bCs w:val="0"/>
          <w:color w:val="auto"/>
          <w:kern w:val="0"/>
          <w:sz w:val="28"/>
          <w:szCs w:val="28"/>
          <w:highlight w:val="none"/>
          <w:lang w:val="en-US" w:eastAsia="zh-CN" w:bidi="ar-SA"/>
        </w:rPr>
        <w:br w:type="page"/>
      </w:r>
    </w:p>
    <w:p w14:paraId="4F0E7C7B">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2、有效营业执照</w:t>
      </w:r>
    </w:p>
    <w:p w14:paraId="36D4509D">
      <w:pPr>
        <w:bidi w:val="0"/>
        <w:rPr>
          <w:rFonts w:hint="eastAsia"/>
          <w:color w:val="auto"/>
          <w:highlight w:val="none"/>
          <w:lang w:val="en-US" w:eastAsia="zh-CN"/>
        </w:rPr>
      </w:pPr>
    </w:p>
    <w:p w14:paraId="0C85B4EF">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投标人须在投标文件中出具符合以下情况的证明材料复印件（五选一）：</w:t>
      </w:r>
    </w:p>
    <w:p w14:paraId="10958ACE">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①</w:t>
      </w:r>
      <w:r>
        <w:rPr>
          <w:rFonts w:hint="eastAsia" w:ascii="新宋体" w:hAnsi="新宋体" w:eastAsia="新宋体" w:cs="新宋体"/>
          <w:color w:val="auto"/>
          <w:kern w:val="0"/>
          <w:sz w:val="22"/>
          <w:szCs w:val="22"/>
          <w:highlight w:val="none"/>
          <w:lang w:eastAsia="zh-CN"/>
        </w:rPr>
        <w:t>如投标人是企业（包括合伙企业），提供在工商部门注册的有效“企业法人营业执照”或“营业执照”；</w:t>
      </w:r>
    </w:p>
    <w:p w14:paraId="0293363E">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②</w:t>
      </w:r>
      <w:r>
        <w:rPr>
          <w:rFonts w:hint="eastAsia" w:ascii="新宋体" w:hAnsi="新宋体" w:eastAsia="新宋体" w:cs="新宋体"/>
          <w:color w:val="auto"/>
          <w:kern w:val="0"/>
          <w:sz w:val="22"/>
          <w:szCs w:val="22"/>
          <w:highlight w:val="none"/>
          <w:lang w:eastAsia="zh-CN"/>
        </w:rPr>
        <w:t>如投标人是事业单位，提供有效的“事业单位法人证书”；</w:t>
      </w:r>
    </w:p>
    <w:p w14:paraId="1C5902A9">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③</w:t>
      </w:r>
      <w:r>
        <w:rPr>
          <w:rFonts w:hint="eastAsia" w:ascii="新宋体" w:hAnsi="新宋体" w:eastAsia="新宋体" w:cs="新宋体"/>
          <w:color w:val="auto"/>
          <w:kern w:val="0"/>
          <w:sz w:val="22"/>
          <w:szCs w:val="22"/>
          <w:highlight w:val="none"/>
          <w:lang w:eastAsia="zh-CN"/>
        </w:rPr>
        <w:t>如投标人是非企业专业服务机构的，提供执业许可证等证明文件；</w:t>
      </w:r>
    </w:p>
    <w:p w14:paraId="3C16DD06">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④</w:t>
      </w:r>
      <w:r>
        <w:rPr>
          <w:rFonts w:hint="eastAsia" w:ascii="新宋体" w:hAnsi="新宋体" w:eastAsia="新宋体" w:cs="新宋体"/>
          <w:color w:val="auto"/>
          <w:kern w:val="0"/>
          <w:sz w:val="22"/>
          <w:szCs w:val="22"/>
          <w:highlight w:val="none"/>
          <w:lang w:eastAsia="zh-CN"/>
        </w:rPr>
        <w:t>如投标人是个体工商户，提供有效的“个体工商户营业执照”；</w:t>
      </w:r>
    </w:p>
    <w:p w14:paraId="59FCB009">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val="en-US" w:eastAsia="zh-CN"/>
        </w:rPr>
        <w:t>⑤</w:t>
      </w:r>
      <w:r>
        <w:rPr>
          <w:rFonts w:hint="eastAsia" w:ascii="新宋体" w:hAnsi="新宋体" w:eastAsia="新宋体" w:cs="新宋体"/>
          <w:color w:val="auto"/>
          <w:kern w:val="0"/>
          <w:sz w:val="22"/>
          <w:szCs w:val="22"/>
          <w:highlight w:val="none"/>
          <w:lang w:eastAsia="zh-CN"/>
        </w:rPr>
        <w:t>如投标人是自然人，提供有效的自然人身份证明（居民身份证正反面或公安机关出具的临时居民身份证正反面或港澳台胞证或护照）。</w:t>
      </w:r>
    </w:p>
    <w:p w14:paraId="4A2BD0D0">
      <w:pPr>
        <w:pStyle w:val="52"/>
        <w:tabs>
          <w:tab w:val="left" w:pos="312"/>
        </w:tabs>
        <w:adjustRightInd w:val="0"/>
        <w:snapToGrid w:val="0"/>
        <w:spacing w:before="0" w:beforeAutospacing="0" w:after="0" w:afterAutospacing="0" w:line="360" w:lineRule="auto"/>
        <w:rPr>
          <w:rFonts w:hint="eastAsia" w:ascii="新宋体" w:hAnsi="新宋体" w:eastAsia="新宋体" w:cs="新宋体"/>
          <w:bCs/>
          <w:color w:val="auto"/>
          <w:sz w:val="22"/>
          <w:szCs w:val="22"/>
          <w:highlight w:val="none"/>
        </w:rPr>
      </w:pPr>
    </w:p>
    <w:p w14:paraId="25680B79">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14:paraId="61E8FF20">
      <w:pPr>
        <w:bidi w:val="0"/>
        <w:rPr>
          <w:rFonts w:hint="eastAsia" w:ascii="新宋体" w:hAnsi="新宋体" w:eastAsia="新宋体" w:cs="新宋体"/>
          <w:color w:val="auto"/>
          <w:highlight w:val="none"/>
        </w:rPr>
      </w:pPr>
    </w:p>
    <w:p w14:paraId="5B8744DA">
      <w:pPr>
        <w:rPr>
          <w:rFonts w:hint="eastAsia" w:ascii="新宋体" w:hAnsi="新宋体" w:eastAsia="新宋体" w:cs="新宋体"/>
          <w:color w:val="auto"/>
          <w:highlight w:val="none"/>
        </w:rPr>
      </w:pPr>
      <w:r>
        <w:rPr>
          <w:rFonts w:hint="eastAsia" w:ascii="新宋体" w:hAnsi="新宋体" w:eastAsia="新宋体" w:cs="新宋体"/>
          <w:color w:val="auto"/>
          <w:highlight w:val="none"/>
        </w:rPr>
        <w:br w:type="page"/>
      </w:r>
    </w:p>
    <w:p w14:paraId="49B9C5B0">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3、投标人信用查询</w:t>
      </w:r>
    </w:p>
    <w:p w14:paraId="73CDCE25">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1</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投标人信用信息查询的查询渠道：“信用中国”（https://www.creditchina.gov.cn/）；“中国政府采购网”（http://www.ccgp.gov.cn/）；</w:t>
      </w:r>
    </w:p>
    <w:p w14:paraId="1FD03EB7">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2</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投标人信用信息查询截止时点：招标公告发布之日至投标截止时间前。</w:t>
      </w:r>
    </w:p>
    <w:p w14:paraId="04B0BFE1">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3</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投标人信用信息查询记录和证据留存的具体方式：网页截图；</w:t>
      </w:r>
    </w:p>
    <w:p w14:paraId="6C7FD143">
      <w:pPr>
        <w:tabs>
          <w:tab w:val="left" w:pos="360"/>
        </w:tabs>
        <w:spacing w:line="460" w:lineRule="exact"/>
        <w:ind w:firstLine="552" w:firstLineChars="25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highlight w:val="none"/>
          <w:u w:val="single"/>
          <w:lang w:eastAsia="zh-CN"/>
        </w:rPr>
        <w:t>（</w:t>
      </w:r>
      <w:r>
        <w:rPr>
          <w:rFonts w:hint="eastAsia" w:ascii="新宋体" w:hAnsi="新宋体" w:eastAsia="新宋体" w:cs="新宋体"/>
          <w:b/>
          <w:bCs/>
          <w:color w:val="auto"/>
          <w:sz w:val="22"/>
          <w:highlight w:val="none"/>
          <w:u w:val="single"/>
        </w:rPr>
        <w:t>4</w:t>
      </w:r>
      <w:r>
        <w:rPr>
          <w:rFonts w:hint="eastAsia" w:ascii="新宋体" w:hAnsi="新宋体" w:eastAsia="新宋体" w:cs="新宋体"/>
          <w:b/>
          <w:bCs/>
          <w:color w:val="auto"/>
          <w:sz w:val="22"/>
          <w:highlight w:val="none"/>
          <w:u w:val="single"/>
          <w:lang w:eastAsia="zh-CN"/>
        </w:rPr>
        <w:t>）</w:t>
      </w:r>
      <w:r>
        <w:rPr>
          <w:rFonts w:hint="eastAsia" w:ascii="新宋体" w:hAnsi="新宋体" w:eastAsia="新宋体" w:cs="新宋体"/>
          <w:b/>
          <w:bCs/>
          <w:color w:val="auto"/>
          <w:sz w:val="22"/>
          <w:highlight w:val="none"/>
          <w:u w:val="single"/>
        </w:rPr>
        <w:t>信用信息的使用规则：对列入失信被执行人、重大税收违法案件当事人名单、政府采购严重违法失信行为记录名单及其他不符合《中华人民共和国政府采购法》第二十二条规定条件的投标人，其投标做无效投标处理。</w:t>
      </w:r>
    </w:p>
    <w:p w14:paraId="0D00D6D9">
      <w:pPr>
        <w:bidi w:val="0"/>
        <w:rPr>
          <w:rFonts w:hint="eastAsia" w:ascii="新宋体" w:hAnsi="新宋体" w:eastAsia="新宋体" w:cs="新宋体"/>
          <w:color w:val="auto"/>
          <w:highlight w:val="none"/>
        </w:rPr>
      </w:pPr>
    </w:p>
    <w:p w14:paraId="11B9AC96">
      <w:pPr>
        <w:bidi w:val="0"/>
        <w:rPr>
          <w:rFonts w:hint="eastAsia" w:ascii="新宋体" w:hAnsi="新宋体" w:eastAsia="新宋体" w:cs="新宋体"/>
          <w:color w:val="auto"/>
          <w:highlight w:val="none"/>
        </w:rPr>
      </w:pPr>
    </w:p>
    <w:p w14:paraId="1AE97CD2">
      <w:pPr>
        <w:pStyle w:val="24"/>
        <w:spacing w:line="460" w:lineRule="exact"/>
        <w:ind w:left="514" w:leftChars="245" w:firstLine="0" w:firstLineChars="0"/>
        <w:rPr>
          <w:rFonts w:hint="eastAsia" w:ascii="新宋体" w:hAnsi="新宋体" w:eastAsia="新宋体" w:cs="新宋体"/>
          <w:color w:val="auto"/>
          <w:highlight w:val="none"/>
        </w:rPr>
      </w:pPr>
    </w:p>
    <w:p w14:paraId="033963E0">
      <w:pPr>
        <w:pStyle w:val="24"/>
        <w:spacing w:line="460" w:lineRule="exact"/>
        <w:ind w:left="514" w:leftChars="245" w:firstLine="0" w:firstLineChars="0"/>
        <w:rPr>
          <w:rFonts w:hint="eastAsia" w:ascii="新宋体" w:hAnsi="新宋体" w:eastAsia="新宋体" w:cs="新宋体"/>
          <w:color w:val="auto"/>
          <w:highlight w:val="none"/>
        </w:rPr>
      </w:pPr>
    </w:p>
    <w:p w14:paraId="6EA0A9B4">
      <w:pPr>
        <w:pStyle w:val="24"/>
        <w:spacing w:line="460" w:lineRule="exact"/>
        <w:ind w:left="514" w:leftChars="245" w:firstLine="0" w:firstLineChars="0"/>
        <w:rPr>
          <w:rFonts w:hint="eastAsia" w:ascii="新宋体" w:hAnsi="新宋体" w:eastAsia="新宋体" w:cs="新宋体"/>
          <w:color w:val="auto"/>
          <w:highlight w:val="none"/>
        </w:rPr>
      </w:pPr>
    </w:p>
    <w:p w14:paraId="6060FDDA">
      <w:pPr>
        <w:pStyle w:val="24"/>
        <w:spacing w:line="460" w:lineRule="exact"/>
        <w:ind w:left="0" w:firstLine="0" w:firstLineChars="0"/>
        <w:rPr>
          <w:rFonts w:hint="eastAsia" w:ascii="新宋体" w:hAnsi="新宋体" w:eastAsia="新宋体" w:cs="新宋体"/>
          <w:color w:val="auto"/>
          <w:highlight w:val="none"/>
        </w:rPr>
      </w:pPr>
    </w:p>
    <w:p w14:paraId="40CC4BA6">
      <w:pPr>
        <w:spacing w:line="460" w:lineRule="exact"/>
        <w:rPr>
          <w:rFonts w:hint="eastAsia" w:ascii="新宋体" w:hAnsi="新宋体" w:eastAsia="新宋体" w:cs="新宋体"/>
          <w:b/>
          <w:bCs/>
          <w:color w:val="auto"/>
          <w:sz w:val="22"/>
          <w:szCs w:val="22"/>
          <w:highlight w:val="none"/>
        </w:rPr>
      </w:pPr>
    </w:p>
    <w:p w14:paraId="6C273E68">
      <w:pPr>
        <w:spacing w:line="460" w:lineRule="exact"/>
        <w:rPr>
          <w:rFonts w:hint="eastAsia" w:ascii="新宋体" w:hAnsi="新宋体" w:eastAsia="新宋体" w:cs="新宋体"/>
          <w:b/>
          <w:bCs/>
          <w:color w:val="auto"/>
          <w:sz w:val="22"/>
          <w:szCs w:val="22"/>
          <w:highlight w:val="none"/>
        </w:rPr>
      </w:pPr>
    </w:p>
    <w:p w14:paraId="4F459104">
      <w:pPr>
        <w:spacing w:line="460" w:lineRule="exact"/>
        <w:rPr>
          <w:rFonts w:hint="eastAsia" w:ascii="新宋体" w:hAnsi="新宋体" w:eastAsia="新宋体" w:cs="新宋体"/>
          <w:b/>
          <w:bCs/>
          <w:color w:val="auto"/>
          <w:sz w:val="22"/>
          <w:szCs w:val="22"/>
          <w:highlight w:val="none"/>
        </w:rPr>
      </w:pPr>
    </w:p>
    <w:p w14:paraId="52AF0AFC">
      <w:pPr>
        <w:spacing w:line="460" w:lineRule="exact"/>
        <w:rPr>
          <w:rFonts w:hint="eastAsia" w:ascii="新宋体" w:hAnsi="新宋体" w:eastAsia="新宋体" w:cs="新宋体"/>
          <w:b/>
          <w:bCs/>
          <w:color w:val="auto"/>
          <w:sz w:val="22"/>
          <w:szCs w:val="22"/>
          <w:highlight w:val="none"/>
        </w:rPr>
      </w:pPr>
    </w:p>
    <w:p w14:paraId="37FA64FF">
      <w:pPr>
        <w:rPr>
          <w:rFonts w:hint="eastAsia" w:ascii="新宋体" w:hAnsi="新宋体" w:eastAsia="新宋体" w:cs="新宋体"/>
          <w:color w:val="auto"/>
          <w:highlight w:val="none"/>
        </w:rPr>
      </w:pPr>
    </w:p>
    <w:p w14:paraId="5C5E06AA">
      <w:pPr>
        <w:rPr>
          <w:rFonts w:hint="eastAsia" w:ascii="新宋体" w:hAnsi="新宋体" w:eastAsia="新宋体" w:cs="新宋体"/>
          <w:color w:val="auto"/>
          <w:highlight w:val="none"/>
        </w:rPr>
      </w:pPr>
    </w:p>
    <w:p w14:paraId="7AFB0BEB">
      <w:pPr>
        <w:bidi w:val="0"/>
        <w:rPr>
          <w:rFonts w:hint="eastAsia"/>
          <w:color w:val="auto"/>
          <w:highlight w:val="none"/>
        </w:rPr>
      </w:pPr>
    </w:p>
    <w:p w14:paraId="792871D5">
      <w:pPr>
        <w:rPr>
          <w:rFonts w:hint="eastAsia"/>
          <w:color w:val="auto"/>
          <w:highlight w:val="none"/>
        </w:rPr>
      </w:pPr>
      <w:r>
        <w:rPr>
          <w:rFonts w:hint="eastAsia"/>
          <w:color w:val="auto"/>
          <w:highlight w:val="none"/>
        </w:rPr>
        <w:br w:type="page"/>
      </w:r>
    </w:p>
    <w:p w14:paraId="29FC18F6">
      <w:pPr>
        <w:spacing w:line="400" w:lineRule="exact"/>
        <w:jc w:val="center"/>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4、落实政府采购政策需满足的资格要求证明材料</w:t>
      </w:r>
    </w:p>
    <w:p w14:paraId="128F0833">
      <w:pPr>
        <w:spacing w:line="400" w:lineRule="exact"/>
        <w:jc w:val="center"/>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（1）中小企业的相关证明材料</w:t>
      </w:r>
    </w:p>
    <w:p w14:paraId="10D91003">
      <w:pPr>
        <w:spacing w:line="460" w:lineRule="exact"/>
        <w:jc w:val="center"/>
        <w:rPr>
          <w:rFonts w:hint="eastAsia" w:ascii="新宋体" w:hAnsi="新宋体" w:eastAsia="新宋体" w:cs="新宋体"/>
          <w:b/>
          <w:bCs/>
          <w:color w:val="auto"/>
          <w:sz w:val="22"/>
          <w:szCs w:val="22"/>
          <w:highlight w:val="none"/>
        </w:rPr>
      </w:pPr>
    </w:p>
    <w:p w14:paraId="7C0F1FD8">
      <w:pPr>
        <w:spacing w:line="460" w:lineRule="exact"/>
        <w:jc w:val="center"/>
        <w:rPr>
          <w:rFonts w:ascii="宋体" w:hAnsi="宋体" w:cs="宋体"/>
          <w:color w:val="auto"/>
          <w:sz w:val="24"/>
          <w:highlight w:val="none"/>
        </w:rPr>
      </w:pPr>
      <w:r>
        <w:rPr>
          <w:rFonts w:hint="eastAsia" w:ascii="宋体" w:hAnsi="宋体" w:cs="宋体"/>
          <w:b/>
          <w:bCs/>
          <w:color w:val="auto"/>
          <w:sz w:val="24"/>
          <w:highlight w:val="none"/>
        </w:rPr>
        <w:t>《中小企业声明函（工程、服务）》</w:t>
      </w:r>
    </w:p>
    <w:p w14:paraId="3D5FB384">
      <w:pPr>
        <w:snapToGrid w:val="0"/>
        <w:spacing w:line="460" w:lineRule="exact"/>
        <w:jc w:val="center"/>
        <w:rPr>
          <w:rFonts w:ascii="宋体" w:hAnsi="宋体" w:cs="宋体"/>
          <w:color w:val="auto"/>
          <w:sz w:val="22"/>
          <w:szCs w:val="22"/>
          <w:highlight w:val="none"/>
        </w:rPr>
      </w:pPr>
      <w:r>
        <w:rPr>
          <w:rFonts w:hint="eastAsia" w:ascii="宋体" w:hAnsi="宋体" w:cs="宋体"/>
          <w:color w:val="auto"/>
          <w:kern w:val="0"/>
          <w:sz w:val="22"/>
          <w:szCs w:val="22"/>
          <w:highlight w:val="none"/>
        </w:rPr>
        <w:t>【不属于中小企业单位的无需填写、递交】</w:t>
      </w:r>
    </w:p>
    <w:p w14:paraId="3D962168">
      <w:pPr>
        <w:spacing w:line="460" w:lineRule="exact"/>
        <w:ind w:firstLine="637" w:firstLineChars="245"/>
        <w:rPr>
          <w:rFonts w:ascii="宋体" w:hAnsi="宋体" w:cs="宋体"/>
          <w:color w:val="auto"/>
          <w:spacing w:val="20"/>
          <w:sz w:val="22"/>
          <w:szCs w:val="22"/>
          <w:highlight w:val="none"/>
        </w:rPr>
      </w:pPr>
      <w:r>
        <w:rPr>
          <w:rFonts w:hint="eastAsia" w:ascii="宋体" w:hAnsi="宋体" w:cs="宋体"/>
          <w:color w:val="auto"/>
          <w:spacing w:val="20"/>
          <w:sz w:val="22"/>
          <w:szCs w:val="22"/>
          <w:highlight w:val="none"/>
        </w:rPr>
        <w:t>本公司（联合体）郑重声明，根据《政府采购促进中小企业发展管理办法》（财库﹝2020﹞46 号）的规定，本公司（联合体）参加</w:t>
      </w:r>
      <w:r>
        <w:rPr>
          <w:rFonts w:hint="eastAsia" w:ascii="宋体" w:hAnsi="宋体" w:cs="宋体"/>
          <w:color w:val="auto"/>
          <w:spacing w:val="20"/>
          <w:sz w:val="22"/>
          <w:szCs w:val="22"/>
          <w:highlight w:val="none"/>
          <w:u w:val="single"/>
        </w:rPr>
        <w:t>（单位名称）</w:t>
      </w:r>
      <w:r>
        <w:rPr>
          <w:rFonts w:hint="eastAsia" w:ascii="宋体" w:hAnsi="宋体" w:cs="宋体"/>
          <w:color w:val="auto"/>
          <w:spacing w:val="20"/>
          <w:sz w:val="22"/>
          <w:szCs w:val="22"/>
          <w:highlight w:val="none"/>
        </w:rPr>
        <w:t>的</w:t>
      </w:r>
      <w:r>
        <w:rPr>
          <w:rFonts w:hint="eastAsia" w:ascii="宋体" w:hAnsi="宋体" w:cs="宋体"/>
          <w:color w:val="auto"/>
          <w:spacing w:val="20"/>
          <w:sz w:val="22"/>
          <w:szCs w:val="22"/>
          <w:highlight w:val="none"/>
          <w:u w:val="single"/>
        </w:rPr>
        <w:t>（项目名称）</w:t>
      </w:r>
      <w:r>
        <w:rPr>
          <w:rFonts w:hint="eastAsia" w:ascii="宋体" w:hAnsi="宋体" w:cs="宋体"/>
          <w:color w:val="auto"/>
          <w:spacing w:val="20"/>
          <w:sz w:val="22"/>
          <w:szCs w:val="22"/>
          <w:highlight w:val="none"/>
        </w:rPr>
        <w:t xml:space="preserve">采购活动，工程的施工单位全部为符合政策要求的中小企业（或者：服务全部由符合政策要求的中小企业承接）。相关企业（含联合体中的中小企业、签订分包意向协议的中小企业）的具体情况如下： </w:t>
      </w:r>
    </w:p>
    <w:p w14:paraId="11F4E48D">
      <w:pPr>
        <w:spacing w:line="460" w:lineRule="exact"/>
        <w:ind w:firstLine="637" w:firstLineChars="245"/>
        <w:rPr>
          <w:rFonts w:ascii="宋体" w:hAnsi="宋体" w:cs="宋体"/>
          <w:color w:val="auto"/>
          <w:spacing w:val="20"/>
          <w:sz w:val="22"/>
          <w:szCs w:val="22"/>
          <w:highlight w:val="none"/>
        </w:rPr>
      </w:pPr>
      <w:r>
        <w:rPr>
          <w:rFonts w:hint="eastAsia" w:ascii="宋体" w:hAnsi="宋体" w:cs="宋体"/>
          <w:color w:val="auto"/>
          <w:spacing w:val="20"/>
          <w:sz w:val="22"/>
          <w:szCs w:val="22"/>
          <w:highlight w:val="none"/>
        </w:rPr>
        <w:t>1.</w:t>
      </w:r>
      <w:r>
        <w:rPr>
          <w:rFonts w:hint="eastAsia" w:ascii="宋体" w:hAnsi="宋体" w:cs="宋体"/>
          <w:color w:val="auto"/>
          <w:spacing w:val="20"/>
          <w:sz w:val="22"/>
          <w:szCs w:val="22"/>
          <w:highlight w:val="none"/>
          <w:u w:val="single"/>
        </w:rPr>
        <w:t>（标的名称）</w:t>
      </w:r>
      <w:r>
        <w:rPr>
          <w:rFonts w:hint="eastAsia" w:ascii="宋体" w:hAnsi="宋体" w:cs="宋体"/>
          <w:color w:val="auto"/>
          <w:spacing w:val="20"/>
          <w:sz w:val="22"/>
          <w:szCs w:val="22"/>
          <w:highlight w:val="none"/>
        </w:rPr>
        <w:t>，属于</w:t>
      </w:r>
      <w:r>
        <w:rPr>
          <w:rFonts w:hint="eastAsia" w:ascii="宋体" w:hAnsi="宋体" w:cs="宋体"/>
          <w:color w:val="auto"/>
          <w:spacing w:val="20"/>
          <w:sz w:val="22"/>
          <w:szCs w:val="22"/>
          <w:highlight w:val="none"/>
          <w:u w:val="single"/>
        </w:rPr>
        <w:t xml:space="preserve">                </w:t>
      </w:r>
      <w:r>
        <w:rPr>
          <w:rFonts w:hint="eastAsia" w:ascii="宋体" w:hAnsi="宋体" w:cs="宋体"/>
          <w:color w:val="auto"/>
          <w:spacing w:val="20"/>
          <w:sz w:val="22"/>
          <w:szCs w:val="22"/>
          <w:highlight w:val="none"/>
        </w:rPr>
        <w:t>行业； 承建（承接）企业为</w:t>
      </w:r>
      <w:r>
        <w:rPr>
          <w:rFonts w:hint="eastAsia" w:ascii="宋体" w:hAnsi="宋体" w:cs="宋体"/>
          <w:color w:val="auto"/>
          <w:spacing w:val="20"/>
          <w:sz w:val="22"/>
          <w:szCs w:val="22"/>
          <w:highlight w:val="none"/>
          <w:u w:val="single"/>
        </w:rPr>
        <w:t>（企业名称）</w:t>
      </w:r>
      <w:r>
        <w:rPr>
          <w:rFonts w:hint="eastAsia" w:ascii="宋体" w:hAnsi="宋体" w:cs="宋体"/>
          <w:color w:val="auto"/>
          <w:spacing w:val="20"/>
          <w:sz w:val="22"/>
          <w:szCs w:val="22"/>
          <w:highlight w:val="none"/>
        </w:rPr>
        <w:t>，从业人员</w:t>
      </w:r>
      <w:r>
        <w:rPr>
          <w:rFonts w:hint="eastAsia" w:ascii="宋体" w:hAnsi="宋体" w:cs="宋体"/>
          <w:color w:val="auto"/>
          <w:spacing w:val="20"/>
          <w:sz w:val="22"/>
          <w:szCs w:val="22"/>
          <w:highlight w:val="none"/>
          <w:u w:val="single"/>
        </w:rPr>
        <w:t xml:space="preserve">    </w:t>
      </w:r>
      <w:r>
        <w:rPr>
          <w:rFonts w:hint="eastAsia" w:ascii="宋体" w:hAnsi="宋体" w:cs="宋体"/>
          <w:color w:val="auto"/>
          <w:spacing w:val="20"/>
          <w:sz w:val="22"/>
          <w:szCs w:val="22"/>
          <w:highlight w:val="none"/>
        </w:rPr>
        <w:t>人，营业收入为</w:t>
      </w:r>
      <w:r>
        <w:rPr>
          <w:rFonts w:hint="eastAsia" w:ascii="宋体" w:hAnsi="宋体" w:cs="宋体"/>
          <w:color w:val="auto"/>
          <w:spacing w:val="20"/>
          <w:sz w:val="22"/>
          <w:szCs w:val="22"/>
          <w:highlight w:val="none"/>
          <w:u w:val="single"/>
        </w:rPr>
        <w:t xml:space="preserve">    </w:t>
      </w:r>
      <w:r>
        <w:rPr>
          <w:rFonts w:hint="eastAsia" w:ascii="宋体" w:hAnsi="宋体" w:cs="宋体"/>
          <w:color w:val="auto"/>
          <w:spacing w:val="20"/>
          <w:sz w:val="22"/>
          <w:szCs w:val="22"/>
          <w:highlight w:val="none"/>
        </w:rPr>
        <w:t>万元，资产总额为</w:t>
      </w:r>
      <w:r>
        <w:rPr>
          <w:rFonts w:hint="eastAsia" w:ascii="宋体" w:hAnsi="宋体" w:cs="宋体"/>
          <w:color w:val="auto"/>
          <w:spacing w:val="20"/>
          <w:sz w:val="22"/>
          <w:szCs w:val="22"/>
          <w:highlight w:val="none"/>
          <w:u w:val="single"/>
        </w:rPr>
        <w:t xml:space="preserve">    </w:t>
      </w:r>
      <w:r>
        <w:rPr>
          <w:rFonts w:hint="eastAsia" w:ascii="宋体" w:hAnsi="宋体" w:cs="宋体"/>
          <w:color w:val="auto"/>
          <w:spacing w:val="20"/>
          <w:sz w:val="22"/>
          <w:szCs w:val="22"/>
          <w:highlight w:val="none"/>
        </w:rPr>
        <w:t>万元，属于</w:t>
      </w:r>
      <w:r>
        <w:rPr>
          <w:rFonts w:hint="eastAsia" w:ascii="宋体" w:hAnsi="宋体" w:cs="宋体"/>
          <w:color w:val="auto"/>
          <w:spacing w:val="20"/>
          <w:sz w:val="22"/>
          <w:szCs w:val="22"/>
          <w:highlight w:val="none"/>
          <w:u w:val="single"/>
        </w:rPr>
        <w:t>（中型企业、 小型企业、微型企业）</w:t>
      </w:r>
      <w:r>
        <w:rPr>
          <w:rFonts w:hint="eastAsia" w:ascii="宋体" w:hAnsi="宋体" w:cs="宋体"/>
          <w:color w:val="auto"/>
          <w:spacing w:val="20"/>
          <w:sz w:val="22"/>
          <w:szCs w:val="22"/>
          <w:highlight w:val="none"/>
        </w:rPr>
        <w:t xml:space="preserve">； </w:t>
      </w:r>
    </w:p>
    <w:p w14:paraId="73FD324A">
      <w:pPr>
        <w:spacing w:line="460" w:lineRule="exact"/>
        <w:ind w:firstLine="637" w:firstLineChars="245"/>
        <w:rPr>
          <w:rFonts w:ascii="宋体" w:hAnsi="宋体" w:cs="宋体"/>
          <w:color w:val="auto"/>
          <w:spacing w:val="20"/>
          <w:sz w:val="22"/>
          <w:szCs w:val="22"/>
          <w:highlight w:val="none"/>
        </w:rPr>
      </w:pPr>
      <w:r>
        <w:rPr>
          <w:rFonts w:hint="eastAsia" w:ascii="宋体" w:hAnsi="宋体" w:cs="宋体"/>
          <w:color w:val="auto"/>
          <w:spacing w:val="20"/>
          <w:sz w:val="22"/>
          <w:szCs w:val="22"/>
          <w:highlight w:val="none"/>
        </w:rPr>
        <w:t>2.</w:t>
      </w:r>
      <w:r>
        <w:rPr>
          <w:rFonts w:hint="eastAsia" w:ascii="宋体" w:hAnsi="宋体" w:cs="宋体"/>
          <w:color w:val="auto"/>
          <w:spacing w:val="20"/>
          <w:sz w:val="22"/>
          <w:szCs w:val="22"/>
          <w:highlight w:val="none"/>
          <w:u w:val="single"/>
        </w:rPr>
        <w:t>（标的名称）</w:t>
      </w:r>
      <w:r>
        <w:rPr>
          <w:rFonts w:hint="eastAsia" w:ascii="宋体" w:hAnsi="宋体" w:cs="宋体"/>
          <w:color w:val="auto"/>
          <w:spacing w:val="20"/>
          <w:sz w:val="22"/>
          <w:szCs w:val="22"/>
          <w:highlight w:val="none"/>
        </w:rPr>
        <w:t>，属于</w:t>
      </w:r>
      <w:r>
        <w:rPr>
          <w:rFonts w:hint="eastAsia" w:ascii="宋体" w:hAnsi="宋体" w:cs="宋体"/>
          <w:color w:val="auto"/>
          <w:spacing w:val="20"/>
          <w:sz w:val="22"/>
          <w:szCs w:val="22"/>
          <w:highlight w:val="none"/>
          <w:u w:val="single"/>
        </w:rPr>
        <w:t xml:space="preserve">                </w:t>
      </w:r>
      <w:r>
        <w:rPr>
          <w:rFonts w:hint="eastAsia" w:ascii="宋体" w:hAnsi="宋体" w:cs="宋体"/>
          <w:color w:val="auto"/>
          <w:spacing w:val="20"/>
          <w:sz w:val="22"/>
          <w:szCs w:val="22"/>
          <w:highlight w:val="none"/>
        </w:rPr>
        <w:t>行业；承建（承接）企业为</w:t>
      </w:r>
      <w:r>
        <w:rPr>
          <w:rFonts w:hint="eastAsia" w:ascii="宋体" w:hAnsi="宋体" w:cs="宋体"/>
          <w:color w:val="auto"/>
          <w:spacing w:val="20"/>
          <w:sz w:val="22"/>
          <w:szCs w:val="22"/>
          <w:highlight w:val="none"/>
          <w:u w:val="single"/>
        </w:rPr>
        <w:t>（企业名称）</w:t>
      </w:r>
      <w:r>
        <w:rPr>
          <w:rFonts w:hint="eastAsia" w:ascii="宋体" w:hAnsi="宋体" w:cs="宋体"/>
          <w:color w:val="auto"/>
          <w:spacing w:val="20"/>
          <w:sz w:val="22"/>
          <w:szCs w:val="22"/>
          <w:highlight w:val="none"/>
        </w:rPr>
        <w:t>，从业人员</w:t>
      </w:r>
      <w:r>
        <w:rPr>
          <w:rFonts w:hint="eastAsia" w:ascii="宋体" w:hAnsi="宋体" w:cs="宋体"/>
          <w:color w:val="auto"/>
          <w:spacing w:val="20"/>
          <w:sz w:val="22"/>
          <w:szCs w:val="22"/>
          <w:highlight w:val="none"/>
          <w:u w:val="single"/>
        </w:rPr>
        <w:t xml:space="preserve">   </w:t>
      </w:r>
      <w:r>
        <w:rPr>
          <w:rFonts w:hint="eastAsia" w:ascii="宋体" w:hAnsi="宋体" w:cs="宋体"/>
          <w:color w:val="auto"/>
          <w:spacing w:val="20"/>
          <w:sz w:val="22"/>
          <w:szCs w:val="22"/>
          <w:highlight w:val="none"/>
        </w:rPr>
        <w:t>人，营业收入为</w:t>
      </w:r>
      <w:r>
        <w:rPr>
          <w:rFonts w:hint="eastAsia" w:ascii="宋体" w:hAnsi="宋体" w:cs="宋体"/>
          <w:color w:val="auto"/>
          <w:spacing w:val="20"/>
          <w:sz w:val="22"/>
          <w:szCs w:val="22"/>
          <w:highlight w:val="none"/>
          <w:u w:val="single"/>
        </w:rPr>
        <w:t xml:space="preserve">    </w:t>
      </w:r>
      <w:r>
        <w:rPr>
          <w:rFonts w:hint="eastAsia" w:ascii="宋体" w:hAnsi="宋体" w:cs="宋体"/>
          <w:color w:val="auto"/>
          <w:spacing w:val="20"/>
          <w:sz w:val="22"/>
          <w:szCs w:val="22"/>
          <w:highlight w:val="none"/>
        </w:rPr>
        <w:t>万元，资产总额为</w:t>
      </w:r>
      <w:r>
        <w:rPr>
          <w:rFonts w:hint="eastAsia" w:ascii="宋体" w:hAnsi="宋体" w:cs="宋体"/>
          <w:color w:val="auto"/>
          <w:spacing w:val="20"/>
          <w:sz w:val="22"/>
          <w:szCs w:val="22"/>
          <w:highlight w:val="none"/>
          <w:u w:val="single"/>
        </w:rPr>
        <w:t xml:space="preserve">    </w:t>
      </w:r>
      <w:r>
        <w:rPr>
          <w:rFonts w:hint="eastAsia" w:ascii="宋体" w:hAnsi="宋体" w:cs="宋体"/>
          <w:color w:val="auto"/>
          <w:spacing w:val="20"/>
          <w:sz w:val="22"/>
          <w:szCs w:val="22"/>
          <w:highlight w:val="none"/>
        </w:rPr>
        <w:t>万元，属于</w:t>
      </w:r>
      <w:r>
        <w:rPr>
          <w:rFonts w:hint="eastAsia" w:ascii="宋体" w:hAnsi="宋体" w:cs="宋体"/>
          <w:color w:val="auto"/>
          <w:spacing w:val="20"/>
          <w:sz w:val="22"/>
          <w:szCs w:val="22"/>
          <w:highlight w:val="none"/>
          <w:u w:val="single"/>
        </w:rPr>
        <w:t>（中型企业、 小型企业、微型企业）</w:t>
      </w:r>
      <w:r>
        <w:rPr>
          <w:rFonts w:hint="eastAsia" w:ascii="宋体" w:hAnsi="宋体" w:cs="宋体"/>
          <w:color w:val="auto"/>
          <w:spacing w:val="20"/>
          <w:sz w:val="22"/>
          <w:szCs w:val="22"/>
          <w:highlight w:val="none"/>
        </w:rPr>
        <w:t>；</w:t>
      </w:r>
    </w:p>
    <w:p w14:paraId="1F95175E">
      <w:pPr>
        <w:spacing w:line="460" w:lineRule="exact"/>
        <w:ind w:firstLine="639" w:firstLineChars="245"/>
        <w:rPr>
          <w:rFonts w:ascii="宋体" w:hAnsi="宋体" w:cs="宋体"/>
          <w:b/>
          <w:bCs/>
          <w:color w:val="auto"/>
          <w:spacing w:val="20"/>
          <w:sz w:val="22"/>
          <w:szCs w:val="22"/>
          <w:highlight w:val="none"/>
        </w:rPr>
      </w:pPr>
      <w:r>
        <w:rPr>
          <w:rFonts w:hint="eastAsia" w:ascii="宋体" w:hAnsi="宋体" w:cs="宋体"/>
          <w:b/>
          <w:bCs/>
          <w:color w:val="auto"/>
          <w:spacing w:val="20"/>
          <w:sz w:val="22"/>
          <w:szCs w:val="22"/>
          <w:highlight w:val="none"/>
        </w:rPr>
        <w:t>……</w:t>
      </w:r>
    </w:p>
    <w:p w14:paraId="12E67E13">
      <w:pPr>
        <w:spacing w:line="460" w:lineRule="exact"/>
        <w:ind w:firstLine="637" w:firstLineChars="245"/>
        <w:rPr>
          <w:rFonts w:ascii="宋体" w:hAnsi="宋体" w:cs="宋体"/>
          <w:color w:val="auto"/>
          <w:spacing w:val="20"/>
          <w:sz w:val="22"/>
          <w:szCs w:val="22"/>
          <w:highlight w:val="none"/>
        </w:rPr>
      </w:pPr>
      <w:r>
        <w:rPr>
          <w:rFonts w:hint="eastAsia" w:ascii="宋体" w:hAnsi="宋体" w:cs="宋体"/>
          <w:color w:val="auto"/>
          <w:spacing w:val="20"/>
          <w:sz w:val="22"/>
          <w:szCs w:val="22"/>
          <w:highlight w:val="none"/>
        </w:rPr>
        <w:t xml:space="preserve">以上企业，不属于大企业的分支机构，不存在控股股东为大企业的情形，也不存在与大企业的负责人为同一人的情形。本企业对上述声明内容的真实性负责。如有虚假，将依法承担相应责任。 </w:t>
      </w:r>
    </w:p>
    <w:p w14:paraId="0CA166EB">
      <w:pPr>
        <w:spacing w:line="460" w:lineRule="exact"/>
        <w:jc w:val="center"/>
        <w:rPr>
          <w:rFonts w:ascii="宋体" w:hAnsi="宋体" w:cs="宋体"/>
          <w:color w:val="auto"/>
          <w:spacing w:val="20"/>
          <w:sz w:val="22"/>
          <w:szCs w:val="22"/>
          <w:highlight w:val="none"/>
        </w:rPr>
      </w:pPr>
      <w:r>
        <w:rPr>
          <w:rFonts w:hint="eastAsia" w:ascii="宋体" w:hAnsi="宋体" w:cs="宋体"/>
          <w:color w:val="auto"/>
          <w:spacing w:val="20"/>
          <w:sz w:val="22"/>
          <w:szCs w:val="22"/>
          <w:highlight w:val="none"/>
        </w:rPr>
        <w:t xml:space="preserve">           企业名称（盖章）：</w:t>
      </w:r>
    </w:p>
    <w:p w14:paraId="2D1B5378">
      <w:pPr>
        <w:spacing w:line="460" w:lineRule="exact"/>
        <w:jc w:val="center"/>
        <w:rPr>
          <w:rFonts w:ascii="宋体" w:hAnsi="宋体" w:cs="宋体"/>
          <w:color w:val="auto"/>
          <w:spacing w:val="20"/>
          <w:sz w:val="22"/>
          <w:szCs w:val="22"/>
          <w:highlight w:val="none"/>
        </w:rPr>
      </w:pPr>
      <w:r>
        <w:rPr>
          <w:rFonts w:hint="eastAsia" w:ascii="宋体" w:hAnsi="宋体" w:cs="宋体"/>
          <w:color w:val="auto"/>
          <w:spacing w:val="20"/>
          <w:sz w:val="22"/>
          <w:szCs w:val="22"/>
          <w:highlight w:val="none"/>
        </w:rPr>
        <w:t xml:space="preserve">  日 期：</w:t>
      </w:r>
    </w:p>
    <w:p w14:paraId="560A25BA">
      <w:pPr>
        <w:bidi w:val="0"/>
        <w:rPr>
          <w:rFonts w:hint="eastAsia"/>
          <w:color w:val="auto"/>
          <w:highlight w:val="none"/>
        </w:rPr>
      </w:pPr>
    </w:p>
    <w:p w14:paraId="004C0A75">
      <w:pP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br w:type="page"/>
      </w:r>
    </w:p>
    <w:p w14:paraId="3941EF42">
      <w:pPr>
        <w:spacing w:line="400" w:lineRule="exact"/>
        <w:jc w:val="center"/>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（2）监狱企业的相关证明材料</w:t>
      </w:r>
    </w:p>
    <w:p w14:paraId="3D3418B7">
      <w:pPr>
        <w:spacing w:line="460" w:lineRule="exact"/>
        <w:ind w:firstLine="466" w:firstLineChars="200"/>
        <w:rPr>
          <w:rFonts w:hint="eastAsia" w:ascii="新宋体" w:hAnsi="新宋体" w:eastAsia="新宋体" w:cs="新宋体"/>
          <w:b/>
          <w:bCs/>
          <w:color w:val="auto"/>
          <w:sz w:val="22"/>
          <w:szCs w:val="22"/>
          <w:highlight w:val="none"/>
          <w:u w:val="single"/>
          <w:lang w:val="zh-CN"/>
        </w:rPr>
      </w:pPr>
      <w:r>
        <w:rPr>
          <w:rFonts w:hint="eastAsia" w:ascii="新宋体" w:hAnsi="新宋体" w:eastAsia="新宋体" w:cs="新宋体"/>
          <w:b/>
          <w:color w:val="auto"/>
          <w:spacing w:val="6"/>
          <w:sz w:val="22"/>
          <w:szCs w:val="22"/>
          <w:highlight w:val="none"/>
        </w:rPr>
        <w:t>需提供相关证明材料，</w:t>
      </w:r>
      <w:r>
        <w:rPr>
          <w:rFonts w:hint="eastAsia" w:ascii="新宋体" w:hAnsi="新宋体" w:eastAsia="新宋体" w:cs="新宋体"/>
          <w:b/>
          <w:bCs/>
          <w:color w:val="auto"/>
          <w:sz w:val="22"/>
          <w:szCs w:val="22"/>
          <w:highlight w:val="none"/>
          <w:u w:val="single"/>
          <w:lang w:val="zh-CN"/>
        </w:rPr>
        <w:t>未提供证明材料或不能清楚辨析</w:t>
      </w:r>
      <w:r>
        <w:rPr>
          <w:rFonts w:hint="eastAsia" w:ascii="新宋体" w:hAnsi="新宋体" w:eastAsia="新宋体" w:cs="新宋体"/>
          <w:b/>
          <w:bCs/>
          <w:color w:val="auto"/>
          <w:sz w:val="22"/>
          <w:szCs w:val="22"/>
          <w:highlight w:val="none"/>
          <w:u w:val="single"/>
        </w:rPr>
        <w:t>是监狱企业的按非监狱企业处理，所提供的证明材料应为最新的最近的</w:t>
      </w:r>
      <w:r>
        <w:rPr>
          <w:rFonts w:hint="eastAsia" w:ascii="新宋体" w:hAnsi="新宋体" w:eastAsia="新宋体" w:cs="新宋体"/>
          <w:b/>
          <w:bCs/>
          <w:color w:val="auto"/>
          <w:sz w:val="22"/>
          <w:szCs w:val="22"/>
          <w:highlight w:val="none"/>
          <w:u w:val="single"/>
          <w:lang w:val="zh-CN"/>
        </w:rPr>
        <w:t>。</w:t>
      </w:r>
    </w:p>
    <w:p w14:paraId="2350BE77">
      <w:pPr>
        <w:adjustRightInd w:val="0"/>
        <w:snapToGrid w:val="0"/>
        <w:spacing w:line="300" w:lineRule="auto"/>
        <w:jc w:val="center"/>
        <w:rPr>
          <w:rFonts w:hint="eastAsia" w:ascii="新宋体" w:hAnsi="新宋体" w:eastAsia="新宋体" w:cs="新宋体"/>
          <w:b/>
          <w:color w:val="auto"/>
          <w:spacing w:val="6"/>
          <w:sz w:val="22"/>
          <w:szCs w:val="22"/>
          <w:highlight w:val="none"/>
        </w:rPr>
      </w:pPr>
    </w:p>
    <w:p w14:paraId="1277DEB0">
      <w:pPr>
        <w:adjustRightInd w:val="0"/>
        <w:snapToGrid w:val="0"/>
        <w:spacing w:line="300" w:lineRule="auto"/>
        <w:jc w:val="center"/>
        <w:rPr>
          <w:rFonts w:hint="eastAsia" w:ascii="新宋体" w:hAnsi="新宋体" w:eastAsia="新宋体" w:cs="新宋体"/>
          <w:b/>
          <w:color w:val="auto"/>
          <w:spacing w:val="6"/>
          <w:sz w:val="22"/>
          <w:szCs w:val="22"/>
          <w:highlight w:val="none"/>
        </w:rPr>
      </w:pPr>
    </w:p>
    <w:p w14:paraId="6C7233C0">
      <w:pPr>
        <w:adjustRightInd w:val="0"/>
        <w:snapToGrid w:val="0"/>
        <w:spacing w:line="300" w:lineRule="auto"/>
        <w:jc w:val="center"/>
        <w:rPr>
          <w:rFonts w:hint="eastAsia" w:ascii="新宋体" w:hAnsi="新宋体" w:eastAsia="新宋体" w:cs="新宋体"/>
          <w:b/>
          <w:color w:val="auto"/>
          <w:spacing w:val="6"/>
          <w:sz w:val="22"/>
          <w:szCs w:val="22"/>
          <w:highlight w:val="none"/>
        </w:rPr>
      </w:pPr>
    </w:p>
    <w:p w14:paraId="4F4F275E">
      <w:pPr>
        <w:adjustRightInd w:val="0"/>
        <w:snapToGrid w:val="0"/>
        <w:spacing w:line="300" w:lineRule="auto"/>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b/>
          <w:color w:val="auto"/>
          <w:spacing w:val="6"/>
          <w:sz w:val="22"/>
          <w:szCs w:val="22"/>
          <w:highlight w:val="none"/>
        </w:rPr>
        <w:t>监狱企业声明函</w:t>
      </w:r>
    </w:p>
    <w:p w14:paraId="0991F9AF">
      <w:pPr>
        <w:snapToGrid w:val="0"/>
        <w:spacing w:line="460" w:lineRule="exact"/>
        <w:jc w:val="center"/>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【非监狱企业不用提供】</w:t>
      </w:r>
    </w:p>
    <w:p w14:paraId="3A7009D7">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本企业郑重声明，根据《关于政府采购支持监狱企业发展有关问题的通知》（财库[2014]68号）的规定，本企业为监狱企业。 </w:t>
      </w:r>
    </w:p>
    <w:p w14:paraId="5E0C76BA">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根据上述标准，我企业属于监狱企业的理由为：</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 xml:space="preserve">。 </w:t>
      </w:r>
    </w:p>
    <w:p w14:paraId="13C16095">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本企业为参加（招标项目名称</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）（招标编号</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 xml:space="preserve">）采购活动并承担本工程。 </w:t>
      </w:r>
    </w:p>
    <w:p w14:paraId="76E824B8">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本企业对上述声明的真实性负责。如有虚假，将依法承担相应责任。  </w:t>
      </w:r>
    </w:p>
    <w:p w14:paraId="6CAD26DB">
      <w:pPr>
        <w:adjustRightInd w:val="0"/>
        <w:snapToGrid w:val="0"/>
        <w:spacing w:line="460" w:lineRule="exact"/>
        <w:ind w:firstLine="464"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投标人全称（盖章）</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 xml:space="preserve">                   </w:t>
      </w:r>
    </w:p>
    <w:p w14:paraId="630CC246">
      <w:pPr>
        <w:adjustRightInd w:val="0"/>
        <w:snapToGrid w:val="0"/>
        <w:spacing w:line="460" w:lineRule="exact"/>
        <w:ind w:firstLine="440"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xml:space="preserve">日期：    年    月   日 </w:t>
      </w:r>
    </w:p>
    <w:p w14:paraId="69BB80ED">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监狱企业参加政府采购活动时，应当提供由省级以上监狱管理局、戒毒管理局（含新疆生产建设兵团）出具的属于监狱企业的证明文件。 </w:t>
      </w:r>
    </w:p>
    <w:p w14:paraId="527ADA8D">
      <w:pPr>
        <w:adjustRightInd w:val="0"/>
        <w:snapToGrid w:val="0"/>
        <w:spacing w:line="460" w:lineRule="exact"/>
        <w:ind w:firstLine="464" w:firstLineChars="200"/>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3A64987C">
      <w:pPr>
        <w:spacing w:line="460" w:lineRule="exact"/>
        <w:rPr>
          <w:rFonts w:hint="eastAsia" w:ascii="新宋体" w:hAnsi="新宋体" w:eastAsia="新宋体" w:cs="新宋体"/>
          <w:color w:val="auto"/>
          <w:spacing w:val="20"/>
          <w:sz w:val="22"/>
          <w:szCs w:val="22"/>
          <w:highlight w:val="none"/>
        </w:rPr>
      </w:pPr>
    </w:p>
    <w:p w14:paraId="10929A69">
      <w:pPr>
        <w:spacing w:line="460" w:lineRule="exact"/>
        <w:rPr>
          <w:rFonts w:hint="eastAsia" w:ascii="新宋体" w:hAnsi="新宋体" w:eastAsia="新宋体" w:cs="新宋体"/>
          <w:color w:val="auto"/>
          <w:spacing w:val="20"/>
          <w:sz w:val="22"/>
          <w:szCs w:val="22"/>
          <w:highlight w:val="none"/>
        </w:rPr>
      </w:pPr>
    </w:p>
    <w:p w14:paraId="592BB5F8">
      <w:pPr>
        <w:spacing w:line="380" w:lineRule="exact"/>
        <w:rPr>
          <w:rFonts w:hint="eastAsia" w:ascii="新宋体" w:hAnsi="新宋体" w:eastAsia="新宋体" w:cs="新宋体"/>
          <w:color w:val="auto"/>
          <w:sz w:val="22"/>
          <w:szCs w:val="22"/>
          <w:highlight w:val="none"/>
        </w:rPr>
      </w:pPr>
    </w:p>
    <w:p w14:paraId="4970661D">
      <w:pPr>
        <w:spacing w:line="380" w:lineRule="exact"/>
        <w:rPr>
          <w:rFonts w:hint="eastAsia" w:ascii="新宋体" w:hAnsi="新宋体" w:eastAsia="新宋体" w:cs="新宋体"/>
          <w:color w:val="auto"/>
          <w:sz w:val="22"/>
          <w:szCs w:val="22"/>
          <w:highlight w:val="none"/>
        </w:rPr>
      </w:pPr>
    </w:p>
    <w:p w14:paraId="0371595A">
      <w:pPr>
        <w:spacing w:line="380" w:lineRule="exact"/>
        <w:rPr>
          <w:rFonts w:hint="eastAsia" w:ascii="新宋体" w:hAnsi="新宋体" w:eastAsia="新宋体" w:cs="新宋体"/>
          <w:color w:val="auto"/>
          <w:sz w:val="22"/>
          <w:szCs w:val="22"/>
          <w:highlight w:val="none"/>
        </w:rPr>
      </w:pPr>
    </w:p>
    <w:p w14:paraId="4D317EFE">
      <w:pPr>
        <w:spacing w:line="380" w:lineRule="exact"/>
        <w:rPr>
          <w:rFonts w:hint="eastAsia" w:ascii="新宋体" w:hAnsi="新宋体" w:eastAsia="新宋体" w:cs="新宋体"/>
          <w:color w:val="auto"/>
          <w:sz w:val="22"/>
          <w:szCs w:val="22"/>
          <w:highlight w:val="none"/>
        </w:rPr>
      </w:pPr>
    </w:p>
    <w:p w14:paraId="512CC6C3">
      <w:pPr>
        <w:spacing w:line="380" w:lineRule="exact"/>
        <w:rPr>
          <w:rFonts w:hint="eastAsia" w:ascii="新宋体" w:hAnsi="新宋体" w:eastAsia="新宋体" w:cs="新宋体"/>
          <w:color w:val="auto"/>
          <w:sz w:val="22"/>
          <w:szCs w:val="22"/>
          <w:highlight w:val="none"/>
        </w:rPr>
      </w:pPr>
    </w:p>
    <w:p w14:paraId="2D50DDFD">
      <w:pPr>
        <w:spacing w:line="380" w:lineRule="exact"/>
        <w:rPr>
          <w:rFonts w:hint="eastAsia" w:ascii="新宋体" w:hAnsi="新宋体" w:eastAsia="新宋体" w:cs="新宋体"/>
          <w:color w:val="auto"/>
          <w:sz w:val="22"/>
          <w:szCs w:val="22"/>
          <w:highlight w:val="none"/>
        </w:rPr>
      </w:pPr>
    </w:p>
    <w:p w14:paraId="62D3268B">
      <w:pPr>
        <w:spacing w:line="380" w:lineRule="exact"/>
        <w:rPr>
          <w:rFonts w:hint="eastAsia" w:ascii="新宋体" w:hAnsi="新宋体" w:eastAsia="新宋体" w:cs="新宋体"/>
          <w:color w:val="auto"/>
          <w:sz w:val="22"/>
          <w:szCs w:val="22"/>
          <w:highlight w:val="none"/>
        </w:rPr>
      </w:pPr>
    </w:p>
    <w:p w14:paraId="72152CE6">
      <w:pPr>
        <w:spacing w:line="380" w:lineRule="exact"/>
        <w:rPr>
          <w:rFonts w:hint="eastAsia" w:ascii="新宋体" w:hAnsi="新宋体" w:eastAsia="新宋体" w:cs="新宋体"/>
          <w:color w:val="auto"/>
          <w:sz w:val="22"/>
          <w:szCs w:val="22"/>
          <w:highlight w:val="none"/>
        </w:rPr>
      </w:pPr>
    </w:p>
    <w:p w14:paraId="07E92B69">
      <w:pPr>
        <w:pStyle w:val="24"/>
        <w:rPr>
          <w:rFonts w:hint="eastAsia" w:ascii="新宋体" w:hAnsi="新宋体" w:eastAsia="新宋体" w:cs="新宋体"/>
          <w:color w:val="auto"/>
          <w:highlight w:val="none"/>
        </w:rPr>
      </w:pPr>
    </w:p>
    <w:p w14:paraId="7BC19054">
      <w:pPr>
        <w:pStyle w:val="24"/>
        <w:rPr>
          <w:rFonts w:hint="eastAsia" w:ascii="新宋体" w:hAnsi="新宋体" w:eastAsia="新宋体" w:cs="新宋体"/>
          <w:color w:val="auto"/>
          <w:highlight w:val="none"/>
        </w:rPr>
      </w:pPr>
    </w:p>
    <w:p w14:paraId="4BE7DA14">
      <w:pPr>
        <w:spacing w:line="400" w:lineRule="exact"/>
        <w:jc w:val="center"/>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（3）残疾人福利性单位的相关证明材料</w:t>
      </w:r>
    </w:p>
    <w:p w14:paraId="399EA307">
      <w:pPr>
        <w:spacing w:line="460" w:lineRule="exact"/>
        <w:ind w:firstLine="520" w:firstLineChars="200"/>
        <w:rPr>
          <w:rFonts w:hint="eastAsia" w:ascii="新宋体" w:hAnsi="新宋体" w:eastAsia="新宋体" w:cs="新宋体"/>
          <w:color w:val="auto"/>
          <w:spacing w:val="20"/>
          <w:sz w:val="22"/>
          <w:szCs w:val="22"/>
          <w:highlight w:val="none"/>
        </w:rPr>
      </w:pPr>
    </w:p>
    <w:p w14:paraId="2F831DFE">
      <w:pPr>
        <w:spacing w:line="460" w:lineRule="exact"/>
        <w:rPr>
          <w:rFonts w:hint="eastAsia" w:ascii="新宋体" w:hAnsi="新宋体" w:eastAsia="新宋体" w:cs="新宋体"/>
          <w:color w:val="auto"/>
          <w:spacing w:val="20"/>
          <w:sz w:val="22"/>
          <w:szCs w:val="22"/>
          <w:highlight w:val="none"/>
        </w:rPr>
      </w:pPr>
    </w:p>
    <w:p w14:paraId="3047ADCF">
      <w:pPr>
        <w:spacing w:line="460" w:lineRule="exact"/>
        <w:rPr>
          <w:rFonts w:hint="eastAsia" w:ascii="新宋体" w:hAnsi="新宋体" w:eastAsia="新宋体" w:cs="新宋体"/>
          <w:color w:val="auto"/>
          <w:spacing w:val="20"/>
          <w:sz w:val="22"/>
          <w:szCs w:val="22"/>
          <w:highlight w:val="none"/>
        </w:rPr>
      </w:pPr>
    </w:p>
    <w:p w14:paraId="01C1C707">
      <w:pPr>
        <w:spacing w:line="460" w:lineRule="exact"/>
        <w:jc w:val="center"/>
        <w:rPr>
          <w:rFonts w:hint="eastAsia" w:ascii="新宋体" w:hAnsi="新宋体" w:eastAsia="新宋体" w:cs="新宋体"/>
          <w:color w:val="auto"/>
          <w:spacing w:val="6"/>
          <w:sz w:val="22"/>
          <w:szCs w:val="22"/>
          <w:highlight w:val="none"/>
        </w:rPr>
      </w:pPr>
      <w:r>
        <w:rPr>
          <w:rFonts w:hint="eastAsia" w:ascii="新宋体" w:hAnsi="新宋体" w:eastAsia="新宋体" w:cs="新宋体"/>
          <w:b/>
          <w:color w:val="auto"/>
          <w:spacing w:val="6"/>
          <w:sz w:val="22"/>
          <w:szCs w:val="22"/>
          <w:highlight w:val="none"/>
        </w:rPr>
        <w:t>残疾人福利性单位声明函</w:t>
      </w:r>
    </w:p>
    <w:p w14:paraId="0D38AF17">
      <w:pPr>
        <w:widowControl/>
        <w:adjustRightInd w:val="0"/>
        <w:snapToGrid w:val="0"/>
        <w:spacing w:line="460" w:lineRule="exact"/>
        <w:ind w:firstLine="440" w:firstLineChars="200"/>
        <w:jc w:val="cente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【不属于残疾人福利性单位的无需填写、递交】</w:t>
      </w:r>
    </w:p>
    <w:p w14:paraId="555A5607">
      <w:pPr>
        <w:snapToGrid w:val="0"/>
        <w:spacing w:line="460" w:lineRule="exact"/>
        <w:jc w:val="center"/>
        <w:rPr>
          <w:rFonts w:hint="eastAsia" w:ascii="新宋体" w:hAnsi="新宋体" w:eastAsia="新宋体" w:cs="新宋体"/>
          <w:b/>
          <w:bCs/>
          <w:color w:val="auto"/>
          <w:sz w:val="22"/>
          <w:szCs w:val="22"/>
          <w:highlight w:val="none"/>
        </w:rPr>
      </w:pPr>
    </w:p>
    <w:p w14:paraId="40251E38">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本单位郑重声明，根据《财政部民政部中国残疾人联合会关于促进残疾人就业政府采购政策的通知》（财库</w:t>
      </w:r>
      <w:r>
        <w:rPr>
          <w:rFonts w:hint="eastAsia" w:ascii="新宋体" w:hAnsi="新宋体" w:eastAsia="新宋体" w:cs="新宋体"/>
          <w:color w:val="auto"/>
          <w:sz w:val="22"/>
          <w:szCs w:val="22"/>
          <w:highlight w:val="none"/>
        </w:rPr>
        <w:t>〔2017〕141</w:t>
      </w:r>
      <w:r>
        <w:rPr>
          <w:rFonts w:hint="eastAsia" w:ascii="新宋体" w:hAnsi="新宋体" w:eastAsia="新宋体" w:cs="新宋体"/>
          <w:color w:val="auto"/>
          <w:spacing w:val="6"/>
          <w:sz w:val="22"/>
          <w:szCs w:val="22"/>
          <w:highlight w:val="none"/>
        </w:rPr>
        <w:t>号）的规定，本单位为符合条件的残疾人福利性单位，且本单位参加</w:t>
      </w:r>
      <w:r>
        <w:rPr>
          <w:rFonts w:hint="eastAsia" w:ascii="新宋体" w:hAnsi="新宋体" w:eastAsia="新宋体" w:cs="新宋体"/>
          <w:color w:val="auto"/>
          <w:spacing w:val="6"/>
          <w:sz w:val="22"/>
          <w:szCs w:val="22"/>
          <w:highlight w:val="none"/>
          <w:u w:val="single"/>
        </w:rPr>
        <w:t>（招标人名称）</w:t>
      </w:r>
      <w:r>
        <w:rPr>
          <w:rFonts w:hint="eastAsia" w:ascii="新宋体" w:hAnsi="新宋体" w:eastAsia="新宋体" w:cs="新宋体"/>
          <w:color w:val="auto"/>
          <w:spacing w:val="6"/>
          <w:sz w:val="22"/>
          <w:szCs w:val="22"/>
          <w:highlight w:val="none"/>
        </w:rPr>
        <w:t>单位的</w:t>
      </w:r>
      <w:r>
        <w:rPr>
          <w:rFonts w:hint="eastAsia" w:ascii="新宋体" w:hAnsi="新宋体" w:eastAsia="新宋体" w:cs="新宋体"/>
          <w:color w:val="auto"/>
          <w:spacing w:val="6"/>
          <w:sz w:val="22"/>
          <w:szCs w:val="22"/>
          <w:highlight w:val="none"/>
          <w:u w:val="single"/>
        </w:rPr>
        <w:t>（招标项目名称）</w:t>
      </w:r>
      <w:r>
        <w:rPr>
          <w:rFonts w:hint="eastAsia" w:ascii="新宋体" w:hAnsi="新宋体" w:eastAsia="新宋体" w:cs="新宋体"/>
          <w:color w:val="auto"/>
          <w:spacing w:val="6"/>
          <w:sz w:val="22"/>
          <w:szCs w:val="22"/>
          <w:highlight w:val="none"/>
        </w:rPr>
        <w:t>项目采购活动提供本单位制造的货物（由本单位承担工程/提供服务），或者提供其他残疾人福利性单位制造的货物（不包括使用非残疾人福利性单位注册商标的货物）。</w:t>
      </w:r>
    </w:p>
    <w:p w14:paraId="0873A072">
      <w:pPr>
        <w:snapToGrid w:val="0"/>
        <w:spacing w:line="460" w:lineRule="exact"/>
        <w:ind w:firstLine="464" w:firstLineChars="200"/>
        <w:rPr>
          <w:rFonts w:hint="eastAsia"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本单位对上述声明的真实性负责。如有虚假，将依法承担相应责任。</w:t>
      </w:r>
    </w:p>
    <w:p w14:paraId="04FD4C8F">
      <w:pPr>
        <w:snapToGrid w:val="0"/>
        <w:spacing w:line="460" w:lineRule="exact"/>
        <w:ind w:firstLine="464" w:firstLineChars="200"/>
        <w:rPr>
          <w:rFonts w:hint="eastAsia" w:ascii="新宋体" w:hAnsi="新宋体" w:eastAsia="新宋体" w:cs="新宋体"/>
          <w:color w:val="auto"/>
          <w:spacing w:val="6"/>
          <w:sz w:val="22"/>
          <w:szCs w:val="22"/>
          <w:highlight w:val="none"/>
        </w:rPr>
      </w:pPr>
    </w:p>
    <w:p w14:paraId="3A54C50B">
      <w:pPr>
        <w:snapToGrid w:val="0"/>
        <w:spacing w:line="460" w:lineRule="exact"/>
        <w:ind w:firstLine="464" w:firstLineChars="200"/>
        <w:rPr>
          <w:rFonts w:hint="eastAsia" w:ascii="新宋体" w:hAnsi="新宋体" w:eastAsia="新宋体" w:cs="新宋体"/>
          <w:color w:val="auto"/>
          <w:spacing w:val="6"/>
          <w:sz w:val="22"/>
          <w:szCs w:val="22"/>
          <w:highlight w:val="none"/>
        </w:rPr>
      </w:pPr>
    </w:p>
    <w:p w14:paraId="51145A6C">
      <w:pPr>
        <w:adjustRightInd w:val="0"/>
        <w:snapToGrid w:val="0"/>
        <w:spacing w:line="460" w:lineRule="exact"/>
        <w:ind w:firstLine="440" w:firstLineChars="200"/>
        <w:rPr>
          <w:rFonts w:hint="eastAsia"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rPr>
        <w:t>投标人全称（盖章）：</w:t>
      </w:r>
      <w:r>
        <w:rPr>
          <w:rFonts w:hint="eastAsia" w:ascii="新宋体" w:hAnsi="新宋体" w:eastAsia="新宋体" w:cs="新宋体"/>
          <w:color w:val="auto"/>
          <w:kern w:val="0"/>
          <w:sz w:val="22"/>
          <w:szCs w:val="22"/>
          <w:highlight w:val="none"/>
          <w:u w:val="single"/>
        </w:rPr>
        <w:t xml:space="preserve">                    </w:t>
      </w:r>
    </w:p>
    <w:p w14:paraId="105EFAEA">
      <w:pPr>
        <w:pStyle w:val="24"/>
        <w:spacing w:line="460" w:lineRule="exact"/>
        <w:ind w:left="877" w:leftChars="208"/>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58881DB0">
      <w:pPr>
        <w:bidi w:val="0"/>
        <w:rPr>
          <w:rFonts w:hint="eastAsia"/>
          <w:color w:val="auto"/>
          <w:highlight w:val="none"/>
        </w:rPr>
      </w:pPr>
    </w:p>
    <w:p w14:paraId="6B339B27">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cs="新宋体"/>
          <w:b/>
          <w:bCs/>
          <w:color w:val="auto"/>
          <w:sz w:val="22"/>
          <w:szCs w:val="22"/>
          <w:highlight w:val="none"/>
        </w:rPr>
        <w:br w:type="page"/>
      </w:r>
      <w:r>
        <w:rPr>
          <w:rFonts w:hint="eastAsia" w:ascii="新宋体" w:hAnsi="新宋体" w:eastAsia="新宋体"/>
          <w:b/>
          <w:bCs/>
          <w:color w:val="auto"/>
          <w:sz w:val="28"/>
          <w:szCs w:val="28"/>
          <w:highlight w:val="none"/>
          <w:lang w:val="en-US" w:eastAsia="zh-CN"/>
        </w:rPr>
        <w:t>5、采购活动现场确认声明书</w:t>
      </w:r>
    </w:p>
    <w:p w14:paraId="64814E72">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kern w:val="0"/>
          <w:sz w:val="22"/>
          <w:szCs w:val="22"/>
          <w:highlight w:val="none"/>
        </w:rPr>
        <w:t>温州历程招标有限公司：</w:t>
      </w:r>
    </w:p>
    <w:p w14:paraId="38E9416E">
      <w:pPr>
        <w:spacing w:line="460" w:lineRule="exact"/>
        <w:ind w:firstLine="440" w:firstLineChars="200"/>
        <w:rPr>
          <w:rFonts w:hint="eastAsia" w:ascii="新宋体" w:hAnsi="新宋体" w:eastAsia="新宋体" w:cs="新宋体"/>
          <w:color w:val="auto"/>
          <w:highlight w:val="none"/>
        </w:rPr>
      </w:pPr>
      <w:r>
        <w:rPr>
          <w:rFonts w:hint="eastAsia" w:ascii="新宋体" w:hAnsi="新宋体" w:eastAsia="新宋体" w:cs="新宋体"/>
          <w:color w:val="auto"/>
          <w:kern w:val="0"/>
          <w:sz w:val="22"/>
          <w:szCs w:val="22"/>
          <w:highlight w:val="none"/>
          <w:lang w:bidi="ar"/>
        </w:rPr>
        <w:t>本人经由</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（供应商名称）负责人</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（姓名）合法授权参加</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（编号：</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u w:val="single"/>
          <w:lang w:val="en-US" w:eastAsia="zh-CN" w:bidi="ar"/>
        </w:rPr>
        <w:t xml:space="preserve">  </w:t>
      </w:r>
      <w:r>
        <w:rPr>
          <w:rFonts w:hint="eastAsia" w:ascii="新宋体" w:hAnsi="新宋体" w:eastAsia="新宋体" w:cs="新宋体"/>
          <w:color w:val="auto"/>
          <w:kern w:val="0"/>
          <w:sz w:val="22"/>
          <w:szCs w:val="22"/>
          <w:highlight w:val="none"/>
          <w:lang w:bidi="ar"/>
        </w:rPr>
        <w:t>）采购活动，经与本单位法人代表</w:t>
      </w:r>
      <w:r>
        <w:rPr>
          <w:rFonts w:hint="eastAsia" w:ascii="新宋体" w:hAnsi="新宋体" w:eastAsia="新宋体" w:cs="新宋体"/>
          <w:color w:val="auto"/>
          <w:kern w:val="0"/>
          <w:sz w:val="22"/>
          <w:szCs w:val="22"/>
          <w:highlight w:val="none"/>
          <w:u w:val="single"/>
          <w:lang w:bidi="ar"/>
        </w:rPr>
        <w:t>（负责人）</w:t>
      </w:r>
      <w:r>
        <w:rPr>
          <w:rFonts w:hint="eastAsia" w:ascii="新宋体" w:hAnsi="新宋体" w:eastAsia="新宋体" w:cs="新宋体"/>
          <w:color w:val="auto"/>
          <w:kern w:val="0"/>
          <w:sz w:val="22"/>
          <w:szCs w:val="22"/>
          <w:highlight w:val="none"/>
          <w:lang w:bidi="ar"/>
        </w:rPr>
        <w:t>联系确认，现就有关公平竞争事项郑重声明如下：</w:t>
      </w:r>
    </w:p>
    <w:p w14:paraId="571B0124">
      <w:pPr>
        <w:spacing w:line="460" w:lineRule="exact"/>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（一）本单位与采购人之间 □不存在利害关系 □存在下列利害关系：</w:t>
      </w:r>
    </w:p>
    <w:p w14:paraId="63758D6C">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A.投资关系    </w:t>
      </w:r>
    </w:p>
    <w:p w14:paraId="61A38ED8">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B.行政隶属关系    </w:t>
      </w:r>
    </w:p>
    <w:p w14:paraId="73612689">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C.业务指导关系  </w:t>
      </w:r>
    </w:p>
    <w:p w14:paraId="784AADE2">
      <w:pPr>
        <w:spacing w:line="460" w:lineRule="exact"/>
        <w:ind w:firstLine="660" w:firstLineChars="300"/>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D.其他可能影响采购公正的利害关系</w:t>
      </w:r>
      <w:r>
        <w:rPr>
          <w:rStyle w:val="117"/>
          <w:rFonts w:hint="eastAsia" w:ascii="新宋体" w:hAnsi="新宋体" w:eastAsia="新宋体" w:cs="新宋体"/>
          <w:b w:val="0"/>
          <w:bCs/>
          <w:color w:val="auto"/>
          <w:sz w:val="22"/>
          <w:szCs w:val="22"/>
          <w:highlight w:val="none"/>
          <w:lang w:bidi="ar"/>
        </w:rPr>
        <w:t xml:space="preserve">（如有，请如实说明）                 </w:t>
      </w:r>
      <w:r>
        <w:rPr>
          <w:rFonts w:hint="eastAsia" w:ascii="新宋体" w:hAnsi="新宋体" w:eastAsia="新宋体" w:cs="新宋体"/>
          <w:color w:val="auto"/>
          <w:kern w:val="0"/>
          <w:sz w:val="22"/>
          <w:szCs w:val="22"/>
          <w:highlight w:val="none"/>
          <w:lang w:bidi="ar"/>
        </w:rPr>
        <w:t>。</w:t>
      </w:r>
    </w:p>
    <w:p w14:paraId="32818EFE">
      <w:pPr>
        <w:spacing w:line="460" w:lineRule="exact"/>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（二）现已清楚知道参加本项目采购活动的其他所有供应商名称，本单位</w:t>
      </w:r>
    </w:p>
    <w:p w14:paraId="36B0F199">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□与其他所有供应商之间均不存在利害关系 </w:t>
      </w:r>
    </w:p>
    <w:p w14:paraId="1F5EF896">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□与</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供应商名称）之间存在下列利害关系</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w:t>
      </w:r>
    </w:p>
    <w:p w14:paraId="5BDEFC11">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A.法定代表人或负责人或实际控制人是同一人</w:t>
      </w:r>
    </w:p>
    <w:p w14:paraId="1BD1809F">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B.法定代表人或负责人或实际控制人是夫妻关系</w:t>
      </w:r>
    </w:p>
    <w:p w14:paraId="32FC6A33">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C.法定代表人或负责人或实际控制人是直系血亲关系</w:t>
      </w:r>
    </w:p>
    <w:p w14:paraId="3C9491DD">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D.法定代表人或负责人或实际控制人存在三代以内旁系血亲关系</w:t>
      </w:r>
    </w:p>
    <w:p w14:paraId="42105F62">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E.法定代表人或负责人或实际控制人存在近姻亲关系</w:t>
      </w:r>
    </w:p>
    <w:p w14:paraId="787A2C39">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F.法定代表人或负责人或实际控制人存在股份控制或实际控制关系</w:t>
      </w:r>
    </w:p>
    <w:p w14:paraId="01315508">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G.存在共同直接或间接投资设立子公司、联营企业和合营企业情况</w:t>
      </w:r>
    </w:p>
    <w:p w14:paraId="704B9334">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H.存在分级代理或代销关系、同一生产制造商关系、管理关系、重要业务（占主营业务收入50%以上）或重要财务往来关系（如融资）等其他实质性控制关系</w:t>
      </w:r>
    </w:p>
    <w:p w14:paraId="389CD15D">
      <w:pPr>
        <w:spacing w:line="460" w:lineRule="exact"/>
        <w:ind w:firstLine="660" w:firstLineChars="30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I.其他利害关系情况</w:t>
      </w:r>
      <w:r>
        <w:rPr>
          <w:rFonts w:hint="eastAsia" w:ascii="新宋体" w:hAnsi="新宋体" w:eastAsia="新宋体" w:cs="新宋体"/>
          <w:color w:val="auto"/>
          <w:kern w:val="0"/>
          <w:sz w:val="22"/>
          <w:szCs w:val="22"/>
          <w:highlight w:val="none"/>
          <w:u w:val="single"/>
          <w:lang w:bidi="ar"/>
        </w:rPr>
        <w:t xml:space="preserve">                              。</w:t>
      </w:r>
    </w:p>
    <w:p w14:paraId="0BE13CAE">
      <w:pPr>
        <w:pStyle w:val="24"/>
        <w:spacing w:line="460" w:lineRule="exact"/>
        <w:ind w:left="0" w:firstLine="0" w:firstLineChars="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（三）现已清楚知道并严格遵守政府采购法律法规和现场纪律</w:t>
      </w:r>
    </w:p>
    <w:p w14:paraId="3B64F763">
      <w:pPr>
        <w:pStyle w:val="24"/>
        <w:spacing w:line="460" w:lineRule="exact"/>
        <w:ind w:left="0" w:firstLine="0" w:firstLineChars="0"/>
        <w:rPr>
          <w:rFonts w:hint="eastAsia"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（四）我发现</w:t>
      </w:r>
      <w:r>
        <w:rPr>
          <w:rStyle w:val="117"/>
          <w:rFonts w:hint="eastAsia" w:ascii="新宋体" w:hAnsi="新宋体" w:eastAsia="新宋体" w:cs="新宋体"/>
          <w:b w:val="0"/>
          <w:bCs/>
          <w:color w:val="auto"/>
          <w:sz w:val="22"/>
          <w:szCs w:val="22"/>
          <w:highlight w:val="none"/>
          <w:lang w:bidi="ar"/>
        </w:rPr>
        <w:t xml:space="preserve">                  </w:t>
      </w:r>
      <w:r>
        <w:rPr>
          <w:rStyle w:val="117"/>
          <w:rFonts w:hint="eastAsia" w:ascii="新宋体" w:hAnsi="新宋体" w:eastAsia="新宋体" w:cs="新宋体"/>
          <w:b w:val="0"/>
          <w:bCs/>
          <w:color w:val="auto"/>
          <w:sz w:val="22"/>
          <w:szCs w:val="22"/>
          <w:highlight w:val="none"/>
          <w:u w:val="none"/>
          <w:lang w:bidi="ar"/>
        </w:rPr>
        <w:t>与</w:t>
      </w:r>
      <w:r>
        <w:rPr>
          <w:rStyle w:val="117"/>
          <w:rFonts w:hint="eastAsia" w:ascii="新宋体" w:hAnsi="新宋体" w:eastAsia="新宋体" w:cs="新宋体"/>
          <w:b w:val="0"/>
          <w:bCs/>
          <w:color w:val="auto"/>
          <w:sz w:val="22"/>
          <w:szCs w:val="22"/>
          <w:highlight w:val="none"/>
          <w:lang w:bidi="ar"/>
        </w:rPr>
        <w:t xml:space="preserve">                  （供应商名称）</w:t>
      </w:r>
      <w:r>
        <w:rPr>
          <w:rFonts w:hint="eastAsia" w:ascii="新宋体" w:hAnsi="新宋体" w:eastAsia="新宋体" w:cs="新宋体"/>
          <w:color w:val="auto"/>
          <w:kern w:val="0"/>
          <w:sz w:val="22"/>
          <w:szCs w:val="22"/>
          <w:highlight w:val="none"/>
          <w:lang w:bidi="ar"/>
        </w:rPr>
        <w:t>之间存在或可能存在上述第二条第</w:t>
      </w:r>
      <w:r>
        <w:rPr>
          <w:rStyle w:val="117"/>
          <w:rFonts w:hint="eastAsia" w:ascii="新宋体" w:hAnsi="新宋体" w:eastAsia="新宋体" w:cs="新宋体"/>
          <w:b w:val="0"/>
          <w:bCs/>
          <w:color w:val="auto"/>
          <w:sz w:val="22"/>
          <w:szCs w:val="22"/>
          <w:highlight w:val="none"/>
          <w:lang w:bidi="ar"/>
        </w:rPr>
        <w:t xml:space="preserve">        </w:t>
      </w:r>
      <w:r>
        <w:rPr>
          <w:rFonts w:hint="eastAsia" w:ascii="新宋体" w:hAnsi="新宋体" w:eastAsia="新宋体" w:cs="新宋体"/>
          <w:color w:val="auto"/>
          <w:kern w:val="0"/>
          <w:sz w:val="22"/>
          <w:szCs w:val="22"/>
          <w:highlight w:val="none"/>
          <w:lang w:bidi="ar"/>
        </w:rPr>
        <w:t>项利害关系。</w:t>
      </w:r>
    </w:p>
    <w:p w14:paraId="14C0EE69">
      <w:pPr>
        <w:pStyle w:val="24"/>
        <w:spacing w:line="460" w:lineRule="exact"/>
        <w:ind w:left="0" w:firstLine="0" w:firstLineChars="0"/>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lang w:bidi="ar"/>
        </w:rPr>
        <w:t>供应商代表签名：</w:t>
      </w:r>
    </w:p>
    <w:p w14:paraId="2CE4CF41">
      <w:pPr>
        <w:pStyle w:val="24"/>
        <w:spacing w:line="460" w:lineRule="exact"/>
        <w:ind w:left="0" w:firstLine="0" w:firstLineChars="0"/>
        <w:rPr>
          <w:rFonts w:hint="eastAsia" w:ascii="新宋体" w:hAnsi="新宋体" w:eastAsia="新宋体" w:cs="新宋体"/>
          <w:b/>
          <w:color w:val="auto"/>
          <w:kern w:val="0"/>
          <w:sz w:val="22"/>
          <w:szCs w:val="22"/>
          <w:highlight w:val="none"/>
        </w:rPr>
      </w:pPr>
    </w:p>
    <w:p w14:paraId="6BE8A6A1">
      <w:pPr>
        <w:pStyle w:val="24"/>
        <w:spacing w:line="460" w:lineRule="exact"/>
        <w:ind w:left="0" w:firstLine="0" w:firstLineChars="0"/>
        <w:jc w:val="right"/>
        <w:rPr>
          <w:rFonts w:hint="eastAsia"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日期：</w:t>
      </w:r>
      <w:r>
        <w:rPr>
          <w:rFonts w:hint="eastAsia" w:ascii="新宋体" w:hAnsi="新宋体" w:eastAsia="新宋体" w:cs="新宋体"/>
          <w:b/>
          <w:color w:val="auto"/>
          <w:kern w:val="0"/>
          <w:sz w:val="22"/>
          <w:szCs w:val="22"/>
          <w:highlight w:val="none"/>
          <w:lang w:val="en-US" w:eastAsia="zh-CN"/>
        </w:rPr>
        <w:t xml:space="preserve">    </w:t>
      </w:r>
      <w:r>
        <w:rPr>
          <w:rFonts w:hint="eastAsia" w:ascii="新宋体" w:hAnsi="新宋体" w:eastAsia="新宋体" w:cs="新宋体"/>
          <w:b/>
          <w:color w:val="auto"/>
          <w:kern w:val="0"/>
          <w:sz w:val="22"/>
          <w:szCs w:val="22"/>
          <w:highlight w:val="none"/>
        </w:rPr>
        <w:t>年    月    日</w:t>
      </w:r>
    </w:p>
    <w:p w14:paraId="66CBA744">
      <w:pPr>
        <w:pStyle w:val="24"/>
        <w:spacing w:line="460" w:lineRule="exact"/>
        <w:ind w:left="0" w:firstLine="0" w:firstLineChars="0"/>
        <w:jc w:val="right"/>
        <w:rPr>
          <w:rFonts w:hint="eastAsia" w:ascii="新宋体" w:hAnsi="新宋体" w:eastAsia="新宋体" w:cs="新宋体"/>
          <w:b/>
          <w:color w:val="auto"/>
          <w:kern w:val="0"/>
          <w:sz w:val="22"/>
          <w:szCs w:val="22"/>
          <w:highlight w:val="none"/>
        </w:rPr>
      </w:pPr>
    </w:p>
    <w:bookmarkEnd w:id="68"/>
    <w:p w14:paraId="3D6E8697">
      <w:pPr>
        <w:pStyle w:val="284"/>
        <w:ind w:firstLine="220"/>
        <w:rPr>
          <w:rFonts w:hint="eastAsia" w:ascii="新宋体" w:hAnsi="新宋体" w:eastAsia="新宋体" w:cs="新宋体"/>
          <w:color w:val="auto"/>
          <w:kern w:val="0"/>
          <w:sz w:val="22"/>
          <w:szCs w:val="22"/>
          <w:highlight w:val="none"/>
        </w:rPr>
      </w:pPr>
    </w:p>
    <w:p w14:paraId="60930E02">
      <w:pPr>
        <w:pStyle w:val="284"/>
        <w:ind w:firstLine="220"/>
        <w:rPr>
          <w:rFonts w:hint="eastAsia" w:ascii="新宋体" w:hAnsi="新宋体" w:eastAsia="新宋体" w:cs="新宋体"/>
          <w:color w:val="auto"/>
          <w:kern w:val="0"/>
          <w:sz w:val="22"/>
          <w:szCs w:val="22"/>
          <w:highlight w:val="none"/>
        </w:rPr>
      </w:pPr>
    </w:p>
    <w:p w14:paraId="62376DC7">
      <w:pPr>
        <w:spacing w:line="400" w:lineRule="exact"/>
        <w:jc w:val="center"/>
        <w:outlineLvl w:val="3"/>
        <w:rPr>
          <w:rFonts w:hint="eastAsia" w:ascii="新宋体" w:hAnsi="新宋体" w:eastAsia="新宋体" w:cs="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lang w:val="en-US" w:eastAsia="zh-CN"/>
        </w:rPr>
        <w:t>6、联合体共同投标协议书（如有）</w:t>
      </w:r>
    </w:p>
    <w:p w14:paraId="00959EC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牵头人名称：</w:t>
      </w:r>
      <w:r>
        <w:rPr>
          <w:rFonts w:hint="eastAsia" w:ascii="新宋体" w:hAnsi="新宋体" w:eastAsia="新宋体" w:cs="新宋体"/>
          <w:color w:val="auto"/>
          <w:sz w:val="22"/>
          <w:szCs w:val="22"/>
          <w:highlight w:val="none"/>
          <w:u w:val="single"/>
        </w:rPr>
        <w:t xml:space="preserve">                                                        </w:t>
      </w:r>
    </w:p>
    <w:p w14:paraId="58059C2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法定代表人（或企业负责人）</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val="single"/>
        </w:rPr>
        <w:t xml:space="preserve">                                        </w:t>
      </w:r>
    </w:p>
    <w:p w14:paraId="20250DA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35"/>
          <w:sz w:val="22"/>
          <w:szCs w:val="22"/>
          <w:highlight w:val="none"/>
        </w:rPr>
        <w:t>法定住</w:t>
      </w:r>
      <w:r>
        <w:rPr>
          <w:rFonts w:hint="eastAsia" w:ascii="新宋体" w:hAnsi="新宋体" w:eastAsia="新宋体" w:cs="新宋体"/>
          <w:color w:val="auto"/>
          <w:sz w:val="22"/>
          <w:szCs w:val="22"/>
          <w:highlight w:val="none"/>
        </w:rPr>
        <w:t>所：</w:t>
      </w:r>
      <w:r>
        <w:rPr>
          <w:rFonts w:hint="eastAsia" w:ascii="新宋体" w:hAnsi="新宋体" w:eastAsia="新宋体" w:cs="新宋体"/>
          <w:color w:val="auto"/>
          <w:sz w:val="22"/>
          <w:szCs w:val="22"/>
          <w:highlight w:val="none"/>
          <w:u w:val="single"/>
        </w:rPr>
        <w:t xml:space="preserve">                                                        </w:t>
      </w:r>
    </w:p>
    <w:p w14:paraId="0363405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联合体</w:t>
      </w:r>
      <w:r>
        <w:rPr>
          <w:rFonts w:hint="eastAsia" w:ascii="新宋体" w:hAnsi="新宋体" w:eastAsia="新宋体" w:cs="新宋体"/>
          <w:color w:val="auto"/>
          <w:sz w:val="22"/>
          <w:szCs w:val="22"/>
          <w:highlight w:val="none"/>
        </w:rPr>
        <w:t>成员名称：</w:t>
      </w:r>
      <w:r>
        <w:rPr>
          <w:rFonts w:hint="eastAsia" w:ascii="新宋体" w:hAnsi="新宋体" w:eastAsia="新宋体" w:cs="新宋体"/>
          <w:color w:val="auto"/>
          <w:sz w:val="22"/>
          <w:szCs w:val="22"/>
          <w:highlight w:val="none"/>
          <w:u w:val="single"/>
        </w:rPr>
        <w:t xml:space="preserve">                                                    </w:t>
      </w:r>
    </w:p>
    <w:p w14:paraId="5558C937">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法定代表人（或企业负责人）</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val="single"/>
        </w:rPr>
        <w:t xml:space="preserve">                                       </w:t>
      </w:r>
    </w:p>
    <w:p w14:paraId="5F79678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35"/>
          <w:sz w:val="22"/>
          <w:szCs w:val="22"/>
          <w:highlight w:val="none"/>
        </w:rPr>
        <w:t>法定住</w:t>
      </w:r>
      <w:r>
        <w:rPr>
          <w:rFonts w:hint="eastAsia" w:ascii="新宋体" w:hAnsi="新宋体" w:eastAsia="新宋体" w:cs="新宋体"/>
          <w:color w:val="auto"/>
          <w:sz w:val="22"/>
          <w:szCs w:val="22"/>
          <w:highlight w:val="none"/>
        </w:rPr>
        <w:t>所：</w:t>
      </w:r>
      <w:r>
        <w:rPr>
          <w:rFonts w:hint="eastAsia" w:ascii="新宋体" w:hAnsi="新宋体" w:eastAsia="新宋体" w:cs="新宋体"/>
          <w:color w:val="auto"/>
          <w:sz w:val="22"/>
          <w:szCs w:val="22"/>
          <w:highlight w:val="none"/>
          <w:u w:val="single"/>
        </w:rPr>
        <w:t xml:space="preserve">                                                        </w:t>
      </w:r>
    </w:p>
    <w:p w14:paraId="28D59B9F">
      <w:pPr>
        <w:keepNext w:val="0"/>
        <w:keepLines w:val="0"/>
        <w:pageBreakBefore w:val="0"/>
        <w:widowControl w:val="0"/>
        <w:kinsoku/>
        <w:wordWrap/>
        <w:overflowPunct/>
        <w:topLinePunct w:val="0"/>
        <w:autoSpaceDE/>
        <w:autoSpaceDN/>
        <w:bidi w:val="0"/>
        <w:adjustRightInd/>
        <w:snapToGrid/>
        <w:spacing w:line="460" w:lineRule="exact"/>
        <w:ind w:firstLine="376" w:firstLineChars="171"/>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鉴于上述各成员单位经过友好协商，自愿组成</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（联合体名称）联合体，共同参加</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（招标人名称）（以下简称招标人）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（项目名称）（以下简称合同）。现就联合体投标事宜订立如下协议：</w:t>
      </w:r>
    </w:p>
    <w:p w14:paraId="72761C64">
      <w:pPr>
        <w:keepNext w:val="0"/>
        <w:keepLines w:val="0"/>
        <w:pageBreakBefore w:val="0"/>
        <w:widowControl w:val="0"/>
        <w:kinsoku/>
        <w:wordWrap/>
        <w:overflowPunct/>
        <w:topLinePunct w:val="0"/>
        <w:autoSpaceDE/>
        <w:autoSpaceDN/>
        <w:bidi w:val="0"/>
        <w:adjustRightInd/>
        <w:snapToGrid/>
        <w:spacing w:line="460" w:lineRule="exact"/>
        <w:ind w:firstLine="376" w:firstLineChars="171"/>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（某成员单位名称）为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（联合体名称）牵头人。</w:t>
      </w:r>
    </w:p>
    <w:p w14:paraId="385F1704">
      <w:pPr>
        <w:keepNext w:val="0"/>
        <w:keepLines w:val="0"/>
        <w:pageBreakBefore w:val="0"/>
        <w:widowControl w:val="0"/>
        <w:kinsoku/>
        <w:wordWrap/>
        <w:overflowPunct/>
        <w:topLinePunct w:val="0"/>
        <w:autoSpaceDE/>
        <w:autoSpaceDN/>
        <w:bidi w:val="0"/>
        <w:adjustRightInd/>
        <w:snapToGrid/>
        <w:spacing w:line="460" w:lineRule="exact"/>
        <w:ind w:firstLine="376" w:firstLineChars="171"/>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2、在本项目投标阶段，联合体牵头人合法代表联合体各成员负责本</w:t>
      </w:r>
      <w:r>
        <w:rPr>
          <w:rFonts w:hint="eastAsia" w:ascii="新宋体" w:hAnsi="新宋体" w:eastAsia="新宋体" w:cs="新宋体"/>
          <w:color w:val="auto"/>
          <w:sz w:val="22"/>
          <w:szCs w:val="22"/>
          <w:highlight w:val="none"/>
          <w:lang w:eastAsia="zh-CN"/>
        </w:rPr>
        <w:t>项目</w:t>
      </w:r>
      <w:r>
        <w:rPr>
          <w:rFonts w:hint="eastAsia" w:ascii="新宋体" w:hAnsi="新宋体" w:eastAsia="新宋体" w:cs="新宋体"/>
          <w:color w:val="auto"/>
          <w:sz w:val="22"/>
          <w:szCs w:val="22"/>
          <w:highlight w:val="none"/>
        </w:rPr>
        <w:t>投标文件编制活动，代表联合体提交和接收相关的资料、信息及指示，并处理投标和中标有关的一切事务；联合体中标后，联合体牵头人负责合同订立和合同实施阶段的主办、组织和协调工作。</w:t>
      </w:r>
    </w:p>
    <w:p w14:paraId="2293F383">
      <w:pPr>
        <w:keepNext w:val="0"/>
        <w:keepLines w:val="0"/>
        <w:pageBreakBefore w:val="0"/>
        <w:widowControl w:val="0"/>
        <w:kinsoku/>
        <w:wordWrap/>
        <w:overflowPunct/>
        <w:topLinePunct w:val="0"/>
        <w:autoSpaceDE/>
        <w:autoSpaceDN/>
        <w:bidi w:val="0"/>
        <w:adjustRightInd/>
        <w:snapToGrid/>
        <w:spacing w:line="460" w:lineRule="exact"/>
        <w:ind w:firstLine="376" w:firstLineChars="171"/>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3、联合体将严格按照</w:t>
      </w:r>
      <w:r>
        <w:rPr>
          <w:rFonts w:hint="eastAsia" w:ascii="新宋体" w:hAnsi="新宋体" w:eastAsia="新宋体" w:cs="新宋体"/>
          <w:color w:val="auto"/>
          <w:sz w:val="22"/>
          <w:szCs w:val="22"/>
          <w:highlight w:val="none"/>
          <w:lang w:eastAsia="zh-CN"/>
        </w:rPr>
        <w:t>采购文件</w:t>
      </w:r>
      <w:r>
        <w:rPr>
          <w:rFonts w:hint="eastAsia" w:ascii="新宋体" w:hAnsi="新宋体" w:eastAsia="新宋体" w:cs="新宋体"/>
          <w:color w:val="auto"/>
          <w:sz w:val="22"/>
          <w:szCs w:val="22"/>
          <w:highlight w:val="none"/>
        </w:rPr>
        <w:t>的各项要求，递交投标文件，履行投标义务和中标后的合同，共同承担合同规定的一切义务和责任，联合体各成员单位按照内部职责的划分，承担各自所负的责任和风险，并向招标人承担连带责任。</w:t>
      </w:r>
    </w:p>
    <w:p w14:paraId="577ED9D8">
      <w:pPr>
        <w:keepNext w:val="0"/>
        <w:keepLines w:val="0"/>
        <w:pageBreakBefore w:val="0"/>
        <w:widowControl w:val="0"/>
        <w:kinsoku/>
        <w:wordWrap/>
        <w:overflowPunct/>
        <w:topLinePunct w:val="0"/>
        <w:autoSpaceDE/>
        <w:autoSpaceDN/>
        <w:bidi w:val="0"/>
        <w:adjustRightInd/>
        <w:snapToGrid/>
        <w:spacing w:line="460" w:lineRule="exact"/>
        <w:ind w:firstLine="376" w:firstLineChars="171"/>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4、联合体各成员单位内部的职责分工如下：</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w:t>
      </w:r>
    </w:p>
    <w:p w14:paraId="1BD09F2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按照本条上述分工，联合体成员单位</w:t>
      </w:r>
      <w:r>
        <w:rPr>
          <w:rFonts w:hint="eastAsia" w:ascii="新宋体" w:hAnsi="新宋体" w:eastAsia="新宋体" w:cs="新宋体"/>
          <w:color w:val="auto"/>
          <w:sz w:val="22"/>
          <w:szCs w:val="22"/>
          <w:highlight w:val="none"/>
          <w:lang w:val="en-US" w:eastAsia="zh-CN"/>
        </w:rPr>
        <w:t>合同份额占合同总金额的占比</w:t>
      </w:r>
      <w:r>
        <w:rPr>
          <w:rFonts w:hint="eastAsia" w:ascii="新宋体" w:hAnsi="新宋体" w:eastAsia="新宋体" w:cs="新宋体"/>
          <w:color w:val="auto"/>
          <w:sz w:val="22"/>
          <w:szCs w:val="22"/>
          <w:highlight w:val="none"/>
        </w:rPr>
        <w:t>比例如下：</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w:t>
      </w:r>
    </w:p>
    <w:p w14:paraId="07F09531">
      <w:pPr>
        <w:keepNext w:val="0"/>
        <w:keepLines w:val="0"/>
        <w:pageBreakBefore w:val="0"/>
        <w:widowControl w:val="0"/>
        <w:kinsoku/>
        <w:wordWrap/>
        <w:overflowPunct/>
        <w:topLinePunct w:val="0"/>
        <w:autoSpaceDE/>
        <w:autoSpaceDN/>
        <w:bidi w:val="0"/>
        <w:adjustRightInd/>
        <w:snapToGrid/>
        <w:spacing w:line="460" w:lineRule="exact"/>
        <w:ind w:firstLine="352" w:firstLineChars="16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5、联合体中标后，本联合体协议是合同的附件，对联合体各成员单位有合同约束力。</w:t>
      </w:r>
    </w:p>
    <w:p w14:paraId="11885E5A">
      <w:pPr>
        <w:keepNext w:val="0"/>
        <w:keepLines w:val="0"/>
        <w:pageBreakBefore w:val="0"/>
        <w:widowControl w:val="0"/>
        <w:kinsoku/>
        <w:wordWrap/>
        <w:overflowPunct/>
        <w:topLinePunct w:val="0"/>
        <w:autoSpaceDE/>
        <w:autoSpaceDN/>
        <w:bidi w:val="0"/>
        <w:adjustRightInd/>
        <w:snapToGrid/>
        <w:spacing w:line="460" w:lineRule="exact"/>
        <w:ind w:firstLine="352" w:firstLineChars="16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6、本协议书自签署之日起生效，联合体未中标或者中标时合同履行完毕后自动失效。</w:t>
      </w:r>
    </w:p>
    <w:p w14:paraId="24526D3C">
      <w:pPr>
        <w:keepNext w:val="0"/>
        <w:keepLines w:val="0"/>
        <w:pageBreakBefore w:val="0"/>
        <w:widowControl w:val="0"/>
        <w:kinsoku/>
        <w:wordWrap/>
        <w:overflowPunct/>
        <w:topLinePunct w:val="0"/>
        <w:autoSpaceDE/>
        <w:autoSpaceDN/>
        <w:bidi w:val="0"/>
        <w:adjustRightInd/>
        <w:snapToGrid/>
        <w:spacing w:line="460" w:lineRule="exact"/>
        <w:ind w:firstLine="352" w:firstLineChars="16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7、本协议书一式</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份，联合体成员和招标人各执一份。</w:t>
      </w:r>
    </w:p>
    <w:p w14:paraId="27925554">
      <w:pPr>
        <w:keepNext w:val="0"/>
        <w:keepLines w:val="0"/>
        <w:pageBreakBefore w:val="0"/>
        <w:widowControl w:val="0"/>
        <w:kinsoku/>
        <w:wordWrap/>
        <w:overflowPunct/>
        <w:topLinePunct w:val="0"/>
        <w:autoSpaceDE/>
        <w:autoSpaceDN/>
        <w:bidi w:val="0"/>
        <w:adjustRightInd/>
        <w:snapToGrid/>
        <w:spacing w:line="460" w:lineRule="exact"/>
        <w:ind w:firstLine="2785" w:firstLineChars="1266"/>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牵头人名称：</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（盖单位公章）</w:t>
      </w:r>
    </w:p>
    <w:p w14:paraId="10D867F8">
      <w:pPr>
        <w:keepNext w:val="0"/>
        <w:keepLines w:val="0"/>
        <w:pageBreakBefore w:val="0"/>
        <w:widowControl w:val="0"/>
        <w:kinsoku/>
        <w:wordWrap/>
        <w:overflowPunct/>
        <w:topLinePunct w:val="0"/>
        <w:autoSpaceDE/>
        <w:autoSpaceDN/>
        <w:bidi w:val="0"/>
        <w:adjustRightInd/>
        <w:snapToGrid/>
        <w:spacing w:line="460" w:lineRule="exact"/>
        <w:ind w:firstLine="1100" w:firstLineChars="5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法定代表人（或企业负责人）</w:t>
      </w:r>
      <w:r>
        <w:rPr>
          <w:rFonts w:hint="eastAsia" w:ascii="新宋体" w:hAnsi="新宋体" w:eastAsia="新宋体" w:cs="新宋体"/>
          <w:color w:val="auto"/>
          <w:sz w:val="22"/>
          <w:szCs w:val="22"/>
          <w:highlight w:val="none"/>
        </w:rPr>
        <w:t>或授权代表：</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（签字或盖章）</w:t>
      </w:r>
    </w:p>
    <w:p w14:paraId="7DB25F5B">
      <w:pPr>
        <w:keepNext w:val="0"/>
        <w:keepLines w:val="0"/>
        <w:pageBreakBefore w:val="0"/>
        <w:widowControl w:val="0"/>
        <w:kinsoku/>
        <w:wordWrap/>
        <w:overflowPunct/>
        <w:topLinePunct w:val="0"/>
        <w:autoSpaceDE/>
        <w:autoSpaceDN/>
        <w:bidi w:val="0"/>
        <w:adjustRightInd/>
        <w:snapToGrid/>
        <w:spacing w:line="460" w:lineRule="exact"/>
        <w:ind w:firstLine="2785" w:firstLineChars="1266"/>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联合体</w:t>
      </w:r>
      <w:r>
        <w:rPr>
          <w:rFonts w:hint="eastAsia" w:ascii="新宋体" w:hAnsi="新宋体" w:eastAsia="新宋体" w:cs="新宋体"/>
          <w:color w:val="auto"/>
          <w:sz w:val="22"/>
          <w:szCs w:val="22"/>
          <w:highlight w:val="none"/>
        </w:rPr>
        <w:t>成员名称：</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（盖单位公章）</w:t>
      </w:r>
    </w:p>
    <w:p w14:paraId="226B2D6A">
      <w:pPr>
        <w:keepNext w:val="0"/>
        <w:keepLines w:val="0"/>
        <w:pageBreakBefore w:val="0"/>
        <w:widowControl w:val="0"/>
        <w:kinsoku/>
        <w:wordWrap/>
        <w:overflowPunct/>
        <w:topLinePunct w:val="0"/>
        <w:autoSpaceDE/>
        <w:autoSpaceDN/>
        <w:bidi w:val="0"/>
        <w:adjustRightInd/>
        <w:snapToGrid/>
        <w:spacing w:line="460" w:lineRule="exact"/>
        <w:ind w:firstLine="1100" w:firstLineChars="5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法定代表人（或企业负责人）</w:t>
      </w:r>
      <w:r>
        <w:rPr>
          <w:rFonts w:hint="eastAsia" w:ascii="新宋体" w:hAnsi="新宋体" w:eastAsia="新宋体" w:cs="新宋体"/>
          <w:color w:val="auto"/>
          <w:sz w:val="22"/>
          <w:szCs w:val="22"/>
          <w:highlight w:val="none"/>
        </w:rPr>
        <w:t>或授权代表：</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（签字或盖章）</w:t>
      </w:r>
    </w:p>
    <w:p w14:paraId="65333970">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年</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月</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 xml:space="preserve">日             </w:t>
      </w:r>
    </w:p>
    <w:p w14:paraId="1124FE7E">
      <w:pPr>
        <w:keepNext w:val="0"/>
        <w:keepLines w:val="0"/>
        <w:pageBreakBefore w:val="0"/>
        <w:widowControl w:val="0"/>
        <w:kinsoku/>
        <w:wordWrap/>
        <w:overflowPunct/>
        <w:topLinePunct w:val="0"/>
        <w:autoSpaceDE/>
        <w:autoSpaceDN/>
        <w:bidi w:val="0"/>
        <w:adjustRightInd/>
        <w:snapToGrid/>
        <w:spacing w:line="460" w:lineRule="exact"/>
        <w:ind w:right="420"/>
        <w:textAlignment w:val="auto"/>
        <w:rPr>
          <w:rFonts w:hint="eastAsia" w:ascii="新宋体" w:hAnsi="新宋体" w:eastAsia="新宋体" w:cs="新宋体"/>
          <w:color w:val="auto"/>
          <w:sz w:val="22"/>
          <w:szCs w:val="22"/>
          <w:highlight w:val="none"/>
        </w:rPr>
      </w:pPr>
    </w:p>
    <w:p w14:paraId="5C7F16DB">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新宋体" w:hAnsi="新宋体" w:eastAsia="新宋体" w:cs="新宋体"/>
          <w:b/>
          <w:color w:val="auto"/>
          <w:sz w:val="22"/>
          <w:highlight w:val="none"/>
          <w:lang w:val="en-US" w:eastAsia="zh-CN"/>
        </w:rPr>
      </w:pPr>
      <w:r>
        <w:rPr>
          <w:rFonts w:hint="eastAsia" w:ascii="新宋体" w:hAnsi="新宋体" w:eastAsia="新宋体" w:cs="新宋体"/>
          <w:color w:val="auto"/>
          <w:sz w:val="22"/>
          <w:szCs w:val="22"/>
          <w:highlight w:val="none"/>
        </w:rPr>
        <w:t>备注：本协议书由授权代表签字或盖章的，应附</w:t>
      </w:r>
      <w:r>
        <w:rPr>
          <w:rFonts w:hint="eastAsia" w:ascii="新宋体" w:hAnsi="新宋体" w:eastAsia="新宋体" w:cs="新宋体"/>
          <w:color w:val="auto"/>
          <w:sz w:val="22"/>
          <w:szCs w:val="22"/>
          <w:highlight w:val="none"/>
          <w:lang w:eastAsia="zh-CN"/>
        </w:rPr>
        <w:t>法定代表人（或企业负责人）</w:t>
      </w:r>
      <w:r>
        <w:rPr>
          <w:rFonts w:hint="eastAsia" w:ascii="新宋体" w:hAnsi="新宋体" w:eastAsia="新宋体" w:cs="新宋体"/>
          <w:color w:val="auto"/>
          <w:sz w:val="22"/>
          <w:szCs w:val="22"/>
          <w:highlight w:val="none"/>
        </w:rPr>
        <w:t>签字或盖章的授权委托书。</w:t>
      </w:r>
    </w:p>
    <w:p w14:paraId="344F2A86">
      <w:pPr>
        <w:bidi w:val="0"/>
        <w:rPr>
          <w:rFonts w:hint="eastAsia"/>
          <w:color w:val="auto"/>
          <w:highlight w:val="none"/>
        </w:rPr>
      </w:pPr>
    </w:p>
    <w:p w14:paraId="30F49278">
      <w:pPr>
        <w:pStyle w:val="284"/>
        <w:ind w:firstLine="220"/>
        <w:rPr>
          <w:rFonts w:hint="eastAsia" w:ascii="新宋体" w:hAnsi="新宋体" w:eastAsia="新宋体" w:cs="新宋体"/>
          <w:color w:val="auto"/>
          <w:kern w:val="0"/>
          <w:sz w:val="22"/>
          <w:szCs w:val="22"/>
          <w:highlight w:val="none"/>
        </w:rPr>
      </w:pPr>
    </w:p>
    <w:p w14:paraId="5626EE6B">
      <w:pPr>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br w:type="page"/>
      </w:r>
    </w:p>
    <w:p w14:paraId="19475556">
      <w:pPr>
        <w:pStyle w:val="24"/>
        <w:spacing w:line="460" w:lineRule="exact"/>
        <w:ind w:left="433" w:hanging="433" w:hangingChars="196"/>
        <w:outlineLvl w:val="1"/>
        <w:rPr>
          <w:rFonts w:hint="eastAsia" w:ascii="新宋体" w:hAnsi="新宋体" w:eastAsia="新宋体" w:cs="新宋体"/>
          <w:b/>
          <w:color w:val="auto"/>
          <w:sz w:val="22"/>
          <w:highlight w:val="none"/>
        </w:rPr>
      </w:pPr>
      <w:bookmarkStart w:id="69" w:name="_Toc4636"/>
      <w:bookmarkStart w:id="70" w:name="_Toc26125"/>
      <w:bookmarkStart w:id="71" w:name="_Toc9895"/>
      <w:r>
        <w:rPr>
          <w:rFonts w:hint="eastAsia" w:ascii="新宋体" w:hAnsi="新宋体" w:eastAsia="新宋体" w:cs="新宋体"/>
          <w:b/>
          <w:color w:val="auto"/>
          <w:sz w:val="22"/>
          <w:highlight w:val="none"/>
        </w:rPr>
        <w:t>附件二</w:t>
      </w:r>
      <w:bookmarkEnd w:id="69"/>
      <w:bookmarkEnd w:id="70"/>
      <w:bookmarkEnd w:id="71"/>
    </w:p>
    <w:p w14:paraId="222A1129">
      <w:pPr>
        <w:spacing w:line="400" w:lineRule="exact"/>
        <w:jc w:val="center"/>
        <w:outlineLvl w:val="2"/>
        <w:rPr>
          <w:rFonts w:hint="eastAsia" w:ascii="新宋体" w:hAnsi="新宋体" w:eastAsia="新宋体" w:cs="新宋体"/>
          <w:b/>
          <w:bCs/>
          <w:color w:val="auto"/>
          <w:sz w:val="28"/>
          <w:szCs w:val="28"/>
          <w:highlight w:val="none"/>
        </w:rPr>
      </w:pPr>
      <w:bookmarkStart w:id="72" w:name="_Toc14538"/>
      <w:r>
        <w:rPr>
          <w:rFonts w:hint="eastAsia" w:ascii="新宋体" w:hAnsi="新宋体" w:eastAsia="新宋体" w:cs="新宋体"/>
          <w:b/>
          <w:bCs/>
          <w:color w:val="auto"/>
          <w:sz w:val="28"/>
          <w:szCs w:val="28"/>
          <w:highlight w:val="none"/>
        </w:rPr>
        <w:t>报价文件</w:t>
      </w:r>
      <w:bookmarkEnd w:id="72"/>
    </w:p>
    <w:p w14:paraId="038A4BB6">
      <w:pPr>
        <w:spacing w:line="460" w:lineRule="exact"/>
        <w:jc w:val="center"/>
        <w:outlineLvl w:val="3"/>
        <w:rPr>
          <w:rFonts w:hint="eastAsia" w:ascii="新宋体" w:hAnsi="新宋体" w:eastAsia="新宋体"/>
          <w:b/>
          <w:bCs/>
          <w:color w:val="auto"/>
          <w:sz w:val="28"/>
          <w:szCs w:val="28"/>
          <w:highlight w:val="none"/>
          <w:lang w:val="zh-CN" w:eastAsia="zh-CN"/>
        </w:rPr>
      </w:pPr>
      <w:r>
        <w:rPr>
          <w:rFonts w:hint="eastAsia" w:ascii="新宋体" w:hAnsi="新宋体" w:eastAsia="新宋体"/>
          <w:b/>
          <w:bCs/>
          <w:color w:val="auto"/>
          <w:sz w:val="28"/>
          <w:szCs w:val="28"/>
          <w:highlight w:val="none"/>
          <w:lang w:val="zh-CN" w:eastAsia="zh-CN"/>
        </w:rPr>
        <w:t>投标报价一览表</w:t>
      </w:r>
    </w:p>
    <w:p w14:paraId="50434CA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（价格单位：人民币）</w:t>
      </w:r>
    </w:p>
    <w:p w14:paraId="5945E99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4E388B8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项目编号：</w:t>
      </w:r>
    </w:p>
    <w:tbl>
      <w:tblPr>
        <w:tblStyle w:val="55"/>
        <w:tblW w:w="498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930"/>
        <w:gridCol w:w="1380"/>
        <w:gridCol w:w="1950"/>
        <w:gridCol w:w="4889"/>
      </w:tblGrid>
      <w:tr w14:paraId="14BCC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3" w:type="pct"/>
            <w:tcBorders>
              <w:top w:val="single" w:color="auto" w:sz="4" w:space="0"/>
              <w:left w:val="single" w:color="auto" w:sz="4" w:space="0"/>
              <w:bottom w:val="single" w:color="auto" w:sz="4" w:space="0"/>
              <w:right w:val="single" w:color="auto" w:sz="4" w:space="0"/>
            </w:tcBorders>
            <w:noWrap w:val="0"/>
            <w:vAlign w:val="center"/>
          </w:tcPr>
          <w:p w14:paraId="5D53515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序号</w:t>
            </w:r>
          </w:p>
        </w:tc>
        <w:tc>
          <w:tcPr>
            <w:tcW w:w="1175" w:type="pct"/>
            <w:gridSpan w:val="2"/>
            <w:tcBorders>
              <w:top w:val="single" w:color="auto" w:sz="4" w:space="0"/>
              <w:left w:val="single" w:color="auto" w:sz="4" w:space="0"/>
              <w:bottom w:val="single" w:color="auto" w:sz="4" w:space="0"/>
              <w:right w:val="single" w:color="auto" w:sz="4" w:space="0"/>
            </w:tcBorders>
            <w:noWrap w:val="0"/>
            <w:vAlign w:val="center"/>
          </w:tcPr>
          <w:p w14:paraId="35BBCB7B">
            <w:pPr>
              <w:keepNext w:val="0"/>
              <w:keepLines w:val="0"/>
              <w:pageBreakBefore w:val="0"/>
              <w:widowControl w:val="0"/>
              <w:kinsoku/>
              <w:wordWrap/>
              <w:overflowPunct/>
              <w:topLinePunct w:val="0"/>
              <w:autoSpaceDE/>
              <w:autoSpaceDN/>
              <w:bidi w:val="0"/>
              <w:adjustRightInd/>
              <w:snapToGrid/>
              <w:spacing w:line="460" w:lineRule="exact"/>
              <w:ind w:right="382" w:rightChars="182"/>
              <w:jc w:val="center"/>
              <w:textAlignment w:val="auto"/>
              <w:rPr>
                <w:rFonts w:hint="eastAsia" w:ascii="新宋体" w:hAnsi="新宋体" w:eastAsia="新宋体" w:cs="新宋体"/>
                <w:bCs/>
                <w:color w:val="auto"/>
                <w:sz w:val="22"/>
                <w:szCs w:val="22"/>
                <w:highlight w:val="none"/>
                <w:lang w:val="en-US" w:eastAsia="zh-CN"/>
              </w:rPr>
            </w:pPr>
            <w:r>
              <w:rPr>
                <w:rFonts w:hint="eastAsia" w:ascii="新宋体" w:hAnsi="新宋体" w:eastAsia="新宋体" w:cs="新宋体"/>
                <w:bCs/>
                <w:color w:val="auto"/>
                <w:sz w:val="22"/>
                <w:szCs w:val="22"/>
                <w:highlight w:val="none"/>
              </w:rPr>
              <w:t>项目内容</w:t>
            </w:r>
          </w:p>
        </w:tc>
        <w:tc>
          <w:tcPr>
            <w:tcW w:w="992" w:type="pct"/>
            <w:tcBorders>
              <w:top w:val="single" w:color="auto" w:sz="4" w:space="0"/>
              <w:left w:val="single" w:color="auto" w:sz="4" w:space="0"/>
              <w:bottom w:val="single" w:color="auto" w:sz="4" w:space="0"/>
              <w:right w:val="single" w:color="auto" w:sz="4" w:space="0"/>
            </w:tcBorders>
            <w:noWrap w:val="0"/>
            <w:vAlign w:val="center"/>
          </w:tcPr>
          <w:p w14:paraId="0571EC7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lang w:val="en-US" w:eastAsia="zh-CN"/>
              </w:rPr>
            </w:pPr>
            <w:r>
              <w:rPr>
                <w:rFonts w:hint="eastAsia" w:ascii="新宋体" w:hAnsi="新宋体" w:eastAsia="新宋体" w:cs="新宋体"/>
                <w:bCs/>
                <w:color w:val="auto"/>
                <w:sz w:val="22"/>
                <w:szCs w:val="22"/>
                <w:highlight w:val="none"/>
                <w:lang w:val="en-US" w:eastAsia="zh-CN"/>
              </w:rPr>
              <w:t>投标</w:t>
            </w:r>
            <w:r>
              <w:rPr>
                <w:rFonts w:hint="eastAsia" w:ascii="新宋体" w:hAnsi="新宋体" w:eastAsia="新宋体" w:cs="新宋体"/>
                <w:bCs/>
                <w:color w:val="auto"/>
                <w:sz w:val="22"/>
                <w:szCs w:val="22"/>
                <w:highlight w:val="none"/>
              </w:rPr>
              <w:t>报</w:t>
            </w:r>
            <w:r>
              <w:rPr>
                <w:rFonts w:hint="eastAsia" w:ascii="新宋体" w:hAnsi="新宋体" w:eastAsia="新宋体" w:cs="新宋体"/>
                <w:b w:val="0"/>
                <w:bCs/>
                <w:color w:val="auto"/>
                <w:sz w:val="22"/>
                <w:szCs w:val="22"/>
                <w:highlight w:val="none"/>
              </w:rPr>
              <w:t>价</w:t>
            </w:r>
            <w:r>
              <w:rPr>
                <w:rFonts w:hint="eastAsia" w:ascii="新宋体" w:hAnsi="新宋体" w:eastAsia="新宋体" w:cs="新宋体"/>
                <w:b w:val="0"/>
                <w:bCs/>
                <w:color w:val="auto"/>
                <w:sz w:val="22"/>
                <w:szCs w:val="22"/>
                <w:highlight w:val="none"/>
                <w:lang w:val="en-US" w:eastAsia="zh-CN"/>
              </w:rPr>
              <w:t>(</w:t>
            </w:r>
            <w:r>
              <w:rPr>
                <w:rFonts w:hint="eastAsia" w:ascii="新宋体" w:hAnsi="新宋体" w:eastAsia="新宋体" w:cs="新宋体"/>
                <w:b w:val="0"/>
                <w:bCs/>
                <w:color w:val="auto"/>
                <w:sz w:val="22"/>
                <w:szCs w:val="22"/>
                <w:highlight w:val="none"/>
              </w:rPr>
              <w:t>元/年</w:t>
            </w:r>
            <w:r>
              <w:rPr>
                <w:rFonts w:hint="eastAsia" w:ascii="新宋体" w:hAnsi="新宋体" w:eastAsia="新宋体" w:cs="新宋体"/>
                <w:b w:val="0"/>
                <w:bCs/>
                <w:color w:val="auto"/>
                <w:sz w:val="22"/>
                <w:szCs w:val="22"/>
                <w:highlight w:val="none"/>
                <w:lang w:val="en-US" w:eastAsia="zh-CN"/>
              </w:rPr>
              <w:t>)</w:t>
            </w:r>
          </w:p>
        </w:tc>
        <w:tc>
          <w:tcPr>
            <w:tcW w:w="2488" w:type="pct"/>
            <w:tcBorders>
              <w:top w:val="single" w:color="auto" w:sz="4" w:space="0"/>
              <w:left w:val="single" w:color="auto" w:sz="4" w:space="0"/>
              <w:bottom w:val="single" w:color="auto" w:sz="4" w:space="0"/>
              <w:right w:val="single" w:color="auto" w:sz="4" w:space="0"/>
            </w:tcBorders>
            <w:noWrap w:val="0"/>
            <w:vAlign w:val="center"/>
          </w:tcPr>
          <w:p w14:paraId="2F52F2B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新宋体" w:hAnsi="新宋体" w:eastAsia="新宋体" w:cs="新宋体"/>
                <w:bCs/>
                <w:color w:val="auto"/>
                <w:sz w:val="22"/>
                <w:szCs w:val="22"/>
                <w:highlight w:val="none"/>
                <w:lang w:val="en-US" w:eastAsia="zh-CN"/>
              </w:rPr>
            </w:pPr>
            <w:r>
              <w:rPr>
                <w:rFonts w:hint="eastAsia" w:ascii="新宋体" w:hAnsi="新宋体" w:eastAsia="新宋体" w:cs="新宋体"/>
                <w:bCs/>
                <w:color w:val="auto"/>
                <w:sz w:val="22"/>
                <w:szCs w:val="22"/>
                <w:highlight w:val="none"/>
                <w:lang w:val="en-US" w:eastAsia="zh-CN"/>
              </w:rPr>
              <w:t>备注</w:t>
            </w:r>
          </w:p>
        </w:tc>
      </w:tr>
      <w:tr w14:paraId="35AD1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2" w:hRule="atLeast"/>
        </w:trPr>
        <w:tc>
          <w:tcPr>
            <w:tcW w:w="343" w:type="pct"/>
            <w:vMerge w:val="restart"/>
            <w:tcBorders>
              <w:top w:val="single" w:color="auto" w:sz="4" w:space="0"/>
              <w:left w:val="single" w:color="auto" w:sz="4" w:space="0"/>
              <w:right w:val="single" w:color="auto" w:sz="4" w:space="0"/>
            </w:tcBorders>
            <w:noWrap w:val="0"/>
            <w:vAlign w:val="center"/>
          </w:tcPr>
          <w:p w14:paraId="17FDFB83">
            <w:pPr>
              <w:keepNext w:val="0"/>
              <w:keepLines w:val="0"/>
              <w:pageBreakBefore w:val="0"/>
              <w:widowControl w:val="0"/>
              <w:kinsoku/>
              <w:wordWrap/>
              <w:overflowPunct/>
              <w:topLinePunct w:val="0"/>
              <w:autoSpaceDE/>
              <w:autoSpaceDN/>
              <w:bidi w:val="0"/>
              <w:adjustRightInd/>
              <w:snapToGrid/>
              <w:spacing w:line="460" w:lineRule="exact"/>
              <w:ind w:left="440" w:hanging="440"/>
              <w:jc w:val="center"/>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w:t>
            </w:r>
          </w:p>
        </w:tc>
        <w:tc>
          <w:tcPr>
            <w:tcW w:w="1175" w:type="pct"/>
            <w:gridSpan w:val="2"/>
            <w:tcBorders>
              <w:top w:val="single" w:color="auto" w:sz="4" w:space="0"/>
              <w:left w:val="single" w:color="auto" w:sz="4" w:space="0"/>
              <w:right w:val="single" w:color="auto" w:sz="4" w:space="0"/>
            </w:tcBorders>
            <w:noWrap w:val="0"/>
            <w:vAlign w:val="center"/>
          </w:tcPr>
          <w:p w14:paraId="77A01981">
            <w:pPr>
              <w:spacing w:line="460" w:lineRule="exact"/>
              <w:jc w:val="center"/>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常规打印机外包服务</w:t>
            </w:r>
          </w:p>
        </w:tc>
        <w:tc>
          <w:tcPr>
            <w:tcW w:w="992" w:type="pct"/>
            <w:tcBorders>
              <w:top w:val="single" w:color="auto" w:sz="4" w:space="0"/>
              <w:left w:val="single" w:color="auto" w:sz="4" w:space="0"/>
              <w:right w:val="single" w:color="auto" w:sz="4" w:space="0"/>
            </w:tcBorders>
            <w:noWrap w:val="0"/>
            <w:vAlign w:val="center"/>
          </w:tcPr>
          <w:p w14:paraId="34051462">
            <w:pPr>
              <w:spacing w:line="380" w:lineRule="exact"/>
              <w:jc w:val="left"/>
              <w:rPr>
                <w:rFonts w:hint="eastAsia" w:ascii="新宋体" w:hAnsi="新宋体" w:eastAsia="新宋体" w:cs="新宋体"/>
                <w:bCs/>
                <w:color w:val="auto"/>
                <w:sz w:val="22"/>
                <w:szCs w:val="22"/>
                <w:highlight w:val="none"/>
              </w:rPr>
            </w:pPr>
          </w:p>
        </w:tc>
        <w:tc>
          <w:tcPr>
            <w:tcW w:w="2488" w:type="pct"/>
            <w:vMerge w:val="restart"/>
            <w:tcBorders>
              <w:top w:val="single" w:color="auto" w:sz="4" w:space="0"/>
              <w:left w:val="single" w:color="auto" w:sz="4" w:space="0"/>
              <w:right w:val="single" w:color="auto" w:sz="4" w:space="0"/>
            </w:tcBorders>
            <w:noWrap w:val="0"/>
            <w:vAlign w:val="center"/>
          </w:tcPr>
          <w:p w14:paraId="2AB9CB3E">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①硬件投入：中标后需提供155台文印设备，并提供相应维护。</w:t>
            </w:r>
          </w:p>
          <w:p w14:paraId="1D7EB482">
            <w:pPr>
              <w:numPr>
                <w:ilvl w:val="255"/>
                <w:numId w:val="0"/>
              </w:num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②硬件投入：每年至少提供20台文印设备替换更新医院报废文印设备。</w:t>
            </w:r>
          </w:p>
          <w:p w14:paraId="0C8790B2">
            <w:pPr>
              <w:numPr>
                <w:ilvl w:val="255"/>
                <w:numId w:val="0"/>
              </w:num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③硬件维护：对医院各个院区及门诊自有文印设备提供相应维护。</w:t>
            </w:r>
          </w:p>
          <w:p w14:paraId="0A7996D5">
            <w:pPr>
              <w:spacing w:line="460" w:lineRule="exact"/>
              <w:jc w:val="left"/>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④硬件维护：承担除纸张外所有打印耗材、维修维护服务及维修所需的配件费用。</w:t>
            </w:r>
          </w:p>
        </w:tc>
      </w:tr>
      <w:tr w14:paraId="76554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3" w:type="pct"/>
            <w:vMerge w:val="restart"/>
            <w:tcBorders>
              <w:left w:val="single" w:color="auto" w:sz="4" w:space="0"/>
              <w:right w:val="single" w:color="auto" w:sz="4" w:space="0"/>
            </w:tcBorders>
            <w:noWrap w:val="0"/>
            <w:vAlign w:val="center"/>
          </w:tcPr>
          <w:p w14:paraId="6065DDA4">
            <w:pPr>
              <w:keepNext w:val="0"/>
              <w:keepLines w:val="0"/>
              <w:pageBreakBefore w:val="0"/>
              <w:widowControl w:val="0"/>
              <w:kinsoku/>
              <w:wordWrap/>
              <w:overflowPunct/>
              <w:topLinePunct w:val="0"/>
              <w:autoSpaceDE/>
              <w:autoSpaceDN/>
              <w:bidi w:val="0"/>
              <w:adjustRightInd/>
              <w:snapToGrid/>
              <w:spacing w:line="460" w:lineRule="exact"/>
              <w:ind w:left="440" w:hanging="440"/>
              <w:jc w:val="center"/>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w:t>
            </w:r>
          </w:p>
        </w:tc>
        <w:tc>
          <w:tcPr>
            <w:tcW w:w="473" w:type="pct"/>
            <w:vMerge w:val="restart"/>
            <w:tcBorders>
              <w:left w:val="single" w:color="auto" w:sz="4" w:space="0"/>
              <w:right w:val="single" w:color="auto" w:sz="4" w:space="0"/>
            </w:tcBorders>
            <w:noWrap w:val="0"/>
            <w:vAlign w:val="center"/>
          </w:tcPr>
          <w:p w14:paraId="3EA006C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超额打印机外包服务</w:t>
            </w:r>
          </w:p>
        </w:tc>
        <w:tc>
          <w:tcPr>
            <w:tcW w:w="702" w:type="pct"/>
            <w:tcBorders>
              <w:top w:val="single" w:color="auto" w:sz="4" w:space="0"/>
              <w:left w:val="single" w:color="auto" w:sz="4" w:space="0"/>
              <w:bottom w:val="single" w:color="auto" w:sz="4" w:space="0"/>
              <w:right w:val="single" w:color="auto" w:sz="4" w:space="0"/>
            </w:tcBorders>
            <w:noWrap w:val="0"/>
            <w:vAlign w:val="center"/>
          </w:tcPr>
          <w:p w14:paraId="64D12466">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黑白打印机</w:t>
            </w:r>
          </w:p>
          <w:p w14:paraId="5F1D3849">
            <w:pPr>
              <w:spacing w:line="460" w:lineRule="exact"/>
              <w:jc w:val="center"/>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（打印量需求较小的）</w:t>
            </w:r>
          </w:p>
        </w:tc>
        <w:tc>
          <w:tcPr>
            <w:tcW w:w="992" w:type="pct"/>
            <w:tcBorders>
              <w:top w:val="single" w:color="auto" w:sz="4" w:space="0"/>
              <w:left w:val="single" w:color="auto" w:sz="4" w:space="0"/>
              <w:bottom w:val="single" w:color="auto" w:sz="4" w:space="0"/>
              <w:right w:val="single" w:color="auto" w:sz="4" w:space="0"/>
            </w:tcBorders>
            <w:noWrap w:val="0"/>
            <w:vAlign w:val="center"/>
          </w:tcPr>
          <w:p w14:paraId="7F0C4250">
            <w:pPr>
              <w:keepNext w:val="0"/>
              <w:keepLines w:val="0"/>
              <w:pageBreakBefore w:val="0"/>
              <w:widowControl w:val="0"/>
              <w:kinsoku/>
              <w:wordWrap/>
              <w:overflowPunct/>
              <w:topLinePunct w:val="0"/>
              <w:autoSpaceDE/>
              <w:autoSpaceDN/>
              <w:bidi w:val="0"/>
              <w:adjustRightInd/>
              <w:snapToGrid/>
              <w:spacing w:line="460" w:lineRule="exact"/>
              <w:ind w:left="440" w:hanging="440"/>
              <w:jc w:val="left"/>
              <w:textAlignment w:val="auto"/>
              <w:rPr>
                <w:rFonts w:hint="eastAsia" w:ascii="新宋体" w:hAnsi="新宋体" w:eastAsia="新宋体" w:cs="新宋体"/>
                <w:bCs/>
                <w:color w:val="auto"/>
                <w:sz w:val="22"/>
                <w:szCs w:val="22"/>
                <w:highlight w:val="none"/>
              </w:rPr>
            </w:pPr>
          </w:p>
        </w:tc>
        <w:tc>
          <w:tcPr>
            <w:tcW w:w="2488" w:type="pct"/>
            <w:vMerge w:val="restart"/>
            <w:tcBorders>
              <w:top w:val="single" w:color="auto" w:sz="4" w:space="0"/>
              <w:left w:val="single" w:color="auto" w:sz="4" w:space="0"/>
              <w:right w:val="single" w:color="auto" w:sz="4" w:space="0"/>
            </w:tcBorders>
            <w:noWrap w:val="0"/>
            <w:vAlign w:val="center"/>
          </w:tcPr>
          <w:p w14:paraId="2F1BD17C">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①根据实际情况（医院扩建、科室新增等）使用经费租赁文印设备，中标方根据医院需求提供</w:t>
            </w:r>
            <w:r>
              <w:rPr>
                <w:rFonts w:hint="eastAsia" w:ascii="新宋体" w:hAnsi="新宋体" w:eastAsia="新宋体" w:cs="新宋体"/>
                <w:b/>
                <w:bCs/>
                <w:color w:val="auto"/>
                <w:sz w:val="22"/>
                <w:szCs w:val="22"/>
                <w:highlight w:val="none"/>
                <w:u w:val="single"/>
              </w:rPr>
              <w:t>每台文印设备每年租赁报价</w:t>
            </w:r>
            <w:r>
              <w:rPr>
                <w:rFonts w:hint="eastAsia" w:ascii="新宋体" w:hAnsi="新宋体" w:eastAsia="新宋体" w:cs="新宋体"/>
                <w:color w:val="auto"/>
                <w:sz w:val="22"/>
                <w:szCs w:val="22"/>
                <w:highlight w:val="none"/>
              </w:rPr>
              <w:t>。</w:t>
            </w:r>
          </w:p>
          <w:p w14:paraId="7A64E488">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②承担此项文印设备除纸张外所有耗材、维修维护服务及维修所需的配件费用。</w:t>
            </w:r>
          </w:p>
          <w:p w14:paraId="6E98BC2A">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③因医院原有文印设备报废淘汰而产生的替换服务不计入超额打印机外包服务。</w:t>
            </w:r>
          </w:p>
          <w:p w14:paraId="04D8574A">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▲④黑白打印机单台/年服务费不得超过600元。</w:t>
            </w:r>
          </w:p>
          <w:p w14:paraId="0872CA70">
            <w:pPr>
              <w:spacing w:line="460" w:lineRule="exact"/>
              <w:jc w:val="left"/>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▲⑤彩色打印机单台/年服务费不得超过800元。</w:t>
            </w:r>
          </w:p>
        </w:tc>
      </w:tr>
      <w:tr w14:paraId="64724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3" w:type="pct"/>
            <w:vMerge w:val="continue"/>
            <w:tcBorders>
              <w:left w:val="single" w:color="auto" w:sz="4" w:space="0"/>
              <w:right w:val="single" w:color="auto" w:sz="4" w:space="0"/>
            </w:tcBorders>
            <w:noWrap w:val="0"/>
            <w:vAlign w:val="center"/>
          </w:tcPr>
          <w:p w14:paraId="62652517">
            <w:pPr>
              <w:keepNext w:val="0"/>
              <w:keepLines w:val="0"/>
              <w:pageBreakBefore w:val="0"/>
              <w:widowControl w:val="0"/>
              <w:kinsoku/>
              <w:wordWrap/>
              <w:overflowPunct/>
              <w:topLinePunct w:val="0"/>
              <w:autoSpaceDE/>
              <w:autoSpaceDN/>
              <w:bidi w:val="0"/>
              <w:adjustRightInd/>
              <w:snapToGrid/>
              <w:spacing w:line="460" w:lineRule="exact"/>
              <w:ind w:left="440" w:hanging="440"/>
              <w:jc w:val="center"/>
              <w:textAlignment w:val="auto"/>
              <w:rPr>
                <w:rFonts w:hint="eastAsia" w:ascii="新宋体" w:hAnsi="新宋体" w:eastAsia="新宋体" w:cs="新宋体"/>
                <w:bCs/>
                <w:color w:val="auto"/>
                <w:sz w:val="22"/>
                <w:szCs w:val="22"/>
                <w:highlight w:val="none"/>
              </w:rPr>
            </w:pPr>
          </w:p>
        </w:tc>
        <w:tc>
          <w:tcPr>
            <w:tcW w:w="473" w:type="pct"/>
            <w:vMerge w:val="continue"/>
            <w:tcBorders>
              <w:left w:val="single" w:color="auto" w:sz="4" w:space="0"/>
              <w:right w:val="single" w:color="auto" w:sz="4" w:space="0"/>
            </w:tcBorders>
            <w:noWrap w:val="0"/>
            <w:vAlign w:val="center"/>
          </w:tcPr>
          <w:p w14:paraId="3904302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rPr>
            </w:pPr>
          </w:p>
        </w:tc>
        <w:tc>
          <w:tcPr>
            <w:tcW w:w="702" w:type="pct"/>
            <w:tcBorders>
              <w:top w:val="single" w:color="auto" w:sz="4" w:space="0"/>
              <w:left w:val="single" w:color="auto" w:sz="4" w:space="0"/>
              <w:bottom w:val="single" w:color="auto" w:sz="4" w:space="0"/>
              <w:right w:val="single" w:color="auto" w:sz="4" w:space="0"/>
            </w:tcBorders>
            <w:noWrap w:val="0"/>
            <w:vAlign w:val="center"/>
          </w:tcPr>
          <w:p w14:paraId="7C762E7F">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黑白打印机</w:t>
            </w:r>
          </w:p>
          <w:p w14:paraId="2A4BE58E">
            <w:pPr>
              <w:spacing w:line="460" w:lineRule="exact"/>
              <w:jc w:val="center"/>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（打印量需求大的）</w:t>
            </w:r>
          </w:p>
        </w:tc>
        <w:tc>
          <w:tcPr>
            <w:tcW w:w="992" w:type="pct"/>
            <w:tcBorders>
              <w:top w:val="single" w:color="auto" w:sz="4" w:space="0"/>
              <w:left w:val="single" w:color="auto" w:sz="4" w:space="0"/>
              <w:bottom w:val="single" w:color="auto" w:sz="4" w:space="0"/>
              <w:right w:val="single" w:color="auto" w:sz="4" w:space="0"/>
            </w:tcBorders>
            <w:noWrap w:val="0"/>
            <w:vAlign w:val="center"/>
          </w:tcPr>
          <w:p w14:paraId="302BE444">
            <w:pPr>
              <w:keepNext w:val="0"/>
              <w:keepLines w:val="0"/>
              <w:pageBreakBefore w:val="0"/>
              <w:widowControl w:val="0"/>
              <w:kinsoku/>
              <w:wordWrap/>
              <w:overflowPunct/>
              <w:topLinePunct w:val="0"/>
              <w:autoSpaceDE/>
              <w:autoSpaceDN/>
              <w:bidi w:val="0"/>
              <w:adjustRightInd/>
              <w:snapToGrid/>
              <w:spacing w:line="460" w:lineRule="exact"/>
              <w:ind w:left="440" w:hanging="440"/>
              <w:jc w:val="left"/>
              <w:textAlignment w:val="auto"/>
              <w:rPr>
                <w:rFonts w:hint="eastAsia" w:ascii="新宋体" w:hAnsi="新宋体" w:eastAsia="新宋体" w:cs="新宋体"/>
                <w:bCs/>
                <w:color w:val="auto"/>
                <w:sz w:val="22"/>
                <w:szCs w:val="22"/>
                <w:highlight w:val="none"/>
              </w:rPr>
            </w:pPr>
          </w:p>
        </w:tc>
        <w:tc>
          <w:tcPr>
            <w:tcW w:w="2488" w:type="pct"/>
            <w:vMerge w:val="continue"/>
            <w:tcBorders>
              <w:left w:val="single" w:color="auto" w:sz="4" w:space="0"/>
              <w:right w:val="single" w:color="auto" w:sz="4" w:space="0"/>
            </w:tcBorders>
            <w:noWrap w:val="0"/>
            <w:vAlign w:val="center"/>
          </w:tcPr>
          <w:p w14:paraId="61733C6F">
            <w:pPr>
              <w:spacing w:line="460" w:lineRule="exact"/>
              <w:jc w:val="left"/>
              <w:rPr>
                <w:rFonts w:hint="eastAsia" w:ascii="新宋体" w:hAnsi="新宋体" w:eastAsia="新宋体" w:cs="新宋体"/>
                <w:color w:val="auto"/>
                <w:sz w:val="22"/>
                <w:szCs w:val="22"/>
                <w:highlight w:val="none"/>
              </w:rPr>
            </w:pPr>
          </w:p>
        </w:tc>
      </w:tr>
      <w:tr w14:paraId="0AD4B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3" w:type="pct"/>
            <w:vMerge w:val="continue"/>
            <w:tcBorders>
              <w:left w:val="single" w:color="auto" w:sz="4" w:space="0"/>
              <w:right w:val="single" w:color="auto" w:sz="4" w:space="0"/>
            </w:tcBorders>
            <w:noWrap w:val="0"/>
            <w:vAlign w:val="center"/>
          </w:tcPr>
          <w:p w14:paraId="64CC3F0A">
            <w:pPr>
              <w:keepNext w:val="0"/>
              <w:keepLines w:val="0"/>
              <w:pageBreakBefore w:val="0"/>
              <w:widowControl w:val="0"/>
              <w:kinsoku/>
              <w:wordWrap/>
              <w:overflowPunct/>
              <w:topLinePunct w:val="0"/>
              <w:autoSpaceDE/>
              <w:autoSpaceDN/>
              <w:bidi w:val="0"/>
              <w:adjustRightInd/>
              <w:snapToGrid/>
              <w:spacing w:line="460" w:lineRule="exact"/>
              <w:ind w:left="440" w:hanging="440"/>
              <w:jc w:val="center"/>
              <w:textAlignment w:val="auto"/>
              <w:rPr>
                <w:rFonts w:hint="eastAsia" w:ascii="新宋体" w:hAnsi="新宋体" w:eastAsia="新宋体" w:cs="新宋体"/>
                <w:bCs/>
                <w:color w:val="auto"/>
                <w:sz w:val="22"/>
                <w:szCs w:val="22"/>
                <w:highlight w:val="none"/>
              </w:rPr>
            </w:pPr>
          </w:p>
        </w:tc>
        <w:tc>
          <w:tcPr>
            <w:tcW w:w="473" w:type="pct"/>
            <w:vMerge w:val="continue"/>
            <w:tcBorders>
              <w:left w:val="single" w:color="auto" w:sz="4" w:space="0"/>
              <w:right w:val="single" w:color="auto" w:sz="4" w:space="0"/>
            </w:tcBorders>
            <w:noWrap w:val="0"/>
            <w:vAlign w:val="center"/>
          </w:tcPr>
          <w:p w14:paraId="2A56567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rPr>
            </w:pPr>
          </w:p>
        </w:tc>
        <w:tc>
          <w:tcPr>
            <w:tcW w:w="702" w:type="pct"/>
            <w:tcBorders>
              <w:top w:val="single" w:color="auto" w:sz="4" w:space="0"/>
              <w:left w:val="single" w:color="auto" w:sz="4" w:space="0"/>
              <w:bottom w:val="single" w:color="auto" w:sz="4" w:space="0"/>
              <w:right w:val="single" w:color="auto" w:sz="4" w:space="0"/>
            </w:tcBorders>
            <w:noWrap w:val="0"/>
            <w:vAlign w:val="center"/>
          </w:tcPr>
          <w:p w14:paraId="612AA0C2">
            <w:pPr>
              <w:spacing w:line="460" w:lineRule="exact"/>
              <w:jc w:val="center"/>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彩色打印机</w:t>
            </w:r>
          </w:p>
        </w:tc>
        <w:tc>
          <w:tcPr>
            <w:tcW w:w="992" w:type="pct"/>
            <w:tcBorders>
              <w:top w:val="single" w:color="auto" w:sz="4" w:space="0"/>
              <w:left w:val="single" w:color="auto" w:sz="4" w:space="0"/>
              <w:bottom w:val="single" w:color="auto" w:sz="4" w:space="0"/>
              <w:right w:val="single" w:color="auto" w:sz="4" w:space="0"/>
            </w:tcBorders>
            <w:noWrap w:val="0"/>
            <w:vAlign w:val="center"/>
          </w:tcPr>
          <w:p w14:paraId="6C9BDAEF">
            <w:pPr>
              <w:keepNext w:val="0"/>
              <w:keepLines w:val="0"/>
              <w:pageBreakBefore w:val="0"/>
              <w:widowControl w:val="0"/>
              <w:kinsoku/>
              <w:wordWrap/>
              <w:overflowPunct/>
              <w:topLinePunct w:val="0"/>
              <w:autoSpaceDE/>
              <w:autoSpaceDN/>
              <w:bidi w:val="0"/>
              <w:adjustRightInd/>
              <w:snapToGrid/>
              <w:spacing w:line="460" w:lineRule="exact"/>
              <w:ind w:left="440" w:hanging="440"/>
              <w:jc w:val="left"/>
              <w:textAlignment w:val="auto"/>
              <w:rPr>
                <w:rFonts w:hint="eastAsia" w:ascii="新宋体" w:hAnsi="新宋体" w:eastAsia="新宋体" w:cs="新宋体"/>
                <w:bCs/>
                <w:color w:val="auto"/>
                <w:sz w:val="22"/>
                <w:szCs w:val="22"/>
                <w:highlight w:val="none"/>
              </w:rPr>
            </w:pPr>
          </w:p>
        </w:tc>
        <w:tc>
          <w:tcPr>
            <w:tcW w:w="2488" w:type="pct"/>
            <w:vMerge w:val="continue"/>
            <w:tcBorders>
              <w:left w:val="single" w:color="auto" w:sz="4" w:space="0"/>
              <w:right w:val="single" w:color="auto" w:sz="4" w:space="0"/>
            </w:tcBorders>
            <w:noWrap w:val="0"/>
            <w:vAlign w:val="center"/>
          </w:tcPr>
          <w:p w14:paraId="4C05980D">
            <w:pPr>
              <w:spacing w:line="460" w:lineRule="exact"/>
              <w:jc w:val="left"/>
              <w:rPr>
                <w:rFonts w:hint="eastAsia" w:ascii="新宋体" w:hAnsi="新宋体" w:eastAsia="新宋体" w:cs="新宋体"/>
                <w:color w:val="auto"/>
                <w:sz w:val="22"/>
                <w:szCs w:val="22"/>
                <w:highlight w:val="none"/>
              </w:rPr>
            </w:pPr>
          </w:p>
        </w:tc>
      </w:tr>
      <w:tr w14:paraId="3FA8A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3" w:type="pct"/>
            <w:vMerge w:val="continue"/>
            <w:tcBorders>
              <w:left w:val="single" w:color="auto" w:sz="4" w:space="0"/>
              <w:right w:val="single" w:color="auto" w:sz="4" w:space="0"/>
            </w:tcBorders>
            <w:noWrap w:val="0"/>
            <w:vAlign w:val="center"/>
          </w:tcPr>
          <w:p w14:paraId="1F83F505">
            <w:pPr>
              <w:keepNext w:val="0"/>
              <w:keepLines w:val="0"/>
              <w:pageBreakBefore w:val="0"/>
              <w:widowControl w:val="0"/>
              <w:kinsoku/>
              <w:wordWrap/>
              <w:overflowPunct/>
              <w:topLinePunct w:val="0"/>
              <w:autoSpaceDE/>
              <w:autoSpaceDN/>
              <w:bidi w:val="0"/>
              <w:adjustRightInd/>
              <w:snapToGrid/>
              <w:spacing w:line="460" w:lineRule="exact"/>
              <w:ind w:left="440" w:hanging="440"/>
              <w:jc w:val="center"/>
              <w:textAlignment w:val="auto"/>
              <w:rPr>
                <w:rFonts w:hint="eastAsia" w:ascii="新宋体" w:hAnsi="新宋体" w:eastAsia="新宋体" w:cs="新宋体"/>
                <w:bCs/>
                <w:color w:val="auto"/>
                <w:sz w:val="22"/>
                <w:szCs w:val="22"/>
                <w:highlight w:val="none"/>
              </w:rPr>
            </w:pPr>
          </w:p>
        </w:tc>
        <w:tc>
          <w:tcPr>
            <w:tcW w:w="473" w:type="pct"/>
            <w:vMerge w:val="continue"/>
            <w:tcBorders>
              <w:left w:val="single" w:color="auto" w:sz="4" w:space="0"/>
              <w:right w:val="single" w:color="auto" w:sz="4" w:space="0"/>
            </w:tcBorders>
            <w:noWrap w:val="0"/>
            <w:vAlign w:val="center"/>
          </w:tcPr>
          <w:p w14:paraId="6DDB0B2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rPr>
            </w:pPr>
          </w:p>
        </w:tc>
        <w:tc>
          <w:tcPr>
            <w:tcW w:w="702" w:type="pct"/>
            <w:tcBorders>
              <w:top w:val="single" w:color="auto" w:sz="4" w:space="0"/>
              <w:left w:val="single" w:color="auto" w:sz="4" w:space="0"/>
              <w:bottom w:val="single" w:color="auto" w:sz="4" w:space="0"/>
              <w:right w:val="single" w:color="auto" w:sz="4" w:space="0"/>
            </w:tcBorders>
            <w:noWrap w:val="0"/>
            <w:vAlign w:val="center"/>
          </w:tcPr>
          <w:p w14:paraId="3390EE88">
            <w:pPr>
              <w:spacing w:line="460" w:lineRule="exact"/>
              <w:jc w:val="center"/>
              <w:rPr>
                <w:rFonts w:hint="eastAsia"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复合打印机</w:t>
            </w:r>
          </w:p>
        </w:tc>
        <w:tc>
          <w:tcPr>
            <w:tcW w:w="992" w:type="pct"/>
            <w:tcBorders>
              <w:top w:val="single" w:color="auto" w:sz="4" w:space="0"/>
              <w:left w:val="single" w:color="auto" w:sz="4" w:space="0"/>
              <w:bottom w:val="single" w:color="auto" w:sz="4" w:space="0"/>
              <w:right w:val="single" w:color="auto" w:sz="4" w:space="0"/>
            </w:tcBorders>
            <w:noWrap w:val="0"/>
            <w:vAlign w:val="center"/>
          </w:tcPr>
          <w:p w14:paraId="2492F61E">
            <w:pPr>
              <w:keepNext w:val="0"/>
              <w:keepLines w:val="0"/>
              <w:pageBreakBefore w:val="0"/>
              <w:widowControl w:val="0"/>
              <w:kinsoku/>
              <w:wordWrap/>
              <w:overflowPunct/>
              <w:topLinePunct w:val="0"/>
              <w:autoSpaceDE/>
              <w:autoSpaceDN/>
              <w:bidi w:val="0"/>
              <w:adjustRightInd/>
              <w:snapToGrid/>
              <w:spacing w:line="460" w:lineRule="exact"/>
              <w:ind w:left="440" w:hanging="440"/>
              <w:jc w:val="left"/>
              <w:textAlignment w:val="auto"/>
              <w:rPr>
                <w:rFonts w:hint="eastAsia" w:ascii="新宋体" w:hAnsi="新宋体" w:eastAsia="新宋体" w:cs="新宋体"/>
                <w:bCs/>
                <w:color w:val="auto"/>
                <w:sz w:val="22"/>
                <w:szCs w:val="22"/>
                <w:highlight w:val="none"/>
              </w:rPr>
            </w:pPr>
          </w:p>
        </w:tc>
        <w:tc>
          <w:tcPr>
            <w:tcW w:w="2488" w:type="pct"/>
            <w:vMerge w:val="continue"/>
            <w:tcBorders>
              <w:left w:val="single" w:color="auto" w:sz="4" w:space="0"/>
              <w:right w:val="single" w:color="auto" w:sz="4" w:space="0"/>
            </w:tcBorders>
            <w:noWrap w:val="0"/>
            <w:vAlign w:val="center"/>
          </w:tcPr>
          <w:p w14:paraId="29DD7862">
            <w:pPr>
              <w:spacing w:line="460" w:lineRule="exact"/>
              <w:jc w:val="left"/>
              <w:rPr>
                <w:rFonts w:hint="eastAsia" w:ascii="新宋体" w:hAnsi="新宋体" w:eastAsia="新宋体" w:cs="新宋体"/>
                <w:color w:val="auto"/>
                <w:sz w:val="22"/>
                <w:szCs w:val="22"/>
                <w:highlight w:val="none"/>
              </w:rPr>
            </w:pPr>
          </w:p>
        </w:tc>
      </w:tr>
      <w:tr w14:paraId="12816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43" w:type="pct"/>
            <w:vMerge w:val="continue"/>
            <w:tcBorders>
              <w:left w:val="single" w:color="auto" w:sz="4" w:space="0"/>
              <w:right w:val="single" w:color="auto" w:sz="4" w:space="0"/>
            </w:tcBorders>
            <w:noWrap w:val="0"/>
            <w:vAlign w:val="center"/>
          </w:tcPr>
          <w:p w14:paraId="513021BF">
            <w:pPr>
              <w:keepNext w:val="0"/>
              <w:keepLines w:val="0"/>
              <w:pageBreakBefore w:val="0"/>
              <w:widowControl w:val="0"/>
              <w:kinsoku/>
              <w:wordWrap/>
              <w:overflowPunct/>
              <w:topLinePunct w:val="0"/>
              <w:autoSpaceDE/>
              <w:autoSpaceDN/>
              <w:bidi w:val="0"/>
              <w:adjustRightInd/>
              <w:snapToGrid/>
              <w:spacing w:line="460" w:lineRule="exact"/>
              <w:ind w:left="440" w:hanging="440"/>
              <w:jc w:val="center"/>
              <w:textAlignment w:val="auto"/>
              <w:rPr>
                <w:rFonts w:hint="eastAsia" w:ascii="新宋体" w:hAnsi="新宋体" w:eastAsia="新宋体" w:cs="新宋体"/>
                <w:bCs/>
                <w:color w:val="auto"/>
                <w:sz w:val="22"/>
                <w:szCs w:val="22"/>
                <w:highlight w:val="none"/>
              </w:rPr>
            </w:pPr>
          </w:p>
        </w:tc>
        <w:tc>
          <w:tcPr>
            <w:tcW w:w="473" w:type="pct"/>
            <w:vMerge w:val="continue"/>
            <w:tcBorders>
              <w:left w:val="single" w:color="auto" w:sz="4" w:space="0"/>
              <w:right w:val="single" w:color="auto" w:sz="4" w:space="0"/>
            </w:tcBorders>
            <w:noWrap w:val="0"/>
            <w:vAlign w:val="center"/>
          </w:tcPr>
          <w:p w14:paraId="0240CCC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rPr>
            </w:pPr>
          </w:p>
        </w:tc>
        <w:tc>
          <w:tcPr>
            <w:tcW w:w="702" w:type="pct"/>
            <w:tcBorders>
              <w:top w:val="single" w:color="auto" w:sz="4" w:space="0"/>
              <w:left w:val="single" w:color="auto" w:sz="4" w:space="0"/>
              <w:bottom w:val="single" w:color="auto" w:sz="4" w:space="0"/>
              <w:right w:val="single" w:color="auto" w:sz="4" w:space="0"/>
            </w:tcBorders>
            <w:noWrap w:val="0"/>
            <w:vAlign w:val="center"/>
          </w:tcPr>
          <w:p w14:paraId="00132523">
            <w:pPr>
              <w:spacing w:line="460" w:lineRule="exact"/>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合计</w:t>
            </w:r>
          </w:p>
        </w:tc>
        <w:tc>
          <w:tcPr>
            <w:tcW w:w="992" w:type="pct"/>
            <w:tcBorders>
              <w:top w:val="single" w:color="auto" w:sz="4" w:space="0"/>
              <w:left w:val="single" w:color="auto" w:sz="4" w:space="0"/>
              <w:bottom w:val="single" w:color="auto" w:sz="4" w:space="0"/>
              <w:right w:val="single" w:color="auto" w:sz="4" w:space="0"/>
            </w:tcBorders>
            <w:noWrap w:val="0"/>
            <w:vAlign w:val="center"/>
          </w:tcPr>
          <w:p w14:paraId="6E8AF6C5">
            <w:pPr>
              <w:keepNext w:val="0"/>
              <w:keepLines w:val="0"/>
              <w:pageBreakBefore w:val="0"/>
              <w:widowControl w:val="0"/>
              <w:kinsoku/>
              <w:wordWrap/>
              <w:overflowPunct/>
              <w:topLinePunct w:val="0"/>
              <w:autoSpaceDE/>
              <w:autoSpaceDN/>
              <w:bidi w:val="0"/>
              <w:adjustRightInd/>
              <w:snapToGrid/>
              <w:spacing w:line="460" w:lineRule="exact"/>
              <w:ind w:left="440" w:hanging="440"/>
              <w:jc w:val="left"/>
              <w:textAlignment w:val="auto"/>
              <w:rPr>
                <w:rFonts w:hint="eastAsia" w:ascii="新宋体" w:hAnsi="新宋体" w:eastAsia="新宋体" w:cs="新宋体"/>
                <w:bCs/>
                <w:color w:val="auto"/>
                <w:sz w:val="22"/>
                <w:szCs w:val="22"/>
                <w:highlight w:val="none"/>
              </w:rPr>
            </w:pPr>
          </w:p>
        </w:tc>
        <w:tc>
          <w:tcPr>
            <w:tcW w:w="2488" w:type="pct"/>
            <w:vMerge w:val="continue"/>
            <w:tcBorders>
              <w:left w:val="single" w:color="auto" w:sz="4" w:space="0"/>
              <w:bottom w:val="single" w:color="auto" w:sz="4" w:space="0"/>
              <w:right w:val="single" w:color="auto" w:sz="4" w:space="0"/>
            </w:tcBorders>
            <w:noWrap w:val="0"/>
            <w:vAlign w:val="center"/>
          </w:tcPr>
          <w:p w14:paraId="2B7B6D17">
            <w:pPr>
              <w:spacing w:line="460" w:lineRule="exact"/>
              <w:jc w:val="left"/>
              <w:rPr>
                <w:rFonts w:hint="eastAsia" w:ascii="新宋体" w:hAnsi="新宋体" w:eastAsia="新宋体" w:cs="新宋体"/>
                <w:color w:val="auto"/>
                <w:sz w:val="22"/>
                <w:szCs w:val="22"/>
                <w:highlight w:val="none"/>
                <w:lang w:val="en-US" w:eastAsia="zh-CN"/>
              </w:rPr>
            </w:pPr>
          </w:p>
        </w:tc>
      </w:tr>
    </w:tbl>
    <w:p w14:paraId="494E763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color w:val="auto"/>
          <w:sz w:val="22"/>
          <w:szCs w:val="22"/>
          <w:highlight w:val="none"/>
        </w:rPr>
        <w:t>说明</w:t>
      </w:r>
      <w:r>
        <w:rPr>
          <w:rFonts w:hint="eastAsia" w:ascii="新宋体" w:hAnsi="新宋体" w:eastAsia="新宋体" w:cs="新宋体"/>
          <w:b/>
          <w:color w:val="auto"/>
          <w:sz w:val="22"/>
          <w:szCs w:val="22"/>
          <w:highlight w:val="none"/>
          <w:lang w:val="en-US" w:eastAsia="zh-CN"/>
        </w:rPr>
        <w:tab/>
      </w:r>
      <w:r>
        <w:rPr>
          <w:rFonts w:hint="eastAsia" w:ascii="新宋体" w:hAnsi="新宋体" w:eastAsia="新宋体" w:cs="新宋体"/>
          <w:b/>
          <w:color w:val="auto"/>
          <w:sz w:val="22"/>
          <w:szCs w:val="22"/>
          <w:highlight w:val="none"/>
          <w:lang w:val="en-US" w:eastAsia="zh-CN"/>
        </w:rPr>
        <w:t>1、</w:t>
      </w:r>
      <w:r>
        <w:rPr>
          <w:rFonts w:hint="eastAsia" w:ascii="新宋体" w:hAnsi="新宋体" w:eastAsia="新宋体" w:cs="新宋体"/>
          <w:color w:val="auto"/>
          <w:sz w:val="22"/>
          <w:szCs w:val="22"/>
          <w:highlight w:val="none"/>
        </w:rPr>
        <w:t>▲</w:t>
      </w:r>
      <w:r>
        <w:rPr>
          <w:rFonts w:hint="eastAsia" w:ascii="新宋体" w:hAnsi="新宋体" w:eastAsia="新宋体" w:cs="新宋体"/>
          <w:b/>
          <w:bCs/>
          <w:color w:val="auto"/>
          <w:sz w:val="22"/>
          <w:szCs w:val="22"/>
          <w:highlight w:val="none"/>
          <w:u w:val="single"/>
        </w:rPr>
        <w:t>投标人以零价或免费赠送等恶性竞争进行报价，评标委员会应当将其作为无效投标处理。</w:t>
      </w:r>
    </w:p>
    <w:p w14:paraId="7F6677C0">
      <w:pPr>
        <w:numPr>
          <w:ilvl w:val="0"/>
          <w:numId w:val="0"/>
        </w:numPr>
        <w:spacing w:line="450" w:lineRule="exact"/>
        <w:ind w:left="380" w:leftChars="0" w:firstLine="380" w:firstLineChars="0"/>
        <w:rPr>
          <w:rFonts w:hint="eastAsia"/>
          <w:color w:val="auto"/>
          <w:highlight w:val="none"/>
        </w:rPr>
      </w:pPr>
      <w:r>
        <w:rPr>
          <w:rFonts w:hint="eastAsia" w:ascii="宋体" w:hAnsi="宋体" w:cs="宋体"/>
          <w:b/>
          <w:color w:val="auto"/>
          <w:kern w:val="2"/>
          <w:sz w:val="22"/>
          <w:szCs w:val="24"/>
          <w:highlight w:val="none"/>
          <w:lang w:val="en-US" w:eastAsia="zh-CN" w:bidi="ar-SA"/>
        </w:rPr>
        <w:t>2</w:t>
      </w:r>
      <w:r>
        <w:rPr>
          <w:rFonts w:ascii="宋体" w:hAnsi="宋体" w:eastAsia="宋体" w:cs="宋体"/>
          <w:b/>
          <w:color w:val="auto"/>
          <w:kern w:val="2"/>
          <w:sz w:val="22"/>
          <w:szCs w:val="24"/>
          <w:highlight w:val="none"/>
          <w:lang w:val="en-US" w:eastAsia="zh-CN" w:bidi="ar-SA"/>
        </w:rPr>
        <w:t>、</w:t>
      </w:r>
      <w:r>
        <w:rPr>
          <w:rFonts w:hint="eastAsia" w:ascii="宋体" w:hAnsi="宋体" w:cs="宋体"/>
          <w:b/>
          <w:color w:val="auto"/>
          <w:sz w:val="22"/>
          <w:highlight w:val="none"/>
        </w:rPr>
        <w:t>不提供此表格将被视为没有实质性响应招标文件</w:t>
      </w:r>
    </w:p>
    <w:p w14:paraId="28FEBD4D">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p>
    <w:p w14:paraId="7A2C9146">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0A5876BF">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11EF3A99">
      <w:pPr>
        <w:keepNext w:val="0"/>
        <w:keepLines w:val="0"/>
        <w:pageBreakBefore w:val="0"/>
        <w:widowControl w:val="0"/>
        <w:kinsoku/>
        <w:wordWrap/>
        <w:overflowPunct/>
        <w:topLinePunct w:val="0"/>
        <w:autoSpaceDE/>
        <w:autoSpaceDN/>
        <w:bidi w:val="0"/>
        <w:adjustRightInd/>
        <w:snapToGrid/>
        <w:spacing w:line="460" w:lineRule="exact"/>
        <w:ind w:firstLine="5280" w:firstLineChars="2400"/>
        <w:textAlignment w:val="auto"/>
        <w:rPr>
          <w:rFonts w:hint="eastAsia" w:ascii="新宋体" w:hAnsi="新宋体" w:eastAsia="新宋体" w:cs="新宋体"/>
          <w:color w:val="auto"/>
          <w:highlight w:val="none"/>
        </w:rPr>
      </w:pPr>
      <w:r>
        <w:rPr>
          <w:rFonts w:hint="eastAsia" w:ascii="新宋体" w:hAnsi="新宋体" w:eastAsia="新宋体" w:cs="新宋体"/>
          <w:color w:val="auto"/>
          <w:sz w:val="22"/>
          <w:szCs w:val="22"/>
          <w:highlight w:val="none"/>
        </w:rPr>
        <w:t>日   期：</w:t>
      </w:r>
      <w:r>
        <w:rPr>
          <w:rFonts w:hint="eastAsia" w:ascii="新宋体" w:hAnsi="新宋体" w:eastAsia="新宋体" w:cs="新宋体"/>
          <w:color w:val="auto"/>
          <w:highlight w:val="none"/>
        </w:rPr>
        <w:br w:type="page"/>
      </w:r>
    </w:p>
    <w:p w14:paraId="4F2A4FBB">
      <w:pPr>
        <w:outlineLvl w:val="1"/>
        <w:rPr>
          <w:rFonts w:hint="eastAsia" w:ascii="新宋体" w:hAnsi="新宋体" w:eastAsia="新宋体" w:cs="新宋体"/>
          <w:b/>
          <w:bCs/>
          <w:color w:val="auto"/>
          <w:sz w:val="22"/>
          <w:szCs w:val="22"/>
          <w:highlight w:val="none"/>
        </w:rPr>
      </w:pPr>
      <w:bookmarkStart w:id="73" w:name="_Toc32157"/>
      <w:bookmarkStart w:id="74" w:name="_Toc20663"/>
      <w:bookmarkStart w:id="75" w:name="_Toc12262"/>
      <w:r>
        <w:rPr>
          <w:rFonts w:hint="eastAsia" w:ascii="新宋体" w:hAnsi="新宋体" w:eastAsia="新宋体" w:cs="新宋体"/>
          <w:b/>
          <w:bCs/>
          <w:color w:val="auto"/>
          <w:sz w:val="22"/>
          <w:szCs w:val="22"/>
          <w:highlight w:val="none"/>
        </w:rPr>
        <w:t>附件三</w:t>
      </w:r>
      <w:bookmarkEnd w:id="73"/>
      <w:bookmarkEnd w:id="74"/>
      <w:bookmarkEnd w:id="75"/>
    </w:p>
    <w:p w14:paraId="4B89394C">
      <w:pPr>
        <w:spacing w:line="460" w:lineRule="exact"/>
        <w:jc w:val="center"/>
        <w:outlineLvl w:val="2"/>
        <w:rPr>
          <w:rFonts w:hint="eastAsia" w:ascii="新宋体" w:hAnsi="新宋体" w:eastAsia="新宋体" w:cs="新宋体"/>
          <w:b/>
          <w:bCs/>
          <w:color w:val="auto"/>
          <w:sz w:val="28"/>
          <w:szCs w:val="28"/>
          <w:highlight w:val="none"/>
        </w:rPr>
      </w:pPr>
      <w:bookmarkStart w:id="76" w:name="_Toc20086"/>
      <w:bookmarkStart w:id="77" w:name="_Toc10973"/>
      <w:r>
        <w:rPr>
          <w:rFonts w:hint="eastAsia" w:ascii="新宋体" w:hAnsi="新宋体" w:eastAsia="新宋体" w:cs="新宋体"/>
          <w:b/>
          <w:bCs/>
          <w:color w:val="auto"/>
          <w:sz w:val="28"/>
          <w:szCs w:val="28"/>
          <w:highlight w:val="none"/>
          <w:lang w:val="zh-CN"/>
        </w:rPr>
        <w:t>商务技术文件</w:t>
      </w:r>
      <w:bookmarkEnd w:id="76"/>
      <w:bookmarkEnd w:id="77"/>
    </w:p>
    <w:p w14:paraId="5BD7278B">
      <w:pPr>
        <w:spacing w:line="460" w:lineRule="exact"/>
        <w:jc w:val="center"/>
        <w:outlineLvl w:val="3"/>
        <w:rPr>
          <w:rFonts w:hint="eastAsia" w:ascii="新宋体" w:hAnsi="新宋体" w:eastAsia="新宋体"/>
          <w:b/>
          <w:bCs/>
          <w:color w:val="auto"/>
          <w:sz w:val="28"/>
          <w:szCs w:val="28"/>
          <w:highlight w:val="none"/>
          <w:lang w:val="zh-CN" w:eastAsia="zh-CN"/>
        </w:rPr>
      </w:pPr>
      <w:r>
        <w:rPr>
          <w:rFonts w:hint="eastAsia" w:ascii="新宋体" w:hAnsi="新宋体" w:eastAsia="新宋体"/>
          <w:b/>
          <w:bCs/>
          <w:color w:val="auto"/>
          <w:sz w:val="28"/>
          <w:szCs w:val="28"/>
          <w:highlight w:val="none"/>
          <w:lang w:val="en-US" w:eastAsia="zh-CN"/>
        </w:rPr>
        <w:t>1、</w:t>
      </w:r>
      <w:r>
        <w:rPr>
          <w:rFonts w:hint="eastAsia" w:ascii="新宋体" w:hAnsi="新宋体" w:eastAsia="新宋体"/>
          <w:b/>
          <w:bCs/>
          <w:color w:val="auto"/>
          <w:sz w:val="28"/>
          <w:szCs w:val="28"/>
          <w:highlight w:val="none"/>
          <w:lang w:val="zh-CN" w:eastAsia="zh-CN"/>
        </w:rPr>
        <w:t>投标函</w:t>
      </w:r>
    </w:p>
    <w:p w14:paraId="480F25C5">
      <w:pPr>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致：</w:t>
      </w:r>
      <w:r>
        <w:rPr>
          <w:rFonts w:hint="eastAsia" w:ascii="新宋体" w:hAnsi="新宋体" w:eastAsia="新宋体" w:cs="新宋体"/>
          <w:color w:val="auto"/>
          <w:sz w:val="22"/>
          <w:szCs w:val="22"/>
          <w:highlight w:val="none"/>
          <w:lang w:eastAsia="zh-CN"/>
        </w:rPr>
        <w:t>温州市第七人民医院</w:t>
      </w:r>
    </w:p>
    <w:p w14:paraId="5D748DE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根据贵方为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项目（招标编号：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en-US" w:eastAsia="zh-CN"/>
        </w:rPr>
        <w:t xml:space="preserve">       </w:t>
      </w:r>
      <w:r>
        <w:rPr>
          <w:rFonts w:hint="eastAsia" w:ascii="新宋体" w:hAnsi="新宋体" w:eastAsia="新宋体" w:cs="新宋体"/>
          <w:color w:val="auto"/>
          <w:sz w:val="22"/>
          <w:szCs w:val="22"/>
          <w:highlight w:val="none"/>
        </w:rPr>
        <w:t>）的投标邀请，我方</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（投标人名称）作为投标人正式授权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（授权代表全名，职务）代表我方处理有关本投标的一切事宜。为此：</w:t>
      </w:r>
    </w:p>
    <w:p w14:paraId="4C87123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1、我方同意在投标人编制和提交投标文件须知规定的开标日期起遵守本投标书中的承诺且在投标有效期满之前均具有约束力。</w:t>
      </w:r>
    </w:p>
    <w:p w14:paraId="474C27C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2、我方承诺已经具备《中华人民共和国政府采购法》中规定的参加政府采购活动的投标人应当具备的条件：</w:t>
      </w:r>
    </w:p>
    <w:p w14:paraId="59FD0C8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（1）具有独立承担民事责任的能力；</w:t>
      </w:r>
    </w:p>
    <w:p w14:paraId="29903D0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（2）遵守国家法律、行政法规，具有良好的信誉和商业道德；</w:t>
      </w:r>
    </w:p>
    <w:p w14:paraId="0CE8A66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（3）具有履行合同的能力和良好的履行合同记录；</w:t>
      </w:r>
    </w:p>
    <w:p w14:paraId="59E5170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（4）良好的资金、财务状况；</w:t>
      </w:r>
    </w:p>
    <w:p w14:paraId="692F100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（5）提供的产品和服务符合中国政府规定的相应标准和环保标准；</w:t>
      </w:r>
    </w:p>
    <w:p w14:paraId="3FFA08F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（6）没有违反政府采购法规、政策的记录；</w:t>
      </w:r>
    </w:p>
    <w:p w14:paraId="6124B1F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（7）没有发生重大经济纠纷和走私犯罪记录。</w:t>
      </w:r>
    </w:p>
    <w:p w14:paraId="0544C63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3、提供编制和提交投标文件须知规定的全部投标文件，包括资格文件、报价文件、商务技术文件。具体内容为：</w:t>
      </w:r>
    </w:p>
    <w:p w14:paraId="5BCFA8A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（1）资格文件</w:t>
      </w:r>
    </w:p>
    <w:p w14:paraId="4750CB0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（2）报价文件；</w:t>
      </w:r>
    </w:p>
    <w:p w14:paraId="17B549F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lang w:val="zh-CN"/>
        </w:rPr>
        <w:t>商务技术文件</w:t>
      </w:r>
      <w:r>
        <w:rPr>
          <w:rFonts w:hint="eastAsia" w:ascii="新宋体" w:hAnsi="新宋体" w:eastAsia="新宋体" w:cs="新宋体"/>
          <w:color w:val="auto"/>
          <w:sz w:val="22"/>
          <w:szCs w:val="22"/>
          <w:highlight w:val="none"/>
        </w:rPr>
        <w:t>；</w:t>
      </w:r>
    </w:p>
    <w:p w14:paraId="1FBC8A4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（4）编制和提交投标文件须知要求投标人提交的全部文件；</w:t>
      </w:r>
    </w:p>
    <w:p w14:paraId="6FFBA32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（5）按招标文件要求提供和交付的货物和服务的投标报价详见开标一览表；</w:t>
      </w:r>
    </w:p>
    <w:p w14:paraId="5908764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（6）保证忠实地执行双方所签订的合同，并承担合同规定的责任和义务；</w:t>
      </w:r>
    </w:p>
    <w:p w14:paraId="1B85EF3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（7）保证遵守招标文件中的其他有关规定。</w:t>
      </w:r>
    </w:p>
    <w:p w14:paraId="45FF8EA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4、投标有效期内不撤销投标文件，如中标，有效期将延至合同终止日为止。</w:t>
      </w:r>
    </w:p>
    <w:p w14:paraId="54D326FA">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5、我方完全理解贵方不一定要接受最低价的投标。</w:t>
      </w:r>
    </w:p>
    <w:p w14:paraId="744250E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6、如中标，按招标文件规定与招标人签订合同。如拒绝签订合同，承诺按本项目预算金额的2%对招标人进行赔偿；赔偿金额不足以弥补招标人损失的，承诺继续承担超过部分的损失。</w:t>
      </w:r>
    </w:p>
    <w:p w14:paraId="157A6F1D">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7、如中标，按招标文件规定的招标代理服务费标准，在领取中标通知书时向招标代理机构支付招标代理服务费。</w:t>
      </w:r>
    </w:p>
    <w:p w14:paraId="4C953D5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8、我方愿意向贵方提供任何与该项投标有关的数据、情况和服务资料。若贵方需要，我方愿意提供我方作出的一切承诺的证明材料。</w:t>
      </w:r>
    </w:p>
    <w:p w14:paraId="34568AC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9、我方已详细审核全部招标文件，包括招标文件修改书（如有的话）、参考资料及有关附件，确认无误。我方完全理解并接受招标文件的各项规定和要求，对招标文件的合理性、合法性不再有异议。</w:t>
      </w:r>
    </w:p>
    <w:p w14:paraId="7065D7C1">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10、我方将严格遵守《中华人民共和国政府采购法》第七十七条规定，投标人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14:paraId="2E42F35B">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（1）提供虚假材料谋取中标、成交的；</w:t>
      </w:r>
    </w:p>
    <w:p w14:paraId="0F7026F5">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（2）采取不正当手段诋毁、排挤其他投标人的；</w:t>
      </w:r>
    </w:p>
    <w:p w14:paraId="2001D76D">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（3）与招标人、其它投标人或者招标代理机构恶意串通的；</w:t>
      </w:r>
    </w:p>
    <w:p w14:paraId="28AF297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（4）向招标人、招标代理机构行贿或者提供其他不正当利益的；</w:t>
      </w:r>
    </w:p>
    <w:p w14:paraId="53D6B81B">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（5）在招标采购过程中与招标人进行协商谈判的；</w:t>
      </w:r>
    </w:p>
    <w:p w14:paraId="5E9DC07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（6）拒绝有关部门监督检查或提供虚假情况的。</w:t>
      </w:r>
    </w:p>
    <w:p w14:paraId="5261E25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投标人有前款第（1）至（5）项情形之一的，中标、成交无效。</w:t>
      </w:r>
    </w:p>
    <w:p w14:paraId="52ABD0CD">
      <w:pPr>
        <w:spacing w:line="460" w:lineRule="exact"/>
        <w:rPr>
          <w:rFonts w:hint="eastAsia" w:ascii="新宋体" w:hAnsi="新宋体" w:eastAsia="新宋体" w:cs="新宋体"/>
          <w:color w:val="auto"/>
          <w:sz w:val="22"/>
          <w:szCs w:val="22"/>
          <w:highlight w:val="none"/>
          <w:lang w:val="zh-CN"/>
        </w:rPr>
      </w:pPr>
    </w:p>
    <w:p w14:paraId="22060684">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法定（授权）代表人（签字）：</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p>
    <w:p w14:paraId="7EFEED7B">
      <w:pPr>
        <w:spacing w:line="460" w:lineRule="exact"/>
        <w:rPr>
          <w:rFonts w:hint="eastAsia"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投标人（盖 章）：</w:t>
      </w:r>
      <w:r>
        <w:rPr>
          <w:rFonts w:hint="eastAsia" w:ascii="新宋体" w:hAnsi="新宋体" w:eastAsia="新宋体" w:cs="新宋体"/>
          <w:color w:val="auto"/>
          <w:sz w:val="22"/>
          <w:szCs w:val="22"/>
          <w:highlight w:val="none"/>
          <w:u w:val="single"/>
          <w:lang w:val="zh-CN"/>
        </w:rPr>
        <w:t xml:space="preserve">                   </w:t>
      </w:r>
    </w:p>
    <w:p w14:paraId="26AC8EAB">
      <w:pPr>
        <w:spacing w:line="460" w:lineRule="exact"/>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lang w:val="zh-CN"/>
        </w:rPr>
        <w:t>联系电话：</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传真：</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电子邮件：</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7C654195">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联系地址：</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41954F29">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邮政编码：</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 xml:space="preserve"> </w:t>
      </w:r>
    </w:p>
    <w:p w14:paraId="2A8E96EC">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日</w:t>
      </w: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sz w:val="22"/>
          <w:szCs w:val="22"/>
          <w:highlight w:val="none"/>
          <w:lang w:val="zh-CN"/>
        </w:rPr>
        <w:t>期</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年</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月</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日</w:t>
      </w:r>
    </w:p>
    <w:p w14:paraId="3482DA66">
      <w:pPr>
        <w:spacing w:line="44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val="zh-CN"/>
        </w:rPr>
        <w:t>注：未按照本投标响应函要求填报的将被视为非实质性响应，从而可能导致该投标文件被拒绝。</w:t>
      </w:r>
    </w:p>
    <w:p w14:paraId="4929EBBF">
      <w:pPr>
        <w:spacing w:line="440" w:lineRule="exact"/>
        <w:rPr>
          <w:rFonts w:hint="eastAsia" w:ascii="新宋体" w:hAnsi="新宋体" w:eastAsia="新宋体" w:cs="新宋体"/>
          <w:b/>
          <w:bCs/>
          <w:color w:val="auto"/>
          <w:sz w:val="22"/>
          <w:szCs w:val="22"/>
          <w:highlight w:val="none"/>
        </w:rPr>
      </w:pPr>
    </w:p>
    <w:p w14:paraId="7C7FC08B">
      <w:pPr>
        <w:bidi w:val="0"/>
        <w:rPr>
          <w:rFonts w:hint="eastAsia"/>
          <w:color w:val="auto"/>
          <w:highlight w:val="none"/>
        </w:rPr>
      </w:pPr>
    </w:p>
    <w:p w14:paraId="1D9C010C">
      <w:pPr>
        <w:rPr>
          <w:rFonts w:hint="eastAsia"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br w:type="page"/>
      </w:r>
    </w:p>
    <w:p w14:paraId="19100A0C">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2、法定代表人授权委托书</w:t>
      </w:r>
    </w:p>
    <w:p w14:paraId="77ED6B5C">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温州市第七人民医院</w:t>
      </w:r>
      <w:r>
        <w:rPr>
          <w:rFonts w:hint="eastAsia" w:ascii="新宋体" w:hAnsi="新宋体" w:eastAsia="新宋体" w:cs="新宋体"/>
          <w:color w:val="auto"/>
          <w:sz w:val="22"/>
          <w:szCs w:val="22"/>
          <w:highlight w:val="none"/>
        </w:rPr>
        <w:t>：</w:t>
      </w:r>
    </w:p>
    <w:p w14:paraId="5485E7CA">
      <w:pPr>
        <w:spacing w:line="460" w:lineRule="exact"/>
        <w:rPr>
          <w:rFonts w:hint="eastAsia" w:ascii="新宋体" w:hAnsi="新宋体" w:eastAsia="新宋体" w:cs="新宋体"/>
          <w:color w:val="auto"/>
          <w:sz w:val="22"/>
          <w:szCs w:val="22"/>
          <w:highlight w:val="none"/>
          <w:u w:val="single"/>
        </w:rPr>
      </w:pPr>
    </w:p>
    <w:p w14:paraId="1BF8EC59">
      <w:pPr>
        <w:spacing w:line="460" w:lineRule="exact"/>
        <w:ind w:firstLine="550" w:firstLineChars="2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（投标人全称）法定代表人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（全权代表姓名）为全权代表，参加贵处组织的（项目名称：</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）的招标活动，全权代表我方处理招标活动中的一切事宜。</w:t>
      </w:r>
    </w:p>
    <w:p w14:paraId="26DD566B">
      <w:pPr>
        <w:spacing w:line="460" w:lineRule="exact"/>
        <w:rPr>
          <w:rFonts w:hint="eastAsia" w:ascii="新宋体" w:hAnsi="新宋体" w:eastAsia="新宋体" w:cs="新宋体"/>
          <w:color w:val="auto"/>
          <w:sz w:val="22"/>
          <w:szCs w:val="22"/>
          <w:highlight w:val="none"/>
        </w:rPr>
      </w:pPr>
    </w:p>
    <w:p w14:paraId="57B906A1">
      <w:pPr>
        <w:spacing w:line="460" w:lineRule="exact"/>
        <w:rPr>
          <w:rFonts w:hint="eastAsia" w:ascii="新宋体" w:hAnsi="新宋体" w:eastAsia="新宋体" w:cs="新宋体"/>
          <w:color w:val="auto"/>
          <w:sz w:val="22"/>
          <w:szCs w:val="22"/>
          <w:highlight w:val="none"/>
        </w:rPr>
      </w:pPr>
    </w:p>
    <w:p w14:paraId="3B9A6B20">
      <w:pPr>
        <w:spacing w:line="460" w:lineRule="exact"/>
        <w:ind w:firstLine="4492" w:firstLineChars="2042"/>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法定代表人（签字或盖章）：</w:t>
      </w:r>
    </w:p>
    <w:p w14:paraId="6DF638A2">
      <w:pPr>
        <w:spacing w:line="460" w:lineRule="exact"/>
        <w:ind w:firstLine="4492" w:firstLineChars="2042"/>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投标人全称（公章）：</w:t>
      </w:r>
    </w:p>
    <w:p w14:paraId="238CADFC">
      <w:pPr>
        <w:spacing w:line="460" w:lineRule="exact"/>
        <w:ind w:firstLine="4492" w:firstLineChars="2042"/>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日   期：  </w:t>
      </w:r>
    </w:p>
    <w:p w14:paraId="0C92C604">
      <w:pPr>
        <w:spacing w:line="380" w:lineRule="exact"/>
        <w:rPr>
          <w:rFonts w:hint="eastAsia" w:ascii="新宋体" w:hAnsi="新宋体" w:eastAsia="新宋体" w:cs="新宋体"/>
          <w:color w:val="auto"/>
          <w:sz w:val="22"/>
          <w:szCs w:val="22"/>
          <w:highlight w:val="none"/>
        </w:rPr>
      </w:pPr>
    </w:p>
    <w:p w14:paraId="5490E6ED">
      <w:pPr>
        <w:spacing w:line="460" w:lineRule="exact"/>
        <w:ind w:firstLine="541"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附：</w:t>
      </w:r>
    </w:p>
    <w:p w14:paraId="606ECC41">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 xml:space="preserve">授权代表姓名：   </w:t>
      </w:r>
    </w:p>
    <w:p w14:paraId="2E1B87E5">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职务：</w:t>
      </w:r>
    </w:p>
    <w:p w14:paraId="76AC4F14">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详细通讯地址：</w:t>
      </w:r>
    </w:p>
    <w:p w14:paraId="549B2ABF">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电话：</w:t>
      </w:r>
    </w:p>
    <w:p w14:paraId="03158B99">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传真：</w:t>
      </w:r>
    </w:p>
    <w:p w14:paraId="21ED7290">
      <w:pPr>
        <w:spacing w:line="460" w:lineRule="exact"/>
        <w:ind w:firstLine="539" w:firstLineChars="24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邮政编码：</w:t>
      </w:r>
    </w:p>
    <w:p w14:paraId="316396DE">
      <w:pPr>
        <w:pStyle w:val="9"/>
        <w:ind w:left="0" w:leftChars="0" w:firstLine="0" w:firstLineChars="0"/>
        <w:rPr>
          <w:rFonts w:hint="eastAsia" w:ascii="新宋体" w:hAnsi="新宋体" w:eastAsia="新宋体" w:cs="新宋体"/>
          <w:color w:val="auto"/>
          <w:sz w:val="22"/>
          <w:szCs w:val="22"/>
          <w:highlight w:val="none"/>
        </w:rPr>
      </w:pPr>
    </w:p>
    <w:p w14:paraId="1AE26EA8">
      <w:pPr>
        <w:rPr>
          <w:rFonts w:hint="eastAsia" w:ascii="新宋体" w:hAnsi="新宋体" w:eastAsia="新宋体" w:cs="新宋体"/>
          <w:color w:val="auto"/>
          <w:sz w:val="22"/>
          <w:szCs w:val="22"/>
          <w:highlight w:val="none"/>
        </w:rPr>
      </w:pPr>
    </w:p>
    <w:p w14:paraId="5F88A21C">
      <w:pPr>
        <w:pStyle w:val="9"/>
        <w:ind w:left="0" w:leftChars="0" w:firstLine="0" w:firstLineChars="0"/>
        <w:rPr>
          <w:rFonts w:hint="eastAsia" w:ascii="新宋体" w:hAnsi="新宋体" w:eastAsia="新宋体" w:cs="新宋体"/>
          <w:color w:val="auto"/>
          <w:sz w:val="22"/>
          <w:szCs w:val="22"/>
          <w:highlight w:val="none"/>
        </w:rPr>
      </w:pPr>
    </w:p>
    <w:p w14:paraId="2F639586">
      <w:pPr>
        <w:rPr>
          <w:rFonts w:hint="eastAsia" w:ascii="新宋体" w:hAnsi="新宋体" w:eastAsia="新宋体" w:cs="新宋体"/>
          <w:color w:val="auto"/>
          <w:sz w:val="22"/>
          <w:szCs w:val="22"/>
          <w:highlight w:val="none"/>
        </w:rPr>
      </w:pPr>
    </w:p>
    <w:p w14:paraId="6ECB0C16">
      <w:pPr>
        <w:rPr>
          <w:rFonts w:hint="eastAsia" w:ascii="新宋体" w:hAnsi="新宋体" w:eastAsia="新宋体" w:cs="新宋体"/>
          <w:color w:val="auto"/>
          <w:sz w:val="22"/>
          <w:szCs w:val="22"/>
          <w:highlight w:val="none"/>
        </w:rPr>
      </w:pPr>
    </w:p>
    <w:p w14:paraId="2C4FA62F">
      <w:pPr>
        <w:rPr>
          <w:rFonts w:hint="eastAsia" w:ascii="新宋体" w:hAnsi="新宋体" w:eastAsia="新宋体" w:cs="新宋体"/>
          <w:color w:val="auto"/>
          <w:sz w:val="22"/>
          <w:szCs w:val="22"/>
          <w:highlight w:val="none"/>
        </w:rPr>
      </w:pPr>
    </w:p>
    <w:p w14:paraId="3F0D4288">
      <w:pPr>
        <w:rPr>
          <w:rFonts w:hint="eastAsia" w:ascii="新宋体" w:hAnsi="新宋体" w:eastAsia="新宋体" w:cs="新宋体"/>
          <w:color w:val="auto"/>
          <w:sz w:val="22"/>
          <w:szCs w:val="22"/>
          <w:highlight w:val="none"/>
        </w:rPr>
      </w:pPr>
    </w:p>
    <w:p w14:paraId="629DEDA1">
      <w:pPr>
        <w:rPr>
          <w:rFonts w:hint="eastAsia" w:ascii="新宋体" w:hAnsi="新宋体" w:eastAsia="新宋体" w:cs="新宋体"/>
          <w:color w:val="auto"/>
          <w:sz w:val="22"/>
          <w:szCs w:val="22"/>
          <w:highlight w:val="none"/>
        </w:rPr>
      </w:pPr>
    </w:p>
    <w:p w14:paraId="79AE2143">
      <w:pPr>
        <w:rPr>
          <w:rFonts w:hint="eastAsia" w:ascii="新宋体" w:hAnsi="新宋体" w:eastAsia="新宋体" w:cs="新宋体"/>
          <w:color w:val="auto"/>
          <w:sz w:val="22"/>
          <w:szCs w:val="22"/>
          <w:highlight w:val="none"/>
        </w:rPr>
      </w:pPr>
    </w:p>
    <w:p w14:paraId="1914BBCC">
      <w:pPr>
        <w:rPr>
          <w:rFonts w:hint="eastAsia" w:ascii="新宋体" w:hAnsi="新宋体" w:eastAsia="新宋体" w:cs="新宋体"/>
          <w:color w:val="auto"/>
          <w:sz w:val="22"/>
          <w:szCs w:val="22"/>
          <w:highlight w:val="none"/>
        </w:rPr>
      </w:pPr>
    </w:p>
    <w:p w14:paraId="2409245C">
      <w:pPr>
        <w:pStyle w:val="9"/>
        <w:ind w:left="0" w:leftChars="0" w:firstLine="0" w:firstLineChars="0"/>
        <w:rPr>
          <w:rFonts w:hint="eastAsia" w:ascii="新宋体" w:hAnsi="新宋体" w:eastAsia="新宋体" w:cs="新宋体"/>
          <w:color w:val="auto"/>
          <w:sz w:val="22"/>
          <w:szCs w:val="22"/>
          <w:highlight w:val="none"/>
        </w:rPr>
      </w:pPr>
    </w:p>
    <w:p w14:paraId="6501E1FE">
      <w:pPr>
        <w:rPr>
          <w:rFonts w:hint="eastAsia" w:ascii="新宋体" w:hAnsi="新宋体" w:eastAsia="新宋体" w:cs="新宋体"/>
          <w:color w:val="auto"/>
          <w:sz w:val="22"/>
          <w:szCs w:val="22"/>
          <w:highlight w:val="none"/>
        </w:rPr>
      </w:pPr>
    </w:p>
    <w:p w14:paraId="560DEDF1">
      <w:pPr>
        <w:rPr>
          <w:rFonts w:hint="eastAsia" w:ascii="新宋体" w:hAnsi="新宋体" w:eastAsia="新宋体" w:cs="新宋体"/>
          <w:color w:val="auto"/>
          <w:sz w:val="22"/>
          <w:szCs w:val="22"/>
          <w:highlight w:val="none"/>
        </w:rPr>
      </w:pPr>
    </w:p>
    <w:p w14:paraId="6C58EEA2">
      <w:pPr>
        <w:pStyle w:val="9"/>
        <w:ind w:firstLine="440"/>
        <w:rPr>
          <w:rFonts w:hint="eastAsia" w:ascii="新宋体" w:hAnsi="新宋体" w:eastAsia="新宋体" w:cs="新宋体"/>
          <w:color w:val="auto"/>
          <w:sz w:val="22"/>
          <w:szCs w:val="22"/>
          <w:highlight w:val="none"/>
        </w:rPr>
      </w:pPr>
    </w:p>
    <w:p w14:paraId="62CFE92E">
      <w:pPr>
        <w:rPr>
          <w:rFonts w:hint="eastAsia" w:ascii="新宋体" w:hAnsi="新宋体" w:eastAsia="新宋体" w:cs="新宋体"/>
          <w:color w:val="auto"/>
          <w:sz w:val="22"/>
          <w:szCs w:val="22"/>
          <w:highlight w:val="none"/>
        </w:rPr>
      </w:pPr>
    </w:p>
    <w:p w14:paraId="49165F48">
      <w:pPr>
        <w:pStyle w:val="9"/>
        <w:ind w:firstLine="440"/>
        <w:rPr>
          <w:rFonts w:hint="eastAsia" w:ascii="新宋体" w:hAnsi="新宋体" w:eastAsia="新宋体" w:cs="新宋体"/>
          <w:color w:val="auto"/>
          <w:sz w:val="22"/>
          <w:szCs w:val="22"/>
          <w:highlight w:val="none"/>
        </w:rPr>
      </w:pPr>
    </w:p>
    <w:p w14:paraId="1AAB4D19">
      <w:pPr>
        <w:rPr>
          <w:rFonts w:hint="eastAsia" w:ascii="新宋体" w:hAnsi="新宋体" w:eastAsia="新宋体" w:cs="新宋体"/>
          <w:color w:val="auto"/>
          <w:sz w:val="22"/>
          <w:szCs w:val="22"/>
          <w:highlight w:val="none"/>
        </w:rPr>
      </w:pPr>
    </w:p>
    <w:p w14:paraId="263B5A04">
      <w:pPr>
        <w:pStyle w:val="9"/>
        <w:ind w:firstLine="440"/>
        <w:rPr>
          <w:rFonts w:hint="eastAsia" w:ascii="新宋体" w:hAnsi="新宋体" w:eastAsia="新宋体" w:cs="新宋体"/>
          <w:color w:val="auto"/>
          <w:sz w:val="22"/>
          <w:szCs w:val="22"/>
          <w:highlight w:val="none"/>
        </w:rPr>
      </w:pPr>
    </w:p>
    <w:p w14:paraId="17C35DDD">
      <w:pPr>
        <w:rPr>
          <w:rFonts w:hint="eastAsia" w:ascii="新宋体" w:hAnsi="新宋体" w:eastAsia="新宋体" w:cs="新宋体"/>
          <w:color w:val="auto"/>
          <w:sz w:val="22"/>
          <w:szCs w:val="22"/>
          <w:highlight w:val="none"/>
        </w:rPr>
      </w:pPr>
    </w:p>
    <w:p w14:paraId="728E0631">
      <w:pPr>
        <w:spacing w:line="460" w:lineRule="exact"/>
        <w:jc w:val="center"/>
        <w:rPr>
          <w:rFonts w:hint="eastAsia" w:ascii="新宋体" w:hAnsi="新宋体" w:eastAsia="新宋体" w:cs="新宋体"/>
          <w:b/>
          <w:bCs/>
          <w:color w:val="auto"/>
          <w:sz w:val="28"/>
          <w:szCs w:val="28"/>
          <w:highlight w:val="none"/>
        </w:rPr>
      </w:pPr>
    </w:p>
    <w:p w14:paraId="6046EB32">
      <w:pPr>
        <w:spacing w:line="460" w:lineRule="exact"/>
        <w:jc w:val="center"/>
        <w:rPr>
          <w:rFonts w:hint="eastAsia"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320675</wp:posOffset>
                </wp:positionV>
                <wp:extent cx="6254115" cy="3004185"/>
                <wp:effectExtent l="0" t="0" r="13335" b="24765"/>
                <wp:wrapNone/>
                <wp:docPr id="25" name="Text Box 2"/>
                <wp:cNvGraphicFramePr/>
                <a:graphic xmlns:a="http://schemas.openxmlformats.org/drawingml/2006/main">
                  <a:graphicData uri="http://schemas.microsoft.com/office/word/2010/wordprocessingShape">
                    <wps:wsp>
                      <wps:cNvSpPr txBox="1"/>
                      <wps:spPr>
                        <a:xfrm>
                          <a:off x="0" y="0"/>
                          <a:ext cx="6254115" cy="300418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07C2F70">
                            <w:r>
                              <w:rPr>
                                <w:rFonts w:hint="eastAsia" w:ascii="新宋体" w:hAnsi="新宋体" w:eastAsia="新宋体"/>
                                <w:sz w:val="22"/>
                                <w:szCs w:val="22"/>
                              </w:rPr>
                              <w:t xml:space="preserve">  法定代表人身份证（正反面）：</w:t>
                            </w:r>
                          </w:p>
                        </w:txbxContent>
                      </wps:txbx>
                      <wps:bodyPr wrap="square" upright="1"/>
                    </wps:wsp>
                  </a:graphicData>
                </a:graphic>
              </wp:anchor>
            </w:drawing>
          </mc:Choice>
          <mc:Fallback>
            <w:pict>
              <v:shape id="Text Box 2" o:spid="_x0000_s1026" o:spt="202" type="#_x0000_t202" style="position:absolute;left:0pt;margin-left:8.95pt;margin-top:25.25pt;height:236.55pt;width:492.45pt;z-index:251659264;mso-width-relative:page;mso-height-relative:page;" fillcolor="#FFFFFF" filled="t" stroked="t"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&#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X3CNo2AAAAAoBAAAPAAAAAAAAAAEAIAAAACIAAABk&#10;cnMvZG93bnJldi54bWxQSwECFAAUAAAACACHTuJApoZWUgYCAABFBAAADgAAAAAAAAABACAAAAAn&#10;AQAAZHJzL2Uyb0RvYy54bWxQSwUGAAAAAAYABgBZAQAAnwUAAAAA&#10;">
                <v:fill on="t" focussize="0,0"/>
                <v:stroke color="#000000" joinstyle="miter"/>
                <v:imagedata o:title=""/>
                <o:lock v:ext="edit" aspectratio="f"/>
                <v:textbox>
                  <w:txbxContent>
                    <w:p w14:paraId="407C2F70">
                      <w:r>
                        <w:rPr>
                          <w:rFonts w:hint="eastAsia" w:ascii="新宋体" w:hAnsi="新宋体" w:eastAsia="新宋体"/>
                          <w:sz w:val="22"/>
                          <w:szCs w:val="22"/>
                        </w:rPr>
                        <w:t xml:space="preserve">  法定代表人身份证（正反面）：</w:t>
                      </w:r>
                    </w:p>
                  </w:txbxContent>
                </v:textbox>
              </v:shape>
            </w:pict>
          </mc:Fallback>
        </mc:AlternateContent>
      </w:r>
    </w:p>
    <w:p w14:paraId="5F93FDBB">
      <w:pPr>
        <w:spacing w:line="460" w:lineRule="exact"/>
        <w:jc w:val="center"/>
        <w:rPr>
          <w:rFonts w:hint="eastAsia" w:ascii="新宋体" w:hAnsi="新宋体" w:eastAsia="新宋体" w:cs="新宋体"/>
          <w:b/>
          <w:bCs/>
          <w:color w:val="auto"/>
          <w:sz w:val="28"/>
          <w:szCs w:val="28"/>
          <w:highlight w:val="none"/>
        </w:rPr>
      </w:pPr>
    </w:p>
    <w:p w14:paraId="13CA2D03">
      <w:pPr>
        <w:spacing w:line="460" w:lineRule="exact"/>
        <w:jc w:val="center"/>
        <w:rPr>
          <w:rFonts w:hint="eastAsia" w:ascii="新宋体" w:hAnsi="新宋体" w:eastAsia="新宋体" w:cs="新宋体"/>
          <w:b/>
          <w:bCs/>
          <w:color w:val="auto"/>
          <w:sz w:val="28"/>
          <w:szCs w:val="28"/>
          <w:highlight w:val="none"/>
        </w:rPr>
      </w:pPr>
    </w:p>
    <w:p w14:paraId="535C7612">
      <w:pPr>
        <w:spacing w:line="460" w:lineRule="exact"/>
        <w:jc w:val="center"/>
        <w:rPr>
          <w:rFonts w:hint="eastAsia" w:ascii="新宋体" w:hAnsi="新宋体" w:eastAsia="新宋体" w:cs="新宋体"/>
          <w:b/>
          <w:bCs/>
          <w:color w:val="auto"/>
          <w:sz w:val="28"/>
          <w:szCs w:val="28"/>
          <w:highlight w:val="none"/>
        </w:rPr>
      </w:pPr>
    </w:p>
    <w:p w14:paraId="750A25F7">
      <w:pPr>
        <w:spacing w:line="460" w:lineRule="exact"/>
        <w:jc w:val="center"/>
        <w:rPr>
          <w:rFonts w:hint="eastAsia" w:ascii="新宋体" w:hAnsi="新宋体" w:eastAsia="新宋体" w:cs="新宋体"/>
          <w:b/>
          <w:bCs/>
          <w:color w:val="auto"/>
          <w:sz w:val="28"/>
          <w:szCs w:val="28"/>
          <w:highlight w:val="none"/>
        </w:rPr>
      </w:pPr>
    </w:p>
    <w:p w14:paraId="484B496A">
      <w:pPr>
        <w:spacing w:line="460" w:lineRule="exact"/>
        <w:jc w:val="center"/>
        <w:rPr>
          <w:rFonts w:hint="eastAsia" w:ascii="新宋体" w:hAnsi="新宋体" w:eastAsia="新宋体" w:cs="新宋体"/>
          <w:b/>
          <w:bCs/>
          <w:color w:val="auto"/>
          <w:sz w:val="28"/>
          <w:szCs w:val="28"/>
          <w:highlight w:val="none"/>
        </w:rPr>
      </w:pPr>
    </w:p>
    <w:p w14:paraId="31244CA0">
      <w:pPr>
        <w:spacing w:line="460" w:lineRule="exact"/>
        <w:jc w:val="center"/>
        <w:rPr>
          <w:rFonts w:hint="eastAsia" w:ascii="新宋体" w:hAnsi="新宋体" w:eastAsia="新宋体" w:cs="新宋体"/>
          <w:b/>
          <w:bCs/>
          <w:color w:val="auto"/>
          <w:sz w:val="28"/>
          <w:szCs w:val="28"/>
          <w:highlight w:val="none"/>
        </w:rPr>
      </w:pPr>
    </w:p>
    <w:p w14:paraId="6FB70B6D">
      <w:pPr>
        <w:spacing w:line="460" w:lineRule="exact"/>
        <w:jc w:val="center"/>
        <w:rPr>
          <w:rFonts w:hint="eastAsia" w:ascii="新宋体" w:hAnsi="新宋体" w:eastAsia="新宋体" w:cs="新宋体"/>
          <w:b/>
          <w:bCs/>
          <w:color w:val="auto"/>
          <w:sz w:val="28"/>
          <w:szCs w:val="28"/>
          <w:highlight w:val="none"/>
        </w:rPr>
      </w:pPr>
    </w:p>
    <w:p w14:paraId="3D01E521">
      <w:pPr>
        <w:spacing w:line="460" w:lineRule="exact"/>
        <w:jc w:val="center"/>
        <w:rPr>
          <w:rFonts w:hint="eastAsia" w:ascii="新宋体" w:hAnsi="新宋体" w:eastAsia="新宋体" w:cs="新宋体"/>
          <w:b/>
          <w:bCs/>
          <w:color w:val="auto"/>
          <w:sz w:val="28"/>
          <w:szCs w:val="28"/>
          <w:highlight w:val="none"/>
        </w:rPr>
      </w:pPr>
    </w:p>
    <w:p w14:paraId="0E44D550">
      <w:pPr>
        <w:spacing w:line="460" w:lineRule="exact"/>
        <w:jc w:val="center"/>
        <w:rPr>
          <w:rFonts w:hint="eastAsia" w:ascii="新宋体" w:hAnsi="新宋体" w:eastAsia="新宋体" w:cs="新宋体"/>
          <w:b/>
          <w:bCs/>
          <w:color w:val="auto"/>
          <w:sz w:val="28"/>
          <w:szCs w:val="28"/>
          <w:highlight w:val="none"/>
        </w:rPr>
      </w:pPr>
    </w:p>
    <w:p w14:paraId="575202ED">
      <w:pPr>
        <w:spacing w:line="460" w:lineRule="exact"/>
        <w:jc w:val="center"/>
        <w:rPr>
          <w:rFonts w:hint="eastAsia" w:ascii="新宋体" w:hAnsi="新宋体" w:eastAsia="新宋体" w:cs="新宋体"/>
          <w:b/>
          <w:bCs/>
          <w:color w:val="auto"/>
          <w:sz w:val="28"/>
          <w:szCs w:val="28"/>
          <w:highlight w:val="none"/>
        </w:rPr>
      </w:pPr>
    </w:p>
    <w:p w14:paraId="4B4D06CB">
      <w:pPr>
        <w:spacing w:line="460" w:lineRule="exact"/>
        <w:jc w:val="center"/>
        <w:rPr>
          <w:rFonts w:hint="eastAsia" w:ascii="新宋体" w:hAnsi="新宋体" w:eastAsia="新宋体" w:cs="新宋体"/>
          <w:b/>
          <w:bCs/>
          <w:color w:val="auto"/>
          <w:sz w:val="28"/>
          <w:szCs w:val="28"/>
          <w:highlight w:val="none"/>
        </w:rPr>
      </w:pPr>
    </w:p>
    <w:p w14:paraId="0EC3C0A0">
      <w:pPr>
        <w:spacing w:line="460" w:lineRule="exact"/>
        <w:jc w:val="center"/>
        <w:rPr>
          <w:rFonts w:hint="eastAsia" w:ascii="新宋体" w:hAnsi="新宋体" w:eastAsia="新宋体" w:cs="新宋体"/>
          <w:b/>
          <w:bCs/>
          <w:color w:val="auto"/>
          <w:sz w:val="28"/>
          <w:szCs w:val="28"/>
          <w:highlight w:val="none"/>
        </w:rPr>
      </w:pPr>
    </w:p>
    <w:p w14:paraId="50C5EDC9">
      <w:pPr>
        <w:spacing w:line="460" w:lineRule="exact"/>
        <w:jc w:val="center"/>
        <w:rPr>
          <w:rFonts w:hint="eastAsia"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60288" behindDoc="0" locked="0" layoutInCell="1" allowOverlap="1">
                <wp:simplePos x="0" y="0"/>
                <wp:positionH relativeFrom="column">
                  <wp:posOffset>88265</wp:posOffset>
                </wp:positionH>
                <wp:positionV relativeFrom="paragraph">
                  <wp:posOffset>-53975</wp:posOffset>
                </wp:positionV>
                <wp:extent cx="6303645" cy="3875405"/>
                <wp:effectExtent l="0" t="0" r="20955" b="10795"/>
                <wp:wrapNone/>
                <wp:docPr id="26" name="文本框 26"/>
                <wp:cNvGraphicFramePr/>
                <a:graphic xmlns:a="http://schemas.openxmlformats.org/drawingml/2006/main">
                  <a:graphicData uri="http://schemas.microsoft.com/office/word/2010/wordprocessingShape">
                    <wps:wsp>
                      <wps:cNvSpPr txBox="1"/>
                      <wps:spPr>
                        <a:xfrm>
                          <a:off x="0" y="0"/>
                          <a:ext cx="6303645" cy="38754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828F0DA">
                            <w:r>
                              <w:rPr>
                                <w:rFonts w:hint="eastAsia" w:ascii="新宋体" w:hAnsi="新宋体" w:eastAsia="新宋体"/>
                                <w:sz w:val="22"/>
                                <w:szCs w:val="22"/>
                              </w:rPr>
                              <w:t xml:space="preserve">  授权代表身份证（正反面）：</w:t>
                            </w:r>
                          </w:p>
                        </w:txbxContent>
                      </wps:txbx>
                      <wps:bodyPr wrap="square" upright="1"/>
                    </wps:wsp>
                  </a:graphicData>
                </a:graphic>
              </wp:anchor>
            </w:drawing>
          </mc:Choice>
          <mc:Fallback>
            <w:pict>
              <v:shape id="_x0000_s1026" o:spid="_x0000_s1026" o:spt="202" type="#_x0000_t202" style="position:absolute;left:0pt;margin-left:6.95pt;margin-top:-4.25pt;height:305.15pt;width:496.35pt;z-index:251660288;mso-width-relative:page;mso-height-relative:page;" fillcolor="#FFFFFF" filled="t" stroked="t" coordsize="21600,21600" o:gfxdata="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hqi13YAAAACgEAAA8A&#10;AAAAAAAAAQAgAAAAIgAAAGRycy9kb3ducmV2LnhtbFBLAQIUABQAAAAIAIdO4kCoB0w9FwIAAEcE&#10;AAAOAAAAAAAAAAEAIAAAACcBAABkcnMvZTJvRG9jLnhtbFBLBQYAAAAABgAGAFkBAACwBQAAAAA=&#10;">
                <v:fill on="t" focussize="0,0"/>
                <v:stroke color="#000000" joinstyle="miter"/>
                <v:imagedata o:title=""/>
                <o:lock v:ext="edit" aspectratio="f"/>
                <v:textbox>
                  <w:txbxContent>
                    <w:p w14:paraId="0828F0DA">
                      <w:r>
                        <w:rPr>
                          <w:rFonts w:hint="eastAsia" w:ascii="新宋体" w:hAnsi="新宋体" w:eastAsia="新宋体"/>
                          <w:sz w:val="22"/>
                          <w:szCs w:val="22"/>
                        </w:rPr>
                        <w:t xml:space="preserve">  授权代表身份证（正反面）：</w:t>
                      </w:r>
                    </w:p>
                  </w:txbxContent>
                </v:textbox>
              </v:shape>
            </w:pict>
          </mc:Fallback>
        </mc:AlternateContent>
      </w:r>
    </w:p>
    <w:p w14:paraId="08C18B9A">
      <w:pPr>
        <w:spacing w:line="460" w:lineRule="exact"/>
        <w:jc w:val="center"/>
        <w:rPr>
          <w:rFonts w:hint="eastAsia" w:ascii="新宋体" w:hAnsi="新宋体" w:eastAsia="新宋体" w:cs="新宋体"/>
          <w:b/>
          <w:bCs/>
          <w:color w:val="auto"/>
          <w:sz w:val="28"/>
          <w:szCs w:val="28"/>
          <w:highlight w:val="none"/>
        </w:rPr>
      </w:pPr>
    </w:p>
    <w:p w14:paraId="1DF16731">
      <w:pPr>
        <w:spacing w:line="460" w:lineRule="exact"/>
        <w:jc w:val="center"/>
        <w:rPr>
          <w:rFonts w:hint="eastAsia" w:ascii="新宋体" w:hAnsi="新宋体" w:eastAsia="新宋体" w:cs="新宋体"/>
          <w:b/>
          <w:bCs/>
          <w:color w:val="auto"/>
          <w:sz w:val="28"/>
          <w:szCs w:val="28"/>
          <w:highlight w:val="none"/>
        </w:rPr>
      </w:pPr>
    </w:p>
    <w:p w14:paraId="3ACA57FF">
      <w:pPr>
        <w:spacing w:line="460" w:lineRule="exact"/>
        <w:jc w:val="center"/>
        <w:rPr>
          <w:rFonts w:hint="eastAsia" w:ascii="新宋体" w:hAnsi="新宋体" w:eastAsia="新宋体" w:cs="新宋体"/>
          <w:b/>
          <w:bCs/>
          <w:color w:val="auto"/>
          <w:sz w:val="28"/>
          <w:szCs w:val="28"/>
          <w:highlight w:val="none"/>
        </w:rPr>
      </w:pPr>
    </w:p>
    <w:p w14:paraId="2C5AE10B">
      <w:pPr>
        <w:spacing w:line="460" w:lineRule="exact"/>
        <w:jc w:val="center"/>
        <w:rPr>
          <w:rFonts w:hint="eastAsia" w:ascii="新宋体" w:hAnsi="新宋体" w:eastAsia="新宋体" w:cs="新宋体"/>
          <w:b/>
          <w:bCs/>
          <w:color w:val="auto"/>
          <w:sz w:val="28"/>
          <w:szCs w:val="28"/>
          <w:highlight w:val="none"/>
        </w:rPr>
      </w:pPr>
    </w:p>
    <w:p w14:paraId="4E568876">
      <w:pPr>
        <w:spacing w:line="460" w:lineRule="exact"/>
        <w:jc w:val="center"/>
        <w:rPr>
          <w:rFonts w:hint="eastAsia" w:ascii="新宋体" w:hAnsi="新宋体" w:eastAsia="新宋体" w:cs="新宋体"/>
          <w:b/>
          <w:bCs/>
          <w:color w:val="auto"/>
          <w:sz w:val="28"/>
          <w:szCs w:val="28"/>
          <w:highlight w:val="none"/>
        </w:rPr>
      </w:pPr>
    </w:p>
    <w:p w14:paraId="48F6A7EB">
      <w:pPr>
        <w:spacing w:line="460" w:lineRule="exact"/>
        <w:jc w:val="center"/>
        <w:rPr>
          <w:rFonts w:hint="eastAsia" w:ascii="新宋体" w:hAnsi="新宋体" w:eastAsia="新宋体" w:cs="新宋体"/>
          <w:b/>
          <w:bCs/>
          <w:color w:val="auto"/>
          <w:sz w:val="28"/>
          <w:szCs w:val="28"/>
          <w:highlight w:val="none"/>
        </w:rPr>
      </w:pPr>
    </w:p>
    <w:p w14:paraId="64CEF82D">
      <w:pPr>
        <w:spacing w:line="460" w:lineRule="exact"/>
        <w:jc w:val="center"/>
        <w:rPr>
          <w:rFonts w:hint="eastAsia" w:ascii="新宋体" w:hAnsi="新宋体" w:eastAsia="新宋体" w:cs="新宋体"/>
          <w:b/>
          <w:bCs/>
          <w:color w:val="auto"/>
          <w:sz w:val="28"/>
          <w:szCs w:val="28"/>
          <w:highlight w:val="none"/>
        </w:rPr>
      </w:pPr>
    </w:p>
    <w:p w14:paraId="64DC4C07">
      <w:pPr>
        <w:spacing w:line="460" w:lineRule="exact"/>
        <w:jc w:val="center"/>
        <w:rPr>
          <w:rFonts w:hint="eastAsia" w:ascii="新宋体" w:hAnsi="新宋体" w:eastAsia="新宋体" w:cs="新宋体"/>
          <w:b/>
          <w:bCs/>
          <w:color w:val="auto"/>
          <w:sz w:val="28"/>
          <w:szCs w:val="28"/>
          <w:highlight w:val="none"/>
        </w:rPr>
      </w:pPr>
    </w:p>
    <w:p w14:paraId="734CF584">
      <w:pPr>
        <w:spacing w:line="460" w:lineRule="exact"/>
        <w:jc w:val="center"/>
        <w:rPr>
          <w:rFonts w:hint="eastAsia" w:ascii="新宋体" w:hAnsi="新宋体" w:eastAsia="新宋体" w:cs="新宋体"/>
          <w:b/>
          <w:bCs/>
          <w:color w:val="auto"/>
          <w:sz w:val="28"/>
          <w:szCs w:val="28"/>
          <w:highlight w:val="none"/>
        </w:rPr>
      </w:pPr>
    </w:p>
    <w:p w14:paraId="49F5452D">
      <w:pPr>
        <w:spacing w:line="460" w:lineRule="exact"/>
        <w:jc w:val="center"/>
        <w:rPr>
          <w:rFonts w:hint="eastAsia" w:ascii="新宋体" w:hAnsi="新宋体" w:eastAsia="新宋体" w:cs="新宋体"/>
          <w:b/>
          <w:bCs/>
          <w:color w:val="auto"/>
          <w:sz w:val="28"/>
          <w:szCs w:val="28"/>
          <w:highlight w:val="none"/>
        </w:rPr>
      </w:pPr>
    </w:p>
    <w:p w14:paraId="04CE4C02">
      <w:pPr>
        <w:spacing w:line="460" w:lineRule="exact"/>
        <w:jc w:val="center"/>
        <w:rPr>
          <w:rFonts w:hint="eastAsia" w:ascii="新宋体" w:hAnsi="新宋体" w:eastAsia="新宋体" w:cs="新宋体"/>
          <w:b/>
          <w:bCs/>
          <w:color w:val="auto"/>
          <w:sz w:val="28"/>
          <w:szCs w:val="28"/>
          <w:highlight w:val="none"/>
        </w:rPr>
      </w:pPr>
    </w:p>
    <w:p w14:paraId="46C5F7D4">
      <w:pPr>
        <w:spacing w:line="460" w:lineRule="exact"/>
        <w:jc w:val="center"/>
        <w:rPr>
          <w:rFonts w:hint="eastAsia" w:ascii="新宋体" w:hAnsi="新宋体" w:eastAsia="新宋体" w:cs="新宋体"/>
          <w:b/>
          <w:bCs/>
          <w:color w:val="auto"/>
          <w:sz w:val="28"/>
          <w:szCs w:val="28"/>
          <w:highlight w:val="none"/>
        </w:rPr>
      </w:pPr>
    </w:p>
    <w:p w14:paraId="1AA3C570">
      <w:pPr>
        <w:spacing w:line="460" w:lineRule="exact"/>
        <w:jc w:val="center"/>
        <w:rPr>
          <w:rFonts w:hint="eastAsia" w:ascii="新宋体" w:hAnsi="新宋体" w:eastAsia="新宋体" w:cs="新宋体"/>
          <w:b/>
          <w:bCs/>
          <w:color w:val="auto"/>
          <w:sz w:val="28"/>
          <w:szCs w:val="28"/>
          <w:highlight w:val="none"/>
        </w:rPr>
      </w:pPr>
    </w:p>
    <w:p w14:paraId="1F72228D">
      <w:pPr>
        <w:spacing w:line="460" w:lineRule="exact"/>
        <w:jc w:val="center"/>
        <w:rPr>
          <w:rFonts w:hint="eastAsia" w:ascii="新宋体" w:hAnsi="新宋体" w:eastAsia="新宋体" w:cs="新宋体"/>
          <w:b/>
          <w:bCs/>
          <w:color w:val="auto"/>
          <w:sz w:val="28"/>
          <w:szCs w:val="28"/>
          <w:highlight w:val="none"/>
        </w:rPr>
      </w:pPr>
    </w:p>
    <w:p w14:paraId="0C533876">
      <w:pPr>
        <w:rPr>
          <w:rFonts w:hint="eastAsia" w:ascii="新宋体" w:hAnsi="新宋体" w:eastAsia="新宋体" w:cs="新宋体"/>
          <w:b/>
          <w:bCs/>
          <w:color w:val="auto"/>
          <w:sz w:val="24"/>
          <w:szCs w:val="24"/>
          <w:highlight w:val="none"/>
          <w:u w:val="single"/>
          <w:lang w:val="en-US" w:eastAsia="zh-CN"/>
        </w:rPr>
      </w:pPr>
      <w:r>
        <w:rPr>
          <w:rFonts w:hint="eastAsia" w:ascii="新宋体" w:hAnsi="新宋体" w:eastAsia="新宋体" w:cs="新宋体"/>
          <w:b/>
          <w:bCs/>
          <w:color w:val="auto"/>
          <w:sz w:val="24"/>
          <w:szCs w:val="24"/>
          <w:highlight w:val="none"/>
          <w:u w:val="single"/>
          <w:lang w:val="en-US" w:eastAsia="zh-CN"/>
        </w:rPr>
        <w:br w:type="page"/>
      </w:r>
    </w:p>
    <w:p w14:paraId="252F37C8">
      <w:pPr>
        <w:rPr>
          <w:rFonts w:hint="eastAsia" w:ascii="新宋体" w:hAnsi="新宋体" w:eastAsia="新宋体" w:cs="新宋体"/>
          <w:b/>
          <w:bCs/>
          <w:color w:val="auto"/>
          <w:sz w:val="24"/>
          <w:szCs w:val="24"/>
          <w:highlight w:val="none"/>
          <w:u w:val="single"/>
          <w:lang w:val="en-US" w:eastAsia="zh-CN"/>
        </w:rPr>
        <w:sectPr>
          <w:headerReference r:id="rId6" w:type="first"/>
          <w:footerReference r:id="rId8" w:type="first"/>
          <w:headerReference r:id="rId5" w:type="default"/>
          <w:footerReference r:id="rId7" w:type="default"/>
          <w:pgSz w:w="11907" w:h="16840"/>
          <w:pgMar w:top="1134" w:right="1134" w:bottom="1134" w:left="1134" w:header="851" w:footer="992" w:gutter="0"/>
          <w:pgNumType w:fmt="decimal" w:start="2"/>
          <w:cols w:space="720" w:num="1"/>
          <w:titlePg/>
          <w:docGrid w:linePitch="312" w:charSpace="0"/>
        </w:sectPr>
      </w:pPr>
    </w:p>
    <w:p w14:paraId="0B63FBD2">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3、投标人情况表</w:t>
      </w:r>
    </w:p>
    <w:p w14:paraId="624EA58E">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2B4CEE80">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项目编号：</w:t>
      </w:r>
    </w:p>
    <w:tbl>
      <w:tblPr>
        <w:tblStyle w:val="5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1115"/>
        <w:gridCol w:w="1689"/>
        <w:gridCol w:w="728"/>
        <w:gridCol w:w="387"/>
        <w:gridCol w:w="1100"/>
        <w:gridCol w:w="1488"/>
        <w:gridCol w:w="1488"/>
        <w:gridCol w:w="1502"/>
        <w:gridCol w:w="1488"/>
        <w:gridCol w:w="1115"/>
        <w:gridCol w:w="355"/>
        <w:gridCol w:w="1106"/>
      </w:tblGrid>
      <w:tr w14:paraId="191F5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14:paraId="0F78106F">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单位名称（盖章）</w:t>
            </w:r>
          </w:p>
        </w:tc>
        <w:tc>
          <w:tcPr>
            <w:tcW w:w="2804" w:type="dxa"/>
            <w:gridSpan w:val="2"/>
          </w:tcPr>
          <w:p w14:paraId="43580DF9">
            <w:pPr>
              <w:spacing w:line="480" w:lineRule="exact"/>
              <w:rPr>
                <w:rFonts w:ascii="新宋体" w:hAnsi="新宋体" w:eastAsia="新宋体"/>
                <w:color w:val="auto"/>
                <w:sz w:val="22"/>
                <w:szCs w:val="22"/>
                <w:highlight w:val="none"/>
              </w:rPr>
            </w:pPr>
          </w:p>
        </w:tc>
        <w:tc>
          <w:tcPr>
            <w:tcW w:w="1115" w:type="dxa"/>
            <w:gridSpan w:val="2"/>
          </w:tcPr>
          <w:p w14:paraId="419C1AC3">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电 话</w:t>
            </w:r>
          </w:p>
        </w:tc>
        <w:tc>
          <w:tcPr>
            <w:tcW w:w="2588" w:type="dxa"/>
            <w:gridSpan w:val="2"/>
          </w:tcPr>
          <w:p w14:paraId="7093232F">
            <w:pPr>
              <w:spacing w:line="480" w:lineRule="exact"/>
              <w:rPr>
                <w:rFonts w:ascii="新宋体" w:hAnsi="新宋体" w:eastAsia="新宋体"/>
                <w:color w:val="auto"/>
                <w:sz w:val="22"/>
                <w:szCs w:val="22"/>
                <w:highlight w:val="none"/>
              </w:rPr>
            </w:pPr>
          </w:p>
        </w:tc>
        <w:tc>
          <w:tcPr>
            <w:tcW w:w="1488" w:type="dxa"/>
          </w:tcPr>
          <w:p w14:paraId="03929847">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主管部门</w:t>
            </w:r>
          </w:p>
        </w:tc>
        <w:tc>
          <w:tcPr>
            <w:tcW w:w="1502" w:type="dxa"/>
          </w:tcPr>
          <w:p w14:paraId="3C987370">
            <w:pPr>
              <w:spacing w:line="480" w:lineRule="exact"/>
              <w:rPr>
                <w:rFonts w:ascii="新宋体" w:hAnsi="新宋体" w:eastAsia="新宋体"/>
                <w:color w:val="auto"/>
                <w:sz w:val="22"/>
                <w:szCs w:val="22"/>
                <w:highlight w:val="none"/>
              </w:rPr>
            </w:pPr>
          </w:p>
        </w:tc>
        <w:tc>
          <w:tcPr>
            <w:tcW w:w="1488" w:type="dxa"/>
          </w:tcPr>
          <w:p w14:paraId="43B06FF6">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企业负责人</w:t>
            </w:r>
          </w:p>
        </w:tc>
        <w:tc>
          <w:tcPr>
            <w:tcW w:w="1115" w:type="dxa"/>
          </w:tcPr>
          <w:p w14:paraId="6374EB0F">
            <w:pPr>
              <w:spacing w:line="480" w:lineRule="exact"/>
              <w:rPr>
                <w:rFonts w:ascii="新宋体" w:hAnsi="新宋体" w:eastAsia="新宋体"/>
                <w:color w:val="auto"/>
                <w:sz w:val="22"/>
                <w:szCs w:val="22"/>
                <w:highlight w:val="none"/>
              </w:rPr>
            </w:pPr>
          </w:p>
        </w:tc>
        <w:tc>
          <w:tcPr>
            <w:tcW w:w="1461" w:type="dxa"/>
            <w:gridSpan w:val="2"/>
          </w:tcPr>
          <w:p w14:paraId="5E153E7A">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职务</w:t>
            </w:r>
          </w:p>
        </w:tc>
      </w:tr>
      <w:tr w14:paraId="303F4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14:paraId="03282800">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地    址</w:t>
            </w:r>
          </w:p>
        </w:tc>
        <w:tc>
          <w:tcPr>
            <w:tcW w:w="2804" w:type="dxa"/>
            <w:gridSpan w:val="2"/>
          </w:tcPr>
          <w:p w14:paraId="74C59ECF">
            <w:pPr>
              <w:spacing w:line="480" w:lineRule="exact"/>
              <w:rPr>
                <w:rFonts w:ascii="新宋体" w:hAnsi="新宋体" w:eastAsia="新宋体"/>
                <w:color w:val="auto"/>
                <w:sz w:val="22"/>
                <w:szCs w:val="22"/>
                <w:highlight w:val="none"/>
              </w:rPr>
            </w:pPr>
          </w:p>
        </w:tc>
        <w:tc>
          <w:tcPr>
            <w:tcW w:w="1115" w:type="dxa"/>
            <w:gridSpan w:val="2"/>
          </w:tcPr>
          <w:p w14:paraId="712A6853">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传 真</w:t>
            </w:r>
          </w:p>
        </w:tc>
        <w:tc>
          <w:tcPr>
            <w:tcW w:w="2588" w:type="dxa"/>
            <w:gridSpan w:val="2"/>
          </w:tcPr>
          <w:p w14:paraId="26CD10DB">
            <w:pPr>
              <w:spacing w:line="480" w:lineRule="exact"/>
              <w:rPr>
                <w:rFonts w:ascii="新宋体" w:hAnsi="新宋体" w:eastAsia="新宋体"/>
                <w:color w:val="auto"/>
                <w:sz w:val="22"/>
                <w:szCs w:val="22"/>
                <w:highlight w:val="none"/>
              </w:rPr>
            </w:pPr>
          </w:p>
        </w:tc>
        <w:tc>
          <w:tcPr>
            <w:tcW w:w="1488" w:type="dxa"/>
          </w:tcPr>
          <w:p w14:paraId="4B8FDB42">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企业性质</w:t>
            </w:r>
          </w:p>
        </w:tc>
        <w:tc>
          <w:tcPr>
            <w:tcW w:w="1502" w:type="dxa"/>
          </w:tcPr>
          <w:p w14:paraId="62105BAF">
            <w:pPr>
              <w:spacing w:line="480" w:lineRule="exact"/>
              <w:rPr>
                <w:rFonts w:ascii="新宋体" w:hAnsi="新宋体" w:eastAsia="新宋体"/>
                <w:color w:val="auto"/>
                <w:sz w:val="22"/>
                <w:szCs w:val="22"/>
                <w:highlight w:val="none"/>
              </w:rPr>
            </w:pPr>
          </w:p>
        </w:tc>
        <w:tc>
          <w:tcPr>
            <w:tcW w:w="1488" w:type="dxa"/>
          </w:tcPr>
          <w:p w14:paraId="3660341A">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授权代表</w:t>
            </w:r>
          </w:p>
        </w:tc>
        <w:tc>
          <w:tcPr>
            <w:tcW w:w="1115" w:type="dxa"/>
          </w:tcPr>
          <w:p w14:paraId="35086778">
            <w:pPr>
              <w:spacing w:line="480" w:lineRule="exact"/>
              <w:rPr>
                <w:rFonts w:ascii="新宋体" w:hAnsi="新宋体" w:eastAsia="新宋体"/>
                <w:color w:val="auto"/>
                <w:sz w:val="22"/>
                <w:szCs w:val="22"/>
                <w:highlight w:val="none"/>
              </w:rPr>
            </w:pPr>
          </w:p>
        </w:tc>
        <w:tc>
          <w:tcPr>
            <w:tcW w:w="1461" w:type="dxa"/>
            <w:gridSpan w:val="2"/>
          </w:tcPr>
          <w:p w14:paraId="4B0E0E31">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职务</w:t>
            </w:r>
          </w:p>
        </w:tc>
      </w:tr>
      <w:tr w14:paraId="66D68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227" w:type="dxa"/>
            <w:vAlign w:val="center"/>
          </w:tcPr>
          <w:p w14:paraId="2E7D04F1">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单位简介</w:t>
            </w:r>
          </w:p>
          <w:p w14:paraId="505D9281">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及机构</w:t>
            </w:r>
          </w:p>
        </w:tc>
        <w:tc>
          <w:tcPr>
            <w:tcW w:w="6507" w:type="dxa"/>
            <w:gridSpan w:val="6"/>
            <w:vAlign w:val="center"/>
          </w:tcPr>
          <w:p w14:paraId="052000B4">
            <w:pPr>
              <w:spacing w:line="480" w:lineRule="exact"/>
              <w:jc w:val="center"/>
              <w:rPr>
                <w:rFonts w:ascii="新宋体" w:hAnsi="新宋体" w:eastAsia="新宋体"/>
                <w:color w:val="auto"/>
                <w:sz w:val="22"/>
                <w:szCs w:val="22"/>
                <w:highlight w:val="none"/>
              </w:rPr>
            </w:pPr>
          </w:p>
        </w:tc>
        <w:tc>
          <w:tcPr>
            <w:tcW w:w="1488" w:type="dxa"/>
            <w:vAlign w:val="center"/>
          </w:tcPr>
          <w:p w14:paraId="1214981E">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单位优势</w:t>
            </w:r>
          </w:p>
          <w:p w14:paraId="1FDAD064">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及特长</w:t>
            </w:r>
          </w:p>
        </w:tc>
        <w:tc>
          <w:tcPr>
            <w:tcW w:w="5566" w:type="dxa"/>
            <w:gridSpan w:val="5"/>
          </w:tcPr>
          <w:p w14:paraId="7D2693CA">
            <w:pPr>
              <w:spacing w:line="480" w:lineRule="exact"/>
              <w:rPr>
                <w:rFonts w:ascii="新宋体" w:hAnsi="新宋体" w:eastAsia="新宋体"/>
                <w:color w:val="auto"/>
                <w:sz w:val="22"/>
                <w:szCs w:val="22"/>
                <w:highlight w:val="none"/>
              </w:rPr>
            </w:pPr>
          </w:p>
        </w:tc>
      </w:tr>
      <w:tr w14:paraId="36274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227" w:type="dxa"/>
            <w:vMerge w:val="restart"/>
            <w:vAlign w:val="center"/>
          </w:tcPr>
          <w:p w14:paraId="25B2DA35">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单位概况</w:t>
            </w:r>
          </w:p>
        </w:tc>
        <w:tc>
          <w:tcPr>
            <w:tcW w:w="1115" w:type="dxa"/>
            <w:vMerge w:val="restart"/>
          </w:tcPr>
          <w:p w14:paraId="11C363EE">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职工总数</w:t>
            </w:r>
          </w:p>
        </w:tc>
        <w:tc>
          <w:tcPr>
            <w:tcW w:w="1689" w:type="dxa"/>
            <w:vMerge w:val="restart"/>
          </w:tcPr>
          <w:p w14:paraId="41153E02">
            <w:pPr>
              <w:spacing w:line="480" w:lineRule="exact"/>
              <w:ind w:firstLine="1540" w:firstLineChars="700"/>
              <w:rPr>
                <w:rFonts w:ascii="新宋体" w:hAnsi="新宋体" w:eastAsia="新宋体"/>
                <w:color w:val="auto"/>
                <w:sz w:val="22"/>
                <w:szCs w:val="22"/>
                <w:highlight w:val="none"/>
              </w:rPr>
            </w:pPr>
          </w:p>
        </w:tc>
        <w:tc>
          <w:tcPr>
            <w:tcW w:w="3703" w:type="dxa"/>
            <w:gridSpan w:val="4"/>
            <w:vMerge w:val="restart"/>
          </w:tcPr>
          <w:p w14:paraId="5F2F4E8D">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各人员构成情况</w:t>
            </w:r>
          </w:p>
        </w:tc>
        <w:tc>
          <w:tcPr>
            <w:tcW w:w="1488" w:type="dxa"/>
            <w:vMerge w:val="restart"/>
            <w:vAlign w:val="center"/>
          </w:tcPr>
          <w:p w14:paraId="6ADD0A17">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上一年主要  经济指标</w:t>
            </w:r>
          </w:p>
        </w:tc>
        <w:tc>
          <w:tcPr>
            <w:tcW w:w="1502" w:type="dxa"/>
            <w:vAlign w:val="center"/>
          </w:tcPr>
          <w:p w14:paraId="4D730691">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指标名称</w:t>
            </w:r>
          </w:p>
        </w:tc>
        <w:tc>
          <w:tcPr>
            <w:tcW w:w="1488" w:type="dxa"/>
            <w:tcBorders>
              <w:tr2bl w:val="single" w:color="auto" w:sz="4" w:space="0"/>
            </w:tcBorders>
            <w:vAlign w:val="center"/>
          </w:tcPr>
          <w:p w14:paraId="32B0E527">
            <w:pPr>
              <w:spacing w:line="480" w:lineRule="exact"/>
              <w:jc w:val="center"/>
              <w:rPr>
                <w:rFonts w:ascii="新宋体" w:hAnsi="新宋体" w:eastAsia="新宋体"/>
                <w:color w:val="auto"/>
                <w:sz w:val="22"/>
                <w:szCs w:val="22"/>
                <w:highlight w:val="none"/>
              </w:rPr>
            </w:pPr>
          </w:p>
        </w:tc>
        <w:tc>
          <w:tcPr>
            <w:tcW w:w="1470" w:type="dxa"/>
            <w:gridSpan w:val="2"/>
            <w:vAlign w:val="center"/>
          </w:tcPr>
          <w:p w14:paraId="0493980A">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实际完成</w:t>
            </w:r>
          </w:p>
        </w:tc>
        <w:tc>
          <w:tcPr>
            <w:tcW w:w="1106" w:type="dxa"/>
            <w:tcBorders>
              <w:tr2bl w:val="single" w:color="auto" w:sz="4" w:space="0"/>
            </w:tcBorders>
            <w:vAlign w:val="center"/>
          </w:tcPr>
          <w:p w14:paraId="0BFB3105">
            <w:pPr>
              <w:spacing w:line="480" w:lineRule="exact"/>
              <w:jc w:val="center"/>
              <w:rPr>
                <w:rFonts w:ascii="新宋体" w:hAnsi="新宋体" w:eastAsia="新宋体"/>
                <w:color w:val="auto"/>
                <w:sz w:val="22"/>
                <w:szCs w:val="22"/>
                <w:highlight w:val="none"/>
              </w:rPr>
            </w:pPr>
          </w:p>
        </w:tc>
      </w:tr>
      <w:tr w14:paraId="7FDFD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227" w:type="dxa"/>
            <w:vMerge w:val="continue"/>
          </w:tcPr>
          <w:p w14:paraId="3AE40DB0">
            <w:pPr>
              <w:spacing w:line="480" w:lineRule="exact"/>
              <w:rPr>
                <w:rFonts w:ascii="新宋体" w:hAnsi="新宋体" w:eastAsia="新宋体"/>
                <w:color w:val="auto"/>
                <w:sz w:val="22"/>
                <w:szCs w:val="22"/>
                <w:highlight w:val="none"/>
              </w:rPr>
            </w:pPr>
          </w:p>
        </w:tc>
        <w:tc>
          <w:tcPr>
            <w:tcW w:w="1115" w:type="dxa"/>
            <w:vMerge w:val="continue"/>
          </w:tcPr>
          <w:p w14:paraId="27B98371">
            <w:pPr>
              <w:spacing w:line="480" w:lineRule="exact"/>
              <w:rPr>
                <w:rFonts w:ascii="新宋体" w:hAnsi="新宋体" w:eastAsia="新宋体"/>
                <w:color w:val="auto"/>
                <w:sz w:val="22"/>
                <w:szCs w:val="22"/>
                <w:highlight w:val="none"/>
              </w:rPr>
            </w:pPr>
          </w:p>
        </w:tc>
        <w:tc>
          <w:tcPr>
            <w:tcW w:w="1689" w:type="dxa"/>
            <w:vMerge w:val="continue"/>
          </w:tcPr>
          <w:p w14:paraId="269CDFE6">
            <w:pPr>
              <w:spacing w:line="480" w:lineRule="exact"/>
              <w:rPr>
                <w:rFonts w:ascii="新宋体" w:hAnsi="新宋体" w:eastAsia="新宋体"/>
                <w:color w:val="auto"/>
                <w:sz w:val="22"/>
                <w:szCs w:val="22"/>
                <w:highlight w:val="none"/>
              </w:rPr>
            </w:pPr>
          </w:p>
        </w:tc>
        <w:tc>
          <w:tcPr>
            <w:tcW w:w="3703" w:type="dxa"/>
            <w:gridSpan w:val="4"/>
            <w:vMerge w:val="continue"/>
          </w:tcPr>
          <w:p w14:paraId="1283B225">
            <w:pPr>
              <w:spacing w:line="480" w:lineRule="exact"/>
              <w:rPr>
                <w:rFonts w:ascii="新宋体" w:hAnsi="新宋体" w:eastAsia="新宋体"/>
                <w:color w:val="auto"/>
                <w:sz w:val="22"/>
                <w:szCs w:val="22"/>
                <w:highlight w:val="none"/>
              </w:rPr>
            </w:pPr>
          </w:p>
        </w:tc>
        <w:tc>
          <w:tcPr>
            <w:tcW w:w="1488" w:type="dxa"/>
            <w:vMerge w:val="continue"/>
          </w:tcPr>
          <w:p w14:paraId="35155273">
            <w:pPr>
              <w:spacing w:line="480" w:lineRule="exact"/>
              <w:rPr>
                <w:rFonts w:ascii="新宋体" w:hAnsi="新宋体" w:eastAsia="新宋体"/>
                <w:color w:val="auto"/>
                <w:sz w:val="22"/>
                <w:szCs w:val="22"/>
                <w:highlight w:val="none"/>
              </w:rPr>
            </w:pPr>
          </w:p>
        </w:tc>
        <w:tc>
          <w:tcPr>
            <w:tcW w:w="1502" w:type="dxa"/>
            <w:vAlign w:val="center"/>
          </w:tcPr>
          <w:p w14:paraId="10AAA2F7">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总产值</w:t>
            </w:r>
          </w:p>
        </w:tc>
        <w:tc>
          <w:tcPr>
            <w:tcW w:w="1488" w:type="dxa"/>
            <w:vAlign w:val="center"/>
          </w:tcPr>
          <w:p w14:paraId="4C9DE805">
            <w:pPr>
              <w:spacing w:line="480" w:lineRule="exact"/>
              <w:ind w:firstLine="660" w:firstLineChars="300"/>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万元</w:t>
            </w:r>
          </w:p>
        </w:tc>
        <w:tc>
          <w:tcPr>
            <w:tcW w:w="1470" w:type="dxa"/>
            <w:gridSpan w:val="2"/>
            <w:vAlign w:val="center"/>
          </w:tcPr>
          <w:p w14:paraId="30748497">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总产值</w:t>
            </w:r>
          </w:p>
        </w:tc>
        <w:tc>
          <w:tcPr>
            <w:tcW w:w="1106" w:type="dxa"/>
            <w:vAlign w:val="center"/>
          </w:tcPr>
          <w:p w14:paraId="7B1836C6">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 xml:space="preserve">   万元</w:t>
            </w:r>
          </w:p>
        </w:tc>
      </w:tr>
      <w:tr w14:paraId="410F8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1227" w:type="dxa"/>
            <w:vMerge w:val="continue"/>
          </w:tcPr>
          <w:p w14:paraId="6357BDB6">
            <w:pPr>
              <w:spacing w:line="480" w:lineRule="exact"/>
              <w:rPr>
                <w:rFonts w:ascii="新宋体" w:hAnsi="新宋体" w:eastAsia="新宋体"/>
                <w:color w:val="auto"/>
                <w:sz w:val="22"/>
                <w:szCs w:val="22"/>
                <w:highlight w:val="none"/>
              </w:rPr>
            </w:pPr>
          </w:p>
        </w:tc>
        <w:tc>
          <w:tcPr>
            <w:tcW w:w="1115" w:type="dxa"/>
            <w:vMerge w:val="restart"/>
          </w:tcPr>
          <w:p w14:paraId="2F336973">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流动资金</w:t>
            </w:r>
          </w:p>
        </w:tc>
        <w:tc>
          <w:tcPr>
            <w:tcW w:w="1689" w:type="dxa"/>
            <w:vMerge w:val="restart"/>
          </w:tcPr>
          <w:p w14:paraId="3A9418DC">
            <w:pPr>
              <w:spacing w:line="480" w:lineRule="exact"/>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 xml:space="preserve">   </w:t>
            </w:r>
          </w:p>
          <w:p w14:paraId="7DBDF7D0">
            <w:pPr>
              <w:spacing w:line="480" w:lineRule="exact"/>
              <w:ind w:firstLine="660" w:firstLineChars="300"/>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 xml:space="preserve">万元 </w:t>
            </w:r>
          </w:p>
        </w:tc>
        <w:tc>
          <w:tcPr>
            <w:tcW w:w="728" w:type="dxa"/>
            <w:vMerge w:val="restart"/>
          </w:tcPr>
          <w:p w14:paraId="5FBCD734">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资金来源</w:t>
            </w:r>
          </w:p>
        </w:tc>
        <w:tc>
          <w:tcPr>
            <w:tcW w:w="1487" w:type="dxa"/>
            <w:gridSpan w:val="2"/>
            <w:vAlign w:val="center"/>
          </w:tcPr>
          <w:p w14:paraId="145B9FD1">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自有资金</w:t>
            </w:r>
          </w:p>
        </w:tc>
        <w:tc>
          <w:tcPr>
            <w:tcW w:w="1488" w:type="dxa"/>
            <w:vAlign w:val="center"/>
          </w:tcPr>
          <w:p w14:paraId="33A1476B">
            <w:pPr>
              <w:spacing w:line="480" w:lineRule="exact"/>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 xml:space="preserve">  万元</w:t>
            </w:r>
          </w:p>
        </w:tc>
        <w:tc>
          <w:tcPr>
            <w:tcW w:w="1488" w:type="dxa"/>
            <w:vMerge w:val="continue"/>
          </w:tcPr>
          <w:p w14:paraId="248745F6">
            <w:pPr>
              <w:spacing w:line="480" w:lineRule="exact"/>
              <w:rPr>
                <w:rFonts w:ascii="新宋体" w:hAnsi="新宋体" w:eastAsia="新宋体"/>
                <w:color w:val="auto"/>
                <w:sz w:val="22"/>
                <w:szCs w:val="22"/>
                <w:highlight w:val="none"/>
              </w:rPr>
            </w:pPr>
          </w:p>
        </w:tc>
        <w:tc>
          <w:tcPr>
            <w:tcW w:w="1502" w:type="dxa"/>
            <w:vAlign w:val="center"/>
          </w:tcPr>
          <w:p w14:paraId="0E81B280">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实现利润</w:t>
            </w:r>
          </w:p>
        </w:tc>
        <w:tc>
          <w:tcPr>
            <w:tcW w:w="1488" w:type="dxa"/>
            <w:vAlign w:val="center"/>
          </w:tcPr>
          <w:p w14:paraId="0154750E">
            <w:pPr>
              <w:spacing w:line="480" w:lineRule="exact"/>
              <w:ind w:firstLine="660" w:firstLineChars="300"/>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万元</w:t>
            </w:r>
          </w:p>
        </w:tc>
        <w:tc>
          <w:tcPr>
            <w:tcW w:w="1470" w:type="dxa"/>
            <w:gridSpan w:val="2"/>
            <w:vAlign w:val="center"/>
          </w:tcPr>
          <w:p w14:paraId="21EE23B7">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实现利润</w:t>
            </w:r>
          </w:p>
        </w:tc>
        <w:tc>
          <w:tcPr>
            <w:tcW w:w="1106" w:type="dxa"/>
            <w:vAlign w:val="center"/>
          </w:tcPr>
          <w:p w14:paraId="75C8A95F">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 xml:space="preserve">   万元</w:t>
            </w:r>
          </w:p>
        </w:tc>
      </w:tr>
      <w:tr w14:paraId="34BC2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227" w:type="dxa"/>
            <w:vMerge w:val="continue"/>
            <w:tcBorders>
              <w:bottom w:val="single" w:color="auto" w:sz="4" w:space="0"/>
            </w:tcBorders>
          </w:tcPr>
          <w:p w14:paraId="560E620D">
            <w:pPr>
              <w:spacing w:line="480" w:lineRule="exact"/>
              <w:rPr>
                <w:rFonts w:ascii="新宋体" w:hAnsi="新宋体" w:eastAsia="新宋体"/>
                <w:color w:val="auto"/>
                <w:sz w:val="22"/>
                <w:szCs w:val="22"/>
                <w:highlight w:val="none"/>
              </w:rPr>
            </w:pPr>
          </w:p>
        </w:tc>
        <w:tc>
          <w:tcPr>
            <w:tcW w:w="1115" w:type="dxa"/>
            <w:vMerge w:val="continue"/>
            <w:tcBorders>
              <w:bottom w:val="single" w:color="auto" w:sz="4" w:space="0"/>
            </w:tcBorders>
          </w:tcPr>
          <w:p w14:paraId="1D0AEFF1">
            <w:pPr>
              <w:spacing w:line="480" w:lineRule="exact"/>
              <w:rPr>
                <w:rFonts w:ascii="新宋体" w:hAnsi="新宋体" w:eastAsia="新宋体"/>
                <w:color w:val="auto"/>
                <w:sz w:val="22"/>
                <w:szCs w:val="22"/>
                <w:highlight w:val="none"/>
              </w:rPr>
            </w:pPr>
          </w:p>
        </w:tc>
        <w:tc>
          <w:tcPr>
            <w:tcW w:w="1689" w:type="dxa"/>
            <w:vMerge w:val="continue"/>
            <w:tcBorders>
              <w:bottom w:val="single" w:color="auto" w:sz="4" w:space="0"/>
            </w:tcBorders>
          </w:tcPr>
          <w:p w14:paraId="77AFDD6E">
            <w:pPr>
              <w:spacing w:line="480" w:lineRule="exact"/>
              <w:rPr>
                <w:rFonts w:ascii="新宋体" w:hAnsi="新宋体" w:eastAsia="新宋体"/>
                <w:color w:val="auto"/>
                <w:sz w:val="22"/>
                <w:szCs w:val="22"/>
                <w:highlight w:val="none"/>
              </w:rPr>
            </w:pPr>
          </w:p>
        </w:tc>
        <w:tc>
          <w:tcPr>
            <w:tcW w:w="728" w:type="dxa"/>
            <w:vMerge w:val="continue"/>
            <w:tcBorders>
              <w:bottom w:val="single" w:color="auto" w:sz="4" w:space="0"/>
            </w:tcBorders>
          </w:tcPr>
          <w:p w14:paraId="1D994F38">
            <w:pPr>
              <w:spacing w:line="480" w:lineRule="exact"/>
              <w:rPr>
                <w:rFonts w:ascii="新宋体" w:hAnsi="新宋体" w:eastAsia="新宋体"/>
                <w:color w:val="auto"/>
                <w:sz w:val="22"/>
                <w:szCs w:val="22"/>
                <w:highlight w:val="none"/>
              </w:rPr>
            </w:pPr>
          </w:p>
        </w:tc>
        <w:tc>
          <w:tcPr>
            <w:tcW w:w="1487" w:type="dxa"/>
            <w:gridSpan w:val="2"/>
            <w:tcBorders>
              <w:bottom w:val="single" w:color="auto" w:sz="4" w:space="0"/>
            </w:tcBorders>
          </w:tcPr>
          <w:p w14:paraId="0BC9E780">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银行贷款</w:t>
            </w:r>
          </w:p>
        </w:tc>
        <w:tc>
          <w:tcPr>
            <w:tcW w:w="1488" w:type="dxa"/>
            <w:tcBorders>
              <w:bottom w:val="single" w:color="auto" w:sz="4" w:space="0"/>
            </w:tcBorders>
          </w:tcPr>
          <w:p w14:paraId="01D4187E">
            <w:pPr>
              <w:spacing w:line="480" w:lineRule="exact"/>
              <w:ind w:firstLine="220" w:firstLineChars="100"/>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万元</w:t>
            </w:r>
          </w:p>
        </w:tc>
        <w:tc>
          <w:tcPr>
            <w:tcW w:w="1488" w:type="dxa"/>
            <w:vMerge w:val="continue"/>
            <w:tcBorders>
              <w:bottom w:val="single" w:color="auto" w:sz="4" w:space="0"/>
            </w:tcBorders>
          </w:tcPr>
          <w:p w14:paraId="10045AB4">
            <w:pPr>
              <w:spacing w:line="480" w:lineRule="exact"/>
              <w:rPr>
                <w:rFonts w:ascii="新宋体" w:hAnsi="新宋体" w:eastAsia="新宋体"/>
                <w:color w:val="auto"/>
                <w:sz w:val="22"/>
                <w:szCs w:val="22"/>
                <w:highlight w:val="none"/>
              </w:rPr>
            </w:pPr>
          </w:p>
        </w:tc>
        <w:tc>
          <w:tcPr>
            <w:tcW w:w="1502" w:type="dxa"/>
            <w:vMerge w:val="restart"/>
            <w:tcBorders>
              <w:bottom w:val="single" w:color="auto" w:sz="4" w:space="0"/>
            </w:tcBorders>
            <w:vAlign w:val="center"/>
          </w:tcPr>
          <w:p w14:paraId="3F9B29F5">
            <w:pPr>
              <w:spacing w:line="480" w:lineRule="exact"/>
              <w:jc w:val="center"/>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主要业绩</w:t>
            </w:r>
          </w:p>
        </w:tc>
        <w:tc>
          <w:tcPr>
            <w:tcW w:w="4064" w:type="dxa"/>
            <w:gridSpan w:val="4"/>
            <w:vMerge w:val="restart"/>
            <w:tcBorders>
              <w:bottom w:val="single" w:color="auto" w:sz="4" w:space="0"/>
            </w:tcBorders>
            <w:vAlign w:val="center"/>
          </w:tcPr>
          <w:p w14:paraId="4C47B813">
            <w:pPr>
              <w:spacing w:line="480" w:lineRule="exact"/>
              <w:jc w:val="center"/>
              <w:rPr>
                <w:rFonts w:ascii="新宋体" w:hAnsi="新宋体" w:eastAsia="新宋体"/>
                <w:color w:val="auto"/>
                <w:sz w:val="22"/>
                <w:szCs w:val="22"/>
                <w:highlight w:val="none"/>
              </w:rPr>
            </w:pPr>
          </w:p>
        </w:tc>
      </w:tr>
      <w:tr w14:paraId="44FA1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1227" w:type="dxa"/>
            <w:vMerge w:val="continue"/>
          </w:tcPr>
          <w:p w14:paraId="3BB6B251">
            <w:pPr>
              <w:spacing w:line="480" w:lineRule="exact"/>
              <w:rPr>
                <w:rFonts w:ascii="新宋体" w:hAnsi="新宋体" w:eastAsia="新宋体"/>
                <w:color w:val="auto"/>
                <w:sz w:val="22"/>
                <w:szCs w:val="22"/>
                <w:highlight w:val="none"/>
              </w:rPr>
            </w:pPr>
          </w:p>
        </w:tc>
        <w:tc>
          <w:tcPr>
            <w:tcW w:w="1115" w:type="dxa"/>
            <w:vMerge w:val="restart"/>
          </w:tcPr>
          <w:p w14:paraId="5EC33993">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固定资产</w:t>
            </w:r>
          </w:p>
        </w:tc>
        <w:tc>
          <w:tcPr>
            <w:tcW w:w="1689" w:type="dxa"/>
            <w:vMerge w:val="restart"/>
          </w:tcPr>
          <w:p w14:paraId="68B38B99">
            <w:pPr>
              <w:spacing w:line="480" w:lineRule="exact"/>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原值   万元</w:t>
            </w:r>
          </w:p>
          <w:p w14:paraId="43F1EA1A">
            <w:pPr>
              <w:spacing w:line="480" w:lineRule="exact"/>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净值   万元</w:t>
            </w:r>
          </w:p>
        </w:tc>
        <w:tc>
          <w:tcPr>
            <w:tcW w:w="728" w:type="dxa"/>
            <w:vMerge w:val="restart"/>
          </w:tcPr>
          <w:p w14:paraId="3C135EB3">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资金性质</w:t>
            </w:r>
          </w:p>
        </w:tc>
        <w:tc>
          <w:tcPr>
            <w:tcW w:w="1487" w:type="dxa"/>
            <w:gridSpan w:val="2"/>
          </w:tcPr>
          <w:p w14:paraId="373E8D8B">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生产性</w:t>
            </w:r>
          </w:p>
        </w:tc>
        <w:tc>
          <w:tcPr>
            <w:tcW w:w="1488" w:type="dxa"/>
          </w:tcPr>
          <w:p w14:paraId="0A4AD799">
            <w:pPr>
              <w:spacing w:line="480" w:lineRule="exact"/>
              <w:ind w:left="220" w:hanging="220" w:hangingChars="100"/>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 xml:space="preserve">      万元</w:t>
            </w:r>
          </w:p>
        </w:tc>
        <w:tc>
          <w:tcPr>
            <w:tcW w:w="1488" w:type="dxa"/>
            <w:vMerge w:val="continue"/>
          </w:tcPr>
          <w:p w14:paraId="527A42B3">
            <w:pPr>
              <w:spacing w:line="480" w:lineRule="exact"/>
              <w:rPr>
                <w:rFonts w:ascii="新宋体" w:hAnsi="新宋体" w:eastAsia="新宋体"/>
                <w:color w:val="auto"/>
                <w:sz w:val="22"/>
                <w:szCs w:val="22"/>
                <w:highlight w:val="none"/>
              </w:rPr>
            </w:pPr>
          </w:p>
        </w:tc>
        <w:tc>
          <w:tcPr>
            <w:tcW w:w="1502" w:type="dxa"/>
            <w:vMerge w:val="continue"/>
          </w:tcPr>
          <w:p w14:paraId="16D1E855">
            <w:pPr>
              <w:spacing w:line="480" w:lineRule="exact"/>
              <w:rPr>
                <w:rFonts w:ascii="新宋体" w:hAnsi="新宋体" w:eastAsia="新宋体"/>
                <w:color w:val="auto"/>
                <w:sz w:val="22"/>
                <w:szCs w:val="22"/>
                <w:highlight w:val="none"/>
              </w:rPr>
            </w:pPr>
          </w:p>
        </w:tc>
        <w:tc>
          <w:tcPr>
            <w:tcW w:w="4064" w:type="dxa"/>
            <w:gridSpan w:val="4"/>
            <w:vMerge w:val="continue"/>
          </w:tcPr>
          <w:p w14:paraId="727A3DEA">
            <w:pPr>
              <w:spacing w:line="480" w:lineRule="exact"/>
              <w:rPr>
                <w:rFonts w:ascii="新宋体" w:hAnsi="新宋体" w:eastAsia="新宋体"/>
                <w:color w:val="auto"/>
                <w:sz w:val="22"/>
                <w:szCs w:val="22"/>
                <w:highlight w:val="none"/>
              </w:rPr>
            </w:pPr>
          </w:p>
        </w:tc>
      </w:tr>
      <w:tr w14:paraId="0C405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1227" w:type="dxa"/>
            <w:vMerge w:val="continue"/>
          </w:tcPr>
          <w:p w14:paraId="35F59124">
            <w:pPr>
              <w:spacing w:line="480" w:lineRule="exact"/>
              <w:rPr>
                <w:rFonts w:ascii="新宋体" w:hAnsi="新宋体" w:eastAsia="新宋体"/>
                <w:color w:val="auto"/>
                <w:sz w:val="22"/>
                <w:szCs w:val="22"/>
                <w:highlight w:val="none"/>
              </w:rPr>
            </w:pPr>
          </w:p>
        </w:tc>
        <w:tc>
          <w:tcPr>
            <w:tcW w:w="1115" w:type="dxa"/>
            <w:vMerge w:val="continue"/>
          </w:tcPr>
          <w:p w14:paraId="7ACF1FE4">
            <w:pPr>
              <w:spacing w:line="480" w:lineRule="exact"/>
              <w:rPr>
                <w:rFonts w:ascii="新宋体" w:hAnsi="新宋体" w:eastAsia="新宋体"/>
                <w:color w:val="auto"/>
                <w:sz w:val="22"/>
                <w:szCs w:val="22"/>
                <w:highlight w:val="none"/>
              </w:rPr>
            </w:pPr>
          </w:p>
        </w:tc>
        <w:tc>
          <w:tcPr>
            <w:tcW w:w="1689" w:type="dxa"/>
            <w:vMerge w:val="continue"/>
          </w:tcPr>
          <w:p w14:paraId="005317B1">
            <w:pPr>
              <w:spacing w:line="480" w:lineRule="exact"/>
              <w:rPr>
                <w:rFonts w:ascii="新宋体" w:hAnsi="新宋体" w:eastAsia="新宋体"/>
                <w:color w:val="auto"/>
                <w:sz w:val="22"/>
                <w:szCs w:val="22"/>
                <w:highlight w:val="none"/>
              </w:rPr>
            </w:pPr>
          </w:p>
        </w:tc>
        <w:tc>
          <w:tcPr>
            <w:tcW w:w="728" w:type="dxa"/>
            <w:vMerge w:val="continue"/>
          </w:tcPr>
          <w:p w14:paraId="18F86386">
            <w:pPr>
              <w:spacing w:line="480" w:lineRule="exact"/>
              <w:rPr>
                <w:rFonts w:ascii="新宋体" w:hAnsi="新宋体" w:eastAsia="新宋体"/>
                <w:color w:val="auto"/>
                <w:sz w:val="22"/>
                <w:szCs w:val="22"/>
                <w:highlight w:val="none"/>
              </w:rPr>
            </w:pPr>
          </w:p>
        </w:tc>
        <w:tc>
          <w:tcPr>
            <w:tcW w:w="1487" w:type="dxa"/>
            <w:gridSpan w:val="2"/>
          </w:tcPr>
          <w:p w14:paraId="676314C9">
            <w:pPr>
              <w:spacing w:line="480" w:lineRule="exac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非生产性</w:t>
            </w:r>
          </w:p>
        </w:tc>
        <w:tc>
          <w:tcPr>
            <w:tcW w:w="1488" w:type="dxa"/>
          </w:tcPr>
          <w:p w14:paraId="5076289F">
            <w:pPr>
              <w:spacing w:line="480" w:lineRule="exact"/>
              <w:ind w:left="220" w:hanging="220" w:hangingChars="100"/>
              <w:jc w:val="right"/>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 xml:space="preserve">      万元</w:t>
            </w:r>
          </w:p>
        </w:tc>
        <w:tc>
          <w:tcPr>
            <w:tcW w:w="1488" w:type="dxa"/>
            <w:vMerge w:val="continue"/>
          </w:tcPr>
          <w:p w14:paraId="160058F6">
            <w:pPr>
              <w:spacing w:line="480" w:lineRule="exact"/>
              <w:rPr>
                <w:rFonts w:ascii="新宋体" w:hAnsi="新宋体" w:eastAsia="新宋体"/>
                <w:color w:val="auto"/>
                <w:sz w:val="22"/>
                <w:szCs w:val="22"/>
                <w:highlight w:val="none"/>
              </w:rPr>
            </w:pPr>
          </w:p>
        </w:tc>
        <w:tc>
          <w:tcPr>
            <w:tcW w:w="1502" w:type="dxa"/>
            <w:vMerge w:val="continue"/>
          </w:tcPr>
          <w:p w14:paraId="1AEB55E5">
            <w:pPr>
              <w:spacing w:line="480" w:lineRule="exact"/>
              <w:rPr>
                <w:rFonts w:ascii="新宋体" w:hAnsi="新宋体" w:eastAsia="新宋体"/>
                <w:color w:val="auto"/>
                <w:sz w:val="22"/>
                <w:szCs w:val="22"/>
                <w:highlight w:val="none"/>
              </w:rPr>
            </w:pPr>
          </w:p>
        </w:tc>
        <w:tc>
          <w:tcPr>
            <w:tcW w:w="4064" w:type="dxa"/>
            <w:gridSpan w:val="4"/>
            <w:vMerge w:val="continue"/>
          </w:tcPr>
          <w:p w14:paraId="19AD3868">
            <w:pPr>
              <w:spacing w:line="480" w:lineRule="exact"/>
              <w:rPr>
                <w:rFonts w:ascii="新宋体" w:hAnsi="新宋体" w:eastAsia="新宋体"/>
                <w:color w:val="auto"/>
                <w:sz w:val="22"/>
                <w:szCs w:val="22"/>
                <w:highlight w:val="none"/>
              </w:rPr>
            </w:pPr>
          </w:p>
        </w:tc>
      </w:tr>
    </w:tbl>
    <w:p w14:paraId="00996FF4">
      <w:pPr>
        <w:rPr>
          <w:rFonts w:hint="eastAsia" w:ascii="新宋体" w:hAnsi="新宋体" w:eastAsia="新宋体" w:cs="新宋体"/>
          <w:b/>
          <w:bCs/>
          <w:color w:val="auto"/>
          <w:sz w:val="24"/>
          <w:szCs w:val="24"/>
          <w:highlight w:val="none"/>
          <w:u w:val="single"/>
          <w:lang w:val="en-US" w:eastAsia="zh-CN"/>
        </w:rPr>
      </w:pPr>
    </w:p>
    <w:p w14:paraId="16E29C3B">
      <w:pPr>
        <w:bidi w:val="0"/>
        <w:rPr>
          <w:rFonts w:hint="eastAsia"/>
          <w:color w:val="auto"/>
          <w:highlight w:val="none"/>
          <w:lang w:val="en-US" w:eastAsia="zh-CN"/>
        </w:rPr>
      </w:pPr>
    </w:p>
    <w:p w14:paraId="59D1D3F6">
      <w:pPr>
        <w:rPr>
          <w:rFonts w:hint="eastAsia" w:ascii="新宋体" w:hAnsi="新宋体" w:eastAsia="新宋体" w:cs="新宋体"/>
          <w:b/>
          <w:bCs/>
          <w:color w:val="auto"/>
          <w:sz w:val="24"/>
          <w:szCs w:val="24"/>
          <w:highlight w:val="none"/>
          <w:u w:val="single"/>
          <w:lang w:val="en-US" w:eastAsia="zh-CN"/>
        </w:rPr>
      </w:pPr>
    </w:p>
    <w:p w14:paraId="5E942486">
      <w:pPr>
        <w:rPr>
          <w:rFonts w:hint="eastAsia"/>
          <w:color w:val="auto"/>
          <w:highlight w:val="none"/>
          <w:lang w:val="en-US" w:eastAsia="zh-CN"/>
        </w:rPr>
      </w:pPr>
    </w:p>
    <w:p w14:paraId="693530FF">
      <w:pPr>
        <w:spacing w:line="460" w:lineRule="exact"/>
        <w:jc w:val="left"/>
        <w:outlineLvl w:val="3"/>
        <w:rPr>
          <w:rFonts w:hint="eastAsia" w:ascii="新宋体" w:hAnsi="新宋体" w:eastAsia="新宋体" w:cs="新宋体"/>
          <w:b/>
          <w:bCs/>
          <w:color w:val="auto"/>
          <w:sz w:val="24"/>
          <w:szCs w:val="24"/>
          <w:highlight w:val="none"/>
          <w:u w:val="single"/>
          <w:lang w:val="en-US" w:eastAsia="zh-CN"/>
        </w:rPr>
        <w:sectPr>
          <w:pgSz w:w="16840" w:h="11907" w:orient="landscape"/>
          <w:pgMar w:top="1134" w:right="1134" w:bottom="1134" w:left="1134" w:header="851" w:footer="992" w:gutter="0"/>
          <w:pgNumType w:fmt="decimal"/>
          <w:cols w:space="720" w:num="1"/>
          <w:titlePg/>
          <w:docGrid w:linePitch="312" w:charSpace="0"/>
        </w:sectPr>
      </w:pPr>
    </w:p>
    <w:p w14:paraId="20A2ABC8">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4、廉政承诺书</w:t>
      </w:r>
    </w:p>
    <w:p w14:paraId="4670B1BA">
      <w:pPr>
        <w:tabs>
          <w:tab w:val="left" w:pos="360"/>
        </w:tabs>
        <w:spacing w:line="460" w:lineRule="exact"/>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温州市第七人民医院</w:t>
      </w:r>
      <w:r>
        <w:rPr>
          <w:rFonts w:hint="eastAsia" w:ascii="新宋体" w:hAnsi="新宋体" w:eastAsia="新宋体" w:cs="新宋体"/>
          <w:color w:val="auto"/>
          <w:sz w:val="22"/>
          <w:highlight w:val="none"/>
        </w:rPr>
        <w:t>、温州历程招标有限公司：</w:t>
      </w:r>
    </w:p>
    <w:p w14:paraId="752671E8">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为加强采购活动中的廉政建设，防止发生违法违纪行为，体现公开、公平、公正的原则，根据国家有关法律、法规和廉政建设责任制的规定，本投标人特作如下承诺：</w:t>
      </w:r>
    </w:p>
    <w:p w14:paraId="218E7B99">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一、不与采购人、采购代理机构及其他投标人私下串通协商，进行围标、串标、抬标、控制投标价格。</w:t>
      </w:r>
    </w:p>
    <w:p w14:paraId="65EC3B98">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二、不向采购人、采购代理机构、评标专家行贿，以不正当手段谋取中标。</w:t>
      </w:r>
    </w:p>
    <w:p w14:paraId="2775C5C2">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三、不向监管人员请客、送礼及组织其他有可能影响客观公正监管的活动。</w:t>
      </w:r>
    </w:p>
    <w:p w14:paraId="08CC7DC1">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四、自觉遵守开标、评标现场工作纪律，不私下接触评标专家，不干扰正常的开标评标秩序。</w:t>
      </w:r>
    </w:p>
    <w:p w14:paraId="402F2D1D">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五、不给责任人的违法违规行为说情、解脱。</w:t>
      </w:r>
    </w:p>
    <w:p w14:paraId="6798B18D">
      <w:pPr>
        <w:tabs>
          <w:tab w:val="left" w:pos="360"/>
        </w:tabs>
        <w:spacing w:line="460" w:lineRule="exact"/>
        <w:ind w:firstLine="550" w:firstLineChars="250"/>
        <w:rPr>
          <w:rFonts w:hint="eastAsia" w:ascii="新宋体" w:hAnsi="新宋体" w:eastAsia="新宋体" w:cs="新宋体"/>
          <w:color w:val="auto"/>
          <w:sz w:val="22"/>
          <w:highlight w:val="none"/>
        </w:rPr>
      </w:pPr>
      <w:r>
        <w:rPr>
          <w:rFonts w:hint="eastAsia" w:ascii="新宋体" w:hAnsi="新宋体" w:eastAsia="新宋体" w:cs="新宋体"/>
          <w:color w:val="auto"/>
          <w:sz w:val="22"/>
          <w:highlight w:val="none"/>
        </w:rPr>
        <w:t>如违反上述承诺，你方有权立即取消我单位投标、中标或在建项目的履约资格，有权拒绝我单位在一定时期内进入你方进行政府采购或其他经营活动，并通报监督管理部门、纪检监察部门或司法机关调查处理。由此引起的相应损失均由我单位承担。</w:t>
      </w:r>
    </w:p>
    <w:p w14:paraId="6A3C3A6A">
      <w:pPr>
        <w:spacing w:line="560" w:lineRule="exact"/>
        <w:rPr>
          <w:rFonts w:hint="eastAsia" w:ascii="新宋体" w:hAnsi="新宋体" w:eastAsia="新宋体" w:cs="新宋体"/>
          <w:b/>
          <w:bCs/>
          <w:color w:val="auto"/>
          <w:sz w:val="22"/>
          <w:szCs w:val="22"/>
          <w:highlight w:val="none"/>
        </w:rPr>
      </w:pPr>
    </w:p>
    <w:p w14:paraId="75003FF3">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rPr>
        <w:t>特此承诺</w:t>
      </w:r>
      <w:r>
        <w:rPr>
          <w:rFonts w:hint="eastAsia" w:ascii="新宋体" w:hAnsi="新宋体" w:eastAsia="新宋体" w:cs="新宋体"/>
          <w:color w:val="auto"/>
          <w:kern w:val="0"/>
          <w:sz w:val="22"/>
          <w:szCs w:val="22"/>
          <w:highlight w:val="none"/>
          <w:lang w:eastAsia="zh-CN"/>
        </w:rPr>
        <w:t>！</w:t>
      </w:r>
    </w:p>
    <w:p w14:paraId="40EF9BAE">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77837F02">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5EC35321">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2C23C74F">
      <w:pPr>
        <w:spacing w:line="460" w:lineRule="exact"/>
        <w:rPr>
          <w:rFonts w:hint="eastAsia" w:ascii="新宋体" w:hAnsi="新宋体" w:eastAsia="新宋体" w:cs="新宋体"/>
          <w:color w:val="auto"/>
          <w:sz w:val="22"/>
          <w:szCs w:val="22"/>
          <w:highlight w:val="none"/>
        </w:rPr>
      </w:pPr>
    </w:p>
    <w:p w14:paraId="632B2B8B">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br w:type="page"/>
      </w:r>
    </w:p>
    <w:p w14:paraId="1F99DDD4">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5、偏离表</w:t>
      </w:r>
      <w:r>
        <w:rPr>
          <w:rFonts w:hint="eastAsia" w:ascii="新宋体" w:hAnsi="新宋体" w:eastAsia="新宋体"/>
          <w:b/>
          <w:bCs/>
          <w:color w:val="auto"/>
          <w:sz w:val="28"/>
          <w:szCs w:val="28"/>
          <w:highlight w:val="none"/>
          <w:lang w:val="zh-CN" w:eastAsia="zh-CN"/>
        </w:rPr>
        <w:t>（</w:t>
      </w:r>
      <w:r>
        <w:rPr>
          <w:rFonts w:hint="eastAsia" w:ascii="新宋体" w:hAnsi="新宋体" w:eastAsia="新宋体"/>
          <w:b/>
          <w:bCs/>
          <w:color w:val="auto"/>
          <w:sz w:val="28"/>
          <w:szCs w:val="28"/>
          <w:highlight w:val="none"/>
          <w:lang w:val="en-US" w:eastAsia="zh-CN"/>
        </w:rPr>
        <w:t>商务、技术偏离</w:t>
      </w:r>
      <w:r>
        <w:rPr>
          <w:rFonts w:hint="eastAsia" w:ascii="新宋体" w:hAnsi="新宋体" w:eastAsia="新宋体"/>
          <w:b/>
          <w:bCs/>
          <w:color w:val="auto"/>
          <w:sz w:val="28"/>
          <w:szCs w:val="28"/>
          <w:highlight w:val="none"/>
          <w:lang w:val="zh-CN" w:eastAsia="zh-CN"/>
        </w:rPr>
        <w:t>）</w:t>
      </w:r>
    </w:p>
    <w:p w14:paraId="3105664F">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232F27D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Cs/>
          <w:color w:val="auto"/>
          <w:sz w:val="22"/>
          <w:szCs w:val="22"/>
          <w:highlight w:val="none"/>
        </w:rPr>
        <w:t>项目编号：</w:t>
      </w:r>
    </w:p>
    <w:tbl>
      <w:tblPr>
        <w:tblStyle w:val="55"/>
        <w:tblW w:w="0" w:type="auto"/>
        <w:tblInd w:w="3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4"/>
        <w:gridCol w:w="3131"/>
        <w:gridCol w:w="3000"/>
        <w:gridCol w:w="1522"/>
      </w:tblGrid>
      <w:tr w14:paraId="38BCC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754" w:type="dxa"/>
            <w:shd w:val="clear" w:color="auto" w:fill="FFFFFF"/>
            <w:vAlign w:val="center"/>
          </w:tcPr>
          <w:p w14:paraId="167E2A4C">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序号</w:t>
            </w:r>
          </w:p>
        </w:tc>
        <w:tc>
          <w:tcPr>
            <w:tcW w:w="3131" w:type="dxa"/>
            <w:shd w:val="clear" w:color="auto" w:fill="FFFFFF"/>
            <w:vAlign w:val="center"/>
          </w:tcPr>
          <w:p w14:paraId="47C93098">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招标文件</w:t>
            </w:r>
          </w:p>
          <w:p w14:paraId="6AE941E8">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规格要求</w:t>
            </w:r>
          </w:p>
        </w:tc>
        <w:tc>
          <w:tcPr>
            <w:tcW w:w="3000" w:type="dxa"/>
            <w:shd w:val="clear" w:color="auto" w:fill="FFFFFF"/>
            <w:vAlign w:val="center"/>
          </w:tcPr>
          <w:p w14:paraId="2178A27C">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投标文件</w:t>
            </w:r>
          </w:p>
          <w:p w14:paraId="7358E3A8">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对应规格</w:t>
            </w:r>
          </w:p>
        </w:tc>
        <w:tc>
          <w:tcPr>
            <w:tcW w:w="1522" w:type="dxa"/>
            <w:shd w:val="clear" w:color="auto" w:fill="FFFFFF"/>
            <w:vAlign w:val="center"/>
          </w:tcPr>
          <w:p w14:paraId="0234BCD1">
            <w:pPr>
              <w:jc w:val="center"/>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   明</w:t>
            </w:r>
          </w:p>
        </w:tc>
      </w:tr>
      <w:tr w14:paraId="3A692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1754" w:type="dxa"/>
            <w:vAlign w:val="center"/>
          </w:tcPr>
          <w:p w14:paraId="067466A9">
            <w:pPr>
              <w:ind w:firstLine="220" w:firstLineChars="100"/>
              <w:jc w:val="center"/>
              <w:rPr>
                <w:rFonts w:hint="eastAsia" w:ascii="新宋体" w:hAnsi="新宋体" w:eastAsia="新宋体" w:cs="新宋体"/>
                <w:color w:val="auto"/>
                <w:sz w:val="22"/>
                <w:szCs w:val="22"/>
                <w:highlight w:val="none"/>
              </w:rPr>
            </w:pPr>
          </w:p>
        </w:tc>
        <w:tc>
          <w:tcPr>
            <w:tcW w:w="3131" w:type="dxa"/>
            <w:vAlign w:val="center"/>
          </w:tcPr>
          <w:p w14:paraId="1D4D2696">
            <w:pPr>
              <w:jc w:val="center"/>
              <w:rPr>
                <w:rFonts w:hint="eastAsia" w:ascii="新宋体" w:hAnsi="新宋体" w:eastAsia="新宋体" w:cs="新宋体"/>
                <w:color w:val="auto"/>
                <w:sz w:val="22"/>
                <w:szCs w:val="22"/>
                <w:highlight w:val="none"/>
              </w:rPr>
            </w:pPr>
          </w:p>
        </w:tc>
        <w:tc>
          <w:tcPr>
            <w:tcW w:w="3000" w:type="dxa"/>
            <w:vAlign w:val="center"/>
          </w:tcPr>
          <w:p w14:paraId="6022C35A">
            <w:pPr>
              <w:jc w:val="center"/>
              <w:rPr>
                <w:rFonts w:hint="eastAsia" w:ascii="新宋体" w:hAnsi="新宋体" w:eastAsia="新宋体" w:cs="新宋体"/>
                <w:color w:val="auto"/>
                <w:sz w:val="22"/>
                <w:szCs w:val="22"/>
                <w:highlight w:val="none"/>
              </w:rPr>
            </w:pPr>
          </w:p>
        </w:tc>
        <w:tc>
          <w:tcPr>
            <w:tcW w:w="1522" w:type="dxa"/>
            <w:vAlign w:val="center"/>
          </w:tcPr>
          <w:p w14:paraId="65CE5691">
            <w:pPr>
              <w:jc w:val="center"/>
              <w:rPr>
                <w:rFonts w:hint="eastAsia" w:ascii="新宋体" w:hAnsi="新宋体" w:eastAsia="新宋体" w:cs="新宋体"/>
                <w:color w:val="auto"/>
                <w:sz w:val="22"/>
                <w:szCs w:val="22"/>
                <w:highlight w:val="none"/>
              </w:rPr>
            </w:pPr>
          </w:p>
        </w:tc>
      </w:tr>
      <w:tr w14:paraId="2EA5B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3C0556EA">
            <w:pPr>
              <w:jc w:val="center"/>
              <w:rPr>
                <w:rFonts w:hint="eastAsia" w:ascii="新宋体" w:hAnsi="新宋体" w:eastAsia="新宋体" w:cs="新宋体"/>
                <w:color w:val="auto"/>
                <w:sz w:val="22"/>
                <w:szCs w:val="22"/>
                <w:highlight w:val="none"/>
              </w:rPr>
            </w:pPr>
          </w:p>
        </w:tc>
        <w:tc>
          <w:tcPr>
            <w:tcW w:w="3131" w:type="dxa"/>
            <w:vAlign w:val="center"/>
          </w:tcPr>
          <w:p w14:paraId="6458E8B9">
            <w:pPr>
              <w:jc w:val="center"/>
              <w:rPr>
                <w:rFonts w:hint="eastAsia" w:ascii="新宋体" w:hAnsi="新宋体" w:eastAsia="新宋体" w:cs="新宋体"/>
                <w:color w:val="auto"/>
                <w:sz w:val="22"/>
                <w:szCs w:val="22"/>
                <w:highlight w:val="none"/>
              </w:rPr>
            </w:pPr>
          </w:p>
        </w:tc>
        <w:tc>
          <w:tcPr>
            <w:tcW w:w="3000" w:type="dxa"/>
            <w:vAlign w:val="center"/>
          </w:tcPr>
          <w:p w14:paraId="5C1F1FD7">
            <w:pPr>
              <w:jc w:val="center"/>
              <w:rPr>
                <w:rFonts w:hint="eastAsia" w:ascii="新宋体" w:hAnsi="新宋体" w:eastAsia="新宋体" w:cs="新宋体"/>
                <w:color w:val="auto"/>
                <w:sz w:val="22"/>
                <w:szCs w:val="22"/>
                <w:highlight w:val="none"/>
              </w:rPr>
            </w:pPr>
          </w:p>
        </w:tc>
        <w:tc>
          <w:tcPr>
            <w:tcW w:w="1522" w:type="dxa"/>
            <w:vAlign w:val="center"/>
          </w:tcPr>
          <w:p w14:paraId="0DA57526">
            <w:pPr>
              <w:jc w:val="center"/>
              <w:rPr>
                <w:rFonts w:hint="eastAsia" w:ascii="新宋体" w:hAnsi="新宋体" w:eastAsia="新宋体" w:cs="新宋体"/>
                <w:color w:val="auto"/>
                <w:sz w:val="22"/>
                <w:szCs w:val="22"/>
                <w:highlight w:val="none"/>
              </w:rPr>
            </w:pPr>
          </w:p>
        </w:tc>
      </w:tr>
      <w:tr w14:paraId="400DD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39F2DD3D">
            <w:pPr>
              <w:jc w:val="center"/>
              <w:rPr>
                <w:rFonts w:hint="eastAsia" w:ascii="新宋体" w:hAnsi="新宋体" w:eastAsia="新宋体" w:cs="新宋体"/>
                <w:color w:val="auto"/>
                <w:sz w:val="22"/>
                <w:szCs w:val="22"/>
                <w:highlight w:val="none"/>
              </w:rPr>
            </w:pPr>
          </w:p>
        </w:tc>
        <w:tc>
          <w:tcPr>
            <w:tcW w:w="3131" w:type="dxa"/>
            <w:vAlign w:val="center"/>
          </w:tcPr>
          <w:p w14:paraId="4B97B907">
            <w:pPr>
              <w:jc w:val="center"/>
              <w:rPr>
                <w:rFonts w:hint="eastAsia" w:ascii="新宋体" w:hAnsi="新宋体" w:eastAsia="新宋体" w:cs="新宋体"/>
                <w:color w:val="auto"/>
                <w:sz w:val="22"/>
                <w:szCs w:val="22"/>
                <w:highlight w:val="none"/>
              </w:rPr>
            </w:pPr>
          </w:p>
        </w:tc>
        <w:tc>
          <w:tcPr>
            <w:tcW w:w="3000" w:type="dxa"/>
            <w:vAlign w:val="center"/>
          </w:tcPr>
          <w:p w14:paraId="0145FD23">
            <w:pPr>
              <w:jc w:val="center"/>
              <w:rPr>
                <w:rFonts w:hint="eastAsia" w:ascii="新宋体" w:hAnsi="新宋体" w:eastAsia="新宋体" w:cs="新宋体"/>
                <w:color w:val="auto"/>
                <w:sz w:val="22"/>
                <w:szCs w:val="22"/>
                <w:highlight w:val="none"/>
              </w:rPr>
            </w:pPr>
          </w:p>
        </w:tc>
        <w:tc>
          <w:tcPr>
            <w:tcW w:w="1522" w:type="dxa"/>
            <w:vAlign w:val="center"/>
          </w:tcPr>
          <w:p w14:paraId="4DA7035B">
            <w:pPr>
              <w:jc w:val="center"/>
              <w:rPr>
                <w:rFonts w:hint="eastAsia" w:ascii="新宋体" w:hAnsi="新宋体" w:eastAsia="新宋体" w:cs="新宋体"/>
                <w:color w:val="auto"/>
                <w:sz w:val="22"/>
                <w:szCs w:val="22"/>
                <w:highlight w:val="none"/>
              </w:rPr>
            </w:pPr>
          </w:p>
        </w:tc>
      </w:tr>
      <w:tr w14:paraId="2EAB4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39A1D96E">
            <w:pPr>
              <w:jc w:val="center"/>
              <w:rPr>
                <w:rFonts w:hint="eastAsia" w:ascii="新宋体" w:hAnsi="新宋体" w:eastAsia="新宋体" w:cs="新宋体"/>
                <w:color w:val="auto"/>
                <w:sz w:val="22"/>
                <w:szCs w:val="22"/>
                <w:highlight w:val="none"/>
              </w:rPr>
            </w:pPr>
          </w:p>
        </w:tc>
        <w:tc>
          <w:tcPr>
            <w:tcW w:w="3131" w:type="dxa"/>
            <w:vAlign w:val="center"/>
          </w:tcPr>
          <w:p w14:paraId="36F5AB84">
            <w:pPr>
              <w:jc w:val="center"/>
              <w:rPr>
                <w:rFonts w:hint="eastAsia" w:ascii="新宋体" w:hAnsi="新宋体" w:eastAsia="新宋体" w:cs="新宋体"/>
                <w:color w:val="auto"/>
                <w:sz w:val="22"/>
                <w:szCs w:val="22"/>
                <w:highlight w:val="none"/>
              </w:rPr>
            </w:pPr>
          </w:p>
        </w:tc>
        <w:tc>
          <w:tcPr>
            <w:tcW w:w="3000" w:type="dxa"/>
            <w:vAlign w:val="center"/>
          </w:tcPr>
          <w:p w14:paraId="0899DF20">
            <w:pPr>
              <w:jc w:val="center"/>
              <w:rPr>
                <w:rFonts w:hint="eastAsia" w:ascii="新宋体" w:hAnsi="新宋体" w:eastAsia="新宋体" w:cs="新宋体"/>
                <w:color w:val="auto"/>
                <w:sz w:val="22"/>
                <w:szCs w:val="22"/>
                <w:highlight w:val="none"/>
              </w:rPr>
            </w:pPr>
          </w:p>
        </w:tc>
        <w:tc>
          <w:tcPr>
            <w:tcW w:w="1522" w:type="dxa"/>
            <w:vAlign w:val="center"/>
          </w:tcPr>
          <w:p w14:paraId="68F55D8C">
            <w:pPr>
              <w:jc w:val="center"/>
              <w:rPr>
                <w:rFonts w:hint="eastAsia" w:ascii="新宋体" w:hAnsi="新宋体" w:eastAsia="新宋体" w:cs="新宋体"/>
                <w:color w:val="auto"/>
                <w:sz w:val="22"/>
                <w:szCs w:val="22"/>
                <w:highlight w:val="none"/>
              </w:rPr>
            </w:pPr>
          </w:p>
        </w:tc>
      </w:tr>
      <w:tr w14:paraId="75CE5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0C16385C">
            <w:pPr>
              <w:jc w:val="center"/>
              <w:rPr>
                <w:rFonts w:hint="eastAsia" w:ascii="新宋体" w:hAnsi="新宋体" w:eastAsia="新宋体" w:cs="新宋体"/>
                <w:color w:val="auto"/>
                <w:sz w:val="22"/>
                <w:szCs w:val="22"/>
                <w:highlight w:val="none"/>
              </w:rPr>
            </w:pPr>
          </w:p>
        </w:tc>
        <w:tc>
          <w:tcPr>
            <w:tcW w:w="3131" w:type="dxa"/>
            <w:vAlign w:val="center"/>
          </w:tcPr>
          <w:p w14:paraId="559D4716">
            <w:pPr>
              <w:jc w:val="center"/>
              <w:rPr>
                <w:rFonts w:hint="eastAsia" w:ascii="新宋体" w:hAnsi="新宋体" w:eastAsia="新宋体" w:cs="新宋体"/>
                <w:color w:val="auto"/>
                <w:sz w:val="22"/>
                <w:szCs w:val="22"/>
                <w:highlight w:val="none"/>
              </w:rPr>
            </w:pPr>
          </w:p>
        </w:tc>
        <w:tc>
          <w:tcPr>
            <w:tcW w:w="3000" w:type="dxa"/>
            <w:vAlign w:val="center"/>
          </w:tcPr>
          <w:p w14:paraId="7A04280E">
            <w:pPr>
              <w:jc w:val="center"/>
              <w:rPr>
                <w:rFonts w:hint="eastAsia" w:ascii="新宋体" w:hAnsi="新宋体" w:eastAsia="新宋体" w:cs="新宋体"/>
                <w:color w:val="auto"/>
                <w:sz w:val="22"/>
                <w:szCs w:val="22"/>
                <w:highlight w:val="none"/>
              </w:rPr>
            </w:pPr>
          </w:p>
        </w:tc>
        <w:tc>
          <w:tcPr>
            <w:tcW w:w="1522" w:type="dxa"/>
            <w:vAlign w:val="center"/>
          </w:tcPr>
          <w:p w14:paraId="78F703D7">
            <w:pPr>
              <w:jc w:val="center"/>
              <w:rPr>
                <w:rFonts w:hint="eastAsia" w:ascii="新宋体" w:hAnsi="新宋体" w:eastAsia="新宋体" w:cs="新宋体"/>
                <w:color w:val="auto"/>
                <w:sz w:val="22"/>
                <w:szCs w:val="22"/>
                <w:highlight w:val="none"/>
              </w:rPr>
            </w:pPr>
          </w:p>
        </w:tc>
      </w:tr>
      <w:tr w14:paraId="19559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1D2111C6">
            <w:pPr>
              <w:ind w:firstLine="220" w:firstLineChars="100"/>
              <w:rPr>
                <w:rFonts w:hint="eastAsia" w:ascii="新宋体" w:hAnsi="新宋体" w:eastAsia="新宋体" w:cs="新宋体"/>
                <w:color w:val="auto"/>
                <w:sz w:val="22"/>
                <w:szCs w:val="22"/>
                <w:highlight w:val="none"/>
              </w:rPr>
            </w:pPr>
          </w:p>
        </w:tc>
        <w:tc>
          <w:tcPr>
            <w:tcW w:w="3131" w:type="dxa"/>
            <w:vAlign w:val="center"/>
          </w:tcPr>
          <w:p w14:paraId="1071F736">
            <w:pPr>
              <w:jc w:val="center"/>
              <w:rPr>
                <w:rFonts w:hint="eastAsia" w:ascii="新宋体" w:hAnsi="新宋体" w:eastAsia="新宋体" w:cs="新宋体"/>
                <w:color w:val="auto"/>
                <w:sz w:val="22"/>
                <w:szCs w:val="22"/>
                <w:highlight w:val="none"/>
              </w:rPr>
            </w:pPr>
          </w:p>
        </w:tc>
        <w:tc>
          <w:tcPr>
            <w:tcW w:w="3000" w:type="dxa"/>
            <w:vAlign w:val="center"/>
          </w:tcPr>
          <w:p w14:paraId="77807BE8">
            <w:pPr>
              <w:jc w:val="center"/>
              <w:rPr>
                <w:rFonts w:hint="eastAsia" w:ascii="新宋体" w:hAnsi="新宋体" w:eastAsia="新宋体" w:cs="新宋体"/>
                <w:color w:val="auto"/>
                <w:sz w:val="22"/>
                <w:szCs w:val="22"/>
                <w:highlight w:val="none"/>
              </w:rPr>
            </w:pPr>
          </w:p>
        </w:tc>
        <w:tc>
          <w:tcPr>
            <w:tcW w:w="1522" w:type="dxa"/>
            <w:vAlign w:val="center"/>
          </w:tcPr>
          <w:p w14:paraId="70A4A0BD">
            <w:pPr>
              <w:jc w:val="center"/>
              <w:rPr>
                <w:rFonts w:hint="eastAsia" w:ascii="新宋体" w:hAnsi="新宋体" w:eastAsia="新宋体" w:cs="新宋体"/>
                <w:color w:val="auto"/>
                <w:sz w:val="22"/>
                <w:szCs w:val="22"/>
                <w:highlight w:val="none"/>
              </w:rPr>
            </w:pPr>
          </w:p>
        </w:tc>
      </w:tr>
      <w:tr w14:paraId="7F2ED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7C77B4B9">
            <w:pPr>
              <w:jc w:val="center"/>
              <w:rPr>
                <w:rFonts w:hint="eastAsia" w:ascii="新宋体" w:hAnsi="新宋体" w:eastAsia="新宋体" w:cs="新宋体"/>
                <w:color w:val="auto"/>
                <w:sz w:val="22"/>
                <w:szCs w:val="22"/>
                <w:highlight w:val="none"/>
              </w:rPr>
            </w:pPr>
          </w:p>
        </w:tc>
        <w:tc>
          <w:tcPr>
            <w:tcW w:w="3131" w:type="dxa"/>
            <w:vAlign w:val="center"/>
          </w:tcPr>
          <w:p w14:paraId="466485D1">
            <w:pPr>
              <w:jc w:val="center"/>
              <w:rPr>
                <w:rFonts w:hint="eastAsia" w:ascii="新宋体" w:hAnsi="新宋体" w:eastAsia="新宋体" w:cs="新宋体"/>
                <w:color w:val="auto"/>
                <w:sz w:val="22"/>
                <w:szCs w:val="22"/>
                <w:highlight w:val="none"/>
              </w:rPr>
            </w:pPr>
          </w:p>
        </w:tc>
        <w:tc>
          <w:tcPr>
            <w:tcW w:w="3000" w:type="dxa"/>
            <w:vAlign w:val="center"/>
          </w:tcPr>
          <w:p w14:paraId="4B69869E">
            <w:pPr>
              <w:jc w:val="center"/>
              <w:rPr>
                <w:rFonts w:hint="eastAsia" w:ascii="新宋体" w:hAnsi="新宋体" w:eastAsia="新宋体" w:cs="新宋体"/>
                <w:color w:val="auto"/>
                <w:sz w:val="22"/>
                <w:szCs w:val="22"/>
                <w:highlight w:val="none"/>
              </w:rPr>
            </w:pPr>
          </w:p>
        </w:tc>
        <w:tc>
          <w:tcPr>
            <w:tcW w:w="1522" w:type="dxa"/>
            <w:vAlign w:val="center"/>
          </w:tcPr>
          <w:p w14:paraId="24C48B54">
            <w:pPr>
              <w:jc w:val="center"/>
              <w:rPr>
                <w:rFonts w:hint="eastAsia" w:ascii="新宋体" w:hAnsi="新宋体" w:eastAsia="新宋体" w:cs="新宋体"/>
                <w:color w:val="auto"/>
                <w:sz w:val="22"/>
                <w:szCs w:val="22"/>
                <w:highlight w:val="none"/>
              </w:rPr>
            </w:pPr>
          </w:p>
        </w:tc>
      </w:tr>
      <w:tr w14:paraId="150E3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20535461">
            <w:pPr>
              <w:jc w:val="center"/>
              <w:rPr>
                <w:rFonts w:hint="eastAsia" w:ascii="新宋体" w:hAnsi="新宋体" w:eastAsia="新宋体" w:cs="新宋体"/>
                <w:color w:val="auto"/>
                <w:sz w:val="22"/>
                <w:szCs w:val="22"/>
                <w:highlight w:val="none"/>
              </w:rPr>
            </w:pPr>
          </w:p>
        </w:tc>
        <w:tc>
          <w:tcPr>
            <w:tcW w:w="3131" w:type="dxa"/>
            <w:vAlign w:val="center"/>
          </w:tcPr>
          <w:p w14:paraId="2AC2A7F2">
            <w:pPr>
              <w:jc w:val="center"/>
              <w:rPr>
                <w:rFonts w:hint="eastAsia" w:ascii="新宋体" w:hAnsi="新宋体" w:eastAsia="新宋体" w:cs="新宋体"/>
                <w:color w:val="auto"/>
                <w:sz w:val="22"/>
                <w:szCs w:val="22"/>
                <w:highlight w:val="none"/>
              </w:rPr>
            </w:pPr>
          </w:p>
        </w:tc>
        <w:tc>
          <w:tcPr>
            <w:tcW w:w="3000" w:type="dxa"/>
            <w:vAlign w:val="center"/>
          </w:tcPr>
          <w:p w14:paraId="58042F2E">
            <w:pPr>
              <w:jc w:val="center"/>
              <w:rPr>
                <w:rFonts w:hint="eastAsia" w:ascii="新宋体" w:hAnsi="新宋体" w:eastAsia="新宋体" w:cs="新宋体"/>
                <w:color w:val="auto"/>
                <w:sz w:val="22"/>
                <w:szCs w:val="22"/>
                <w:highlight w:val="none"/>
              </w:rPr>
            </w:pPr>
          </w:p>
        </w:tc>
        <w:tc>
          <w:tcPr>
            <w:tcW w:w="1522" w:type="dxa"/>
            <w:vAlign w:val="center"/>
          </w:tcPr>
          <w:p w14:paraId="0F0A25D6">
            <w:pPr>
              <w:jc w:val="center"/>
              <w:rPr>
                <w:rFonts w:hint="eastAsia" w:ascii="新宋体" w:hAnsi="新宋体" w:eastAsia="新宋体" w:cs="新宋体"/>
                <w:color w:val="auto"/>
                <w:sz w:val="22"/>
                <w:szCs w:val="22"/>
                <w:highlight w:val="none"/>
              </w:rPr>
            </w:pPr>
          </w:p>
        </w:tc>
      </w:tr>
      <w:tr w14:paraId="4FD63D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57656AE4">
            <w:pPr>
              <w:jc w:val="center"/>
              <w:rPr>
                <w:rFonts w:hint="eastAsia" w:ascii="新宋体" w:hAnsi="新宋体" w:eastAsia="新宋体" w:cs="新宋体"/>
                <w:color w:val="auto"/>
                <w:sz w:val="22"/>
                <w:szCs w:val="22"/>
                <w:highlight w:val="none"/>
              </w:rPr>
            </w:pPr>
          </w:p>
        </w:tc>
        <w:tc>
          <w:tcPr>
            <w:tcW w:w="3131" w:type="dxa"/>
            <w:vAlign w:val="center"/>
          </w:tcPr>
          <w:p w14:paraId="3B34E1E1">
            <w:pPr>
              <w:jc w:val="center"/>
              <w:rPr>
                <w:rFonts w:hint="eastAsia" w:ascii="新宋体" w:hAnsi="新宋体" w:eastAsia="新宋体" w:cs="新宋体"/>
                <w:color w:val="auto"/>
                <w:sz w:val="22"/>
                <w:szCs w:val="22"/>
                <w:highlight w:val="none"/>
              </w:rPr>
            </w:pPr>
          </w:p>
        </w:tc>
        <w:tc>
          <w:tcPr>
            <w:tcW w:w="3000" w:type="dxa"/>
            <w:vAlign w:val="center"/>
          </w:tcPr>
          <w:p w14:paraId="4ED12F32">
            <w:pPr>
              <w:jc w:val="center"/>
              <w:rPr>
                <w:rFonts w:hint="eastAsia" w:ascii="新宋体" w:hAnsi="新宋体" w:eastAsia="新宋体" w:cs="新宋体"/>
                <w:color w:val="auto"/>
                <w:sz w:val="22"/>
                <w:szCs w:val="22"/>
                <w:highlight w:val="none"/>
              </w:rPr>
            </w:pPr>
          </w:p>
        </w:tc>
        <w:tc>
          <w:tcPr>
            <w:tcW w:w="1522" w:type="dxa"/>
            <w:vAlign w:val="center"/>
          </w:tcPr>
          <w:p w14:paraId="09CFA8C6">
            <w:pPr>
              <w:jc w:val="center"/>
              <w:rPr>
                <w:rFonts w:hint="eastAsia" w:ascii="新宋体" w:hAnsi="新宋体" w:eastAsia="新宋体" w:cs="新宋体"/>
                <w:color w:val="auto"/>
                <w:sz w:val="22"/>
                <w:szCs w:val="22"/>
                <w:highlight w:val="none"/>
              </w:rPr>
            </w:pPr>
          </w:p>
        </w:tc>
      </w:tr>
      <w:tr w14:paraId="6706D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754" w:type="dxa"/>
            <w:vAlign w:val="center"/>
          </w:tcPr>
          <w:p w14:paraId="6C9F07CD">
            <w:pPr>
              <w:jc w:val="center"/>
              <w:rPr>
                <w:rFonts w:hint="eastAsia" w:ascii="新宋体" w:hAnsi="新宋体" w:eastAsia="新宋体" w:cs="新宋体"/>
                <w:color w:val="auto"/>
                <w:sz w:val="22"/>
                <w:szCs w:val="22"/>
                <w:highlight w:val="none"/>
              </w:rPr>
            </w:pPr>
          </w:p>
        </w:tc>
        <w:tc>
          <w:tcPr>
            <w:tcW w:w="3131" w:type="dxa"/>
            <w:vAlign w:val="center"/>
          </w:tcPr>
          <w:p w14:paraId="79F0F3D7">
            <w:pPr>
              <w:jc w:val="center"/>
              <w:rPr>
                <w:rFonts w:hint="eastAsia" w:ascii="新宋体" w:hAnsi="新宋体" w:eastAsia="新宋体" w:cs="新宋体"/>
                <w:color w:val="auto"/>
                <w:sz w:val="22"/>
                <w:szCs w:val="22"/>
                <w:highlight w:val="none"/>
              </w:rPr>
            </w:pPr>
          </w:p>
        </w:tc>
        <w:tc>
          <w:tcPr>
            <w:tcW w:w="3000" w:type="dxa"/>
            <w:vAlign w:val="center"/>
          </w:tcPr>
          <w:p w14:paraId="7BD93F5D">
            <w:pPr>
              <w:jc w:val="center"/>
              <w:rPr>
                <w:rFonts w:hint="eastAsia" w:ascii="新宋体" w:hAnsi="新宋体" w:eastAsia="新宋体" w:cs="新宋体"/>
                <w:color w:val="auto"/>
                <w:sz w:val="22"/>
                <w:szCs w:val="22"/>
                <w:highlight w:val="none"/>
              </w:rPr>
            </w:pPr>
          </w:p>
        </w:tc>
        <w:tc>
          <w:tcPr>
            <w:tcW w:w="1522" w:type="dxa"/>
            <w:vAlign w:val="center"/>
          </w:tcPr>
          <w:p w14:paraId="7FFC9E81">
            <w:pPr>
              <w:jc w:val="center"/>
              <w:rPr>
                <w:rFonts w:hint="eastAsia" w:ascii="新宋体" w:hAnsi="新宋体" w:eastAsia="新宋体" w:cs="新宋体"/>
                <w:color w:val="auto"/>
                <w:sz w:val="22"/>
                <w:szCs w:val="22"/>
                <w:highlight w:val="none"/>
              </w:rPr>
            </w:pPr>
          </w:p>
        </w:tc>
      </w:tr>
    </w:tbl>
    <w:p w14:paraId="1A316380">
      <w:pPr>
        <w:pStyle w:val="31"/>
        <w:spacing w:line="400" w:lineRule="atLeast"/>
        <w:ind w:left="537" w:hanging="537" w:hangingChars="243"/>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注：如有偏离，必须在偏离表中进行详细对比说明并注明正偏离（负偏离），如不说明偏离情况，视为完全响应招标文件要求无偏离。</w:t>
      </w:r>
    </w:p>
    <w:p w14:paraId="7BACE6BB">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02021B4A">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65406CBB">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388AA1E2">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cs="新宋体"/>
          <w:b/>
          <w:bCs/>
          <w:color w:val="auto"/>
          <w:sz w:val="28"/>
          <w:szCs w:val="28"/>
          <w:highlight w:val="none"/>
        </w:rPr>
        <w:br w:type="page"/>
      </w:r>
      <w:r>
        <w:rPr>
          <w:rFonts w:hint="eastAsia" w:ascii="新宋体" w:hAnsi="新宋体" w:eastAsia="新宋体"/>
          <w:b/>
          <w:bCs/>
          <w:color w:val="auto"/>
          <w:sz w:val="28"/>
          <w:szCs w:val="28"/>
          <w:highlight w:val="none"/>
          <w:lang w:val="en-US" w:eastAsia="zh-CN"/>
        </w:rPr>
        <w:t>6、投标人情况</w:t>
      </w:r>
    </w:p>
    <w:p w14:paraId="6CCDF4E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34D335C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olor w:val="auto"/>
          <w:highlight w:val="none"/>
        </w:rPr>
      </w:pPr>
      <w:r>
        <w:rPr>
          <w:rFonts w:hint="eastAsia" w:ascii="新宋体" w:hAnsi="新宋体" w:eastAsia="新宋体" w:cs="新宋体"/>
          <w:bCs/>
          <w:color w:val="auto"/>
          <w:sz w:val="22"/>
          <w:szCs w:val="22"/>
          <w:highlight w:val="none"/>
        </w:rPr>
        <w:t>项目编号：</w:t>
      </w:r>
    </w:p>
    <w:tbl>
      <w:tblPr>
        <w:tblStyle w:val="5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56060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noWrap w:val="0"/>
            <w:vAlign w:val="center"/>
          </w:tcPr>
          <w:p w14:paraId="39DF3884">
            <w:pPr>
              <w:pStyle w:val="253"/>
              <w:spacing w:after="0" w:line="460" w:lineRule="exact"/>
              <w:rPr>
                <w:rFonts w:hint="eastAsia" w:ascii="新宋体" w:hAnsi="新宋体" w:eastAsia="新宋体"/>
                <w:color w:val="auto"/>
                <w:highlight w:val="none"/>
              </w:rPr>
            </w:pPr>
          </w:p>
        </w:tc>
      </w:tr>
    </w:tbl>
    <w:p w14:paraId="72461C4C">
      <w:pPr>
        <w:rPr>
          <w:rFonts w:hint="eastAsia" w:ascii="新宋体" w:hAnsi="新宋体" w:eastAsia="新宋体"/>
          <w:b/>
          <w:color w:val="auto"/>
          <w:sz w:val="22"/>
          <w:highlight w:val="none"/>
        </w:rPr>
      </w:pPr>
      <w:r>
        <w:rPr>
          <w:rFonts w:hint="eastAsia" w:ascii="新宋体" w:hAnsi="新宋体" w:eastAsia="新宋体"/>
          <w:b/>
          <w:color w:val="auto"/>
          <w:sz w:val="22"/>
          <w:highlight w:val="none"/>
        </w:rPr>
        <w:t xml:space="preserve">   </w:t>
      </w:r>
    </w:p>
    <w:p w14:paraId="1C19F7C4">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08084310">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70022595">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w:t>日   期：</w:t>
      </w:r>
    </w:p>
    <w:p w14:paraId="5C1FE6E5">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br w:type="page"/>
      </w:r>
      <w:r>
        <w:rPr>
          <w:rFonts w:hint="eastAsia" w:ascii="新宋体" w:hAnsi="新宋体" w:eastAsia="新宋体"/>
          <w:b/>
          <w:bCs/>
          <w:color w:val="auto"/>
          <w:sz w:val="28"/>
          <w:szCs w:val="28"/>
          <w:highlight w:val="none"/>
          <w:lang w:val="en-US" w:eastAsia="zh-CN"/>
        </w:rPr>
        <w:t>7、服务响应偏离</w:t>
      </w:r>
    </w:p>
    <w:p w14:paraId="5F62A45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1079397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olor w:val="auto"/>
          <w:highlight w:val="none"/>
        </w:rPr>
      </w:pPr>
      <w:r>
        <w:rPr>
          <w:rFonts w:hint="eastAsia" w:ascii="新宋体" w:hAnsi="新宋体" w:eastAsia="新宋体" w:cs="新宋体"/>
          <w:bCs/>
          <w:color w:val="auto"/>
          <w:sz w:val="22"/>
          <w:szCs w:val="22"/>
          <w:highlight w:val="none"/>
        </w:rPr>
        <w:t>项目编号：</w:t>
      </w:r>
    </w:p>
    <w:tbl>
      <w:tblPr>
        <w:tblStyle w:val="5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047E9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noWrap w:val="0"/>
            <w:vAlign w:val="center"/>
          </w:tcPr>
          <w:p w14:paraId="48B28027">
            <w:pPr>
              <w:pStyle w:val="253"/>
              <w:spacing w:after="0" w:line="460" w:lineRule="exact"/>
              <w:rPr>
                <w:rFonts w:hint="eastAsia" w:ascii="新宋体" w:hAnsi="新宋体" w:eastAsia="新宋体"/>
                <w:color w:val="auto"/>
                <w:highlight w:val="none"/>
              </w:rPr>
            </w:pPr>
          </w:p>
        </w:tc>
      </w:tr>
    </w:tbl>
    <w:p w14:paraId="7FA227A9">
      <w:pPr>
        <w:rPr>
          <w:rFonts w:hint="eastAsia" w:ascii="新宋体" w:hAnsi="新宋体" w:eastAsia="新宋体"/>
          <w:b/>
          <w:color w:val="auto"/>
          <w:sz w:val="22"/>
          <w:highlight w:val="none"/>
        </w:rPr>
      </w:pPr>
      <w:r>
        <w:rPr>
          <w:rFonts w:hint="eastAsia" w:ascii="新宋体" w:hAnsi="新宋体" w:eastAsia="新宋体"/>
          <w:b/>
          <w:color w:val="auto"/>
          <w:sz w:val="22"/>
          <w:highlight w:val="none"/>
        </w:rPr>
        <w:t xml:space="preserve">   </w:t>
      </w:r>
    </w:p>
    <w:p w14:paraId="49B20059">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7F79FF48">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726A9C7D">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b/>
          <w:bCs/>
          <w:color w:val="auto"/>
          <w:sz w:val="28"/>
          <w:szCs w:val="28"/>
          <w:highlight w:val="none"/>
          <w:lang w:val="en-US" w:eastAsia="zh-CN"/>
        </w:rPr>
      </w:pPr>
      <w:r>
        <w:rPr>
          <w:rFonts w:hint="eastAsia" w:ascii="新宋体" w:hAnsi="新宋体" w:eastAsia="新宋体" w:cs="新宋体"/>
          <w:color w:val="auto"/>
          <w:sz w:val="22"/>
          <w:szCs w:val="22"/>
          <w:highlight w:val="none"/>
        </w:rPr>
        <w:t>日   期：</w:t>
      </w:r>
    </w:p>
    <w:p w14:paraId="643DA441">
      <w:pPr>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br w:type="page"/>
      </w:r>
    </w:p>
    <w:p w14:paraId="087A1C75">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8、打印机配置与性能</w:t>
      </w:r>
    </w:p>
    <w:p w14:paraId="1A85F7B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00DAD1C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olor w:val="auto"/>
          <w:highlight w:val="none"/>
        </w:rPr>
      </w:pPr>
      <w:r>
        <w:rPr>
          <w:rFonts w:hint="eastAsia" w:ascii="新宋体" w:hAnsi="新宋体" w:eastAsia="新宋体" w:cs="新宋体"/>
          <w:bCs/>
          <w:color w:val="auto"/>
          <w:sz w:val="22"/>
          <w:szCs w:val="22"/>
          <w:highlight w:val="none"/>
        </w:rPr>
        <w:t>项目编号：</w:t>
      </w:r>
    </w:p>
    <w:tbl>
      <w:tblPr>
        <w:tblStyle w:val="5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5F7FC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noWrap w:val="0"/>
            <w:vAlign w:val="center"/>
          </w:tcPr>
          <w:p w14:paraId="7EA55C64">
            <w:pPr>
              <w:pStyle w:val="253"/>
              <w:spacing w:after="0" w:line="460" w:lineRule="exact"/>
              <w:rPr>
                <w:rFonts w:hint="eastAsia" w:ascii="新宋体" w:hAnsi="新宋体" w:eastAsia="新宋体"/>
                <w:color w:val="auto"/>
                <w:highlight w:val="none"/>
              </w:rPr>
            </w:pPr>
          </w:p>
        </w:tc>
      </w:tr>
    </w:tbl>
    <w:p w14:paraId="1A57F0FF">
      <w:pPr>
        <w:rPr>
          <w:rFonts w:hint="eastAsia" w:ascii="新宋体" w:hAnsi="新宋体" w:eastAsia="新宋体"/>
          <w:b/>
          <w:color w:val="auto"/>
          <w:sz w:val="22"/>
          <w:highlight w:val="none"/>
        </w:rPr>
      </w:pPr>
      <w:r>
        <w:rPr>
          <w:rFonts w:hint="eastAsia" w:ascii="新宋体" w:hAnsi="新宋体" w:eastAsia="新宋体"/>
          <w:b/>
          <w:color w:val="auto"/>
          <w:sz w:val="22"/>
          <w:highlight w:val="none"/>
        </w:rPr>
        <w:t xml:space="preserve">   </w:t>
      </w:r>
    </w:p>
    <w:p w14:paraId="5676A2F3">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9E3C8BE">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50FB21A8">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40B9507B">
      <w:pPr>
        <w:spacing w:line="400" w:lineRule="exact"/>
        <w:ind w:firstLine="5280" w:firstLineChars="2400"/>
        <w:rPr>
          <w:rFonts w:hint="eastAsia" w:ascii="新宋体" w:hAnsi="新宋体" w:eastAsia="新宋体" w:cs="新宋体"/>
          <w:bCs/>
          <w:color w:val="auto"/>
          <w:sz w:val="22"/>
          <w:szCs w:val="22"/>
          <w:highlight w:val="none"/>
        </w:rPr>
      </w:pPr>
    </w:p>
    <w:p w14:paraId="6CBA00DF">
      <w:pPr>
        <w:spacing w:line="400" w:lineRule="exact"/>
        <w:ind w:firstLine="5280" w:firstLineChars="2400"/>
        <w:rPr>
          <w:rFonts w:hint="eastAsia" w:ascii="新宋体" w:hAnsi="新宋体" w:eastAsia="新宋体"/>
          <w:color w:val="auto"/>
          <w:sz w:val="22"/>
          <w:szCs w:val="22"/>
          <w:highlight w:val="none"/>
        </w:rPr>
      </w:pPr>
    </w:p>
    <w:p w14:paraId="2712D938">
      <w:pPr>
        <w:rPr>
          <w:rFonts w:hint="eastAsia" w:ascii="新宋体" w:hAnsi="新宋体" w:eastAsia="新宋体"/>
          <w:b/>
          <w:bCs/>
          <w:color w:val="auto"/>
          <w:sz w:val="28"/>
          <w:szCs w:val="28"/>
          <w:highlight w:val="none"/>
        </w:rPr>
      </w:pPr>
      <w:r>
        <w:rPr>
          <w:rFonts w:hint="eastAsia" w:ascii="新宋体" w:hAnsi="新宋体" w:eastAsia="新宋体"/>
          <w:b/>
          <w:bCs/>
          <w:color w:val="auto"/>
          <w:sz w:val="28"/>
          <w:szCs w:val="28"/>
          <w:highlight w:val="none"/>
        </w:rPr>
        <w:br w:type="page"/>
      </w:r>
    </w:p>
    <w:p w14:paraId="2DE70CC4">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9、服务响应方案</w:t>
      </w:r>
    </w:p>
    <w:p w14:paraId="70C56B65">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72F06DE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olor w:val="auto"/>
          <w:highlight w:val="none"/>
        </w:rPr>
      </w:pPr>
      <w:r>
        <w:rPr>
          <w:rFonts w:hint="eastAsia" w:ascii="新宋体" w:hAnsi="新宋体" w:eastAsia="新宋体" w:cs="新宋体"/>
          <w:bCs/>
          <w:color w:val="auto"/>
          <w:sz w:val="22"/>
          <w:szCs w:val="22"/>
          <w:highlight w:val="none"/>
        </w:rPr>
        <w:t>项目编号：</w:t>
      </w:r>
    </w:p>
    <w:tbl>
      <w:tblPr>
        <w:tblStyle w:val="5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73BE9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noWrap w:val="0"/>
            <w:vAlign w:val="center"/>
          </w:tcPr>
          <w:p w14:paraId="571AB32C">
            <w:pPr>
              <w:pStyle w:val="253"/>
              <w:spacing w:after="0" w:line="460" w:lineRule="exact"/>
              <w:rPr>
                <w:rFonts w:hint="eastAsia" w:ascii="新宋体" w:hAnsi="新宋体" w:eastAsia="新宋体"/>
                <w:color w:val="auto"/>
                <w:highlight w:val="none"/>
              </w:rPr>
            </w:pPr>
          </w:p>
        </w:tc>
      </w:tr>
    </w:tbl>
    <w:p w14:paraId="2A96F5AD">
      <w:pPr>
        <w:rPr>
          <w:rFonts w:hint="eastAsia" w:ascii="新宋体" w:hAnsi="新宋体" w:eastAsia="新宋体"/>
          <w:b/>
          <w:color w:val="auto"/>
          <w:sz w:val="22"/>
          <w:highlight w:val="none"/>
        </w:rPr>
      </w:pPr>
      <w:r>
        <w:rPr>
          <w:rFonts w:hint="eastAsia" w:ascii="新宋体" w:hAnsi="新宋体" w:eastAsia="新宋体"/>
          <w:b/>
          <w:color w:val="auto"/>
          <w:sz w:val="22"/>
          <w:highlight w:val="none"/>
        </w:rPr>
        <w:t xml:space="preserve">   </w:t>
      </w:r>
    </w:p>
    <w:p w14:paraId="484DA6C0">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40878B1E">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2F42E1B3">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0F8D9808">
      <w:pPr>
        <w:spacing w:line="400" w:lineRule="exact"/>
        <w:ind w:firstLine="5280" w:firstLineChars="2400"/>
        <w:rPr>
          <w:rFonts w:hint="eastAsia" w:ascii="新宋体" w:hAnsi="新宋体" w:eastAsia="新宋体"/>
          <w:color w:val="auto"/>
          <w:sz w:val="22"/>
          <w:szCs w:val="22"/>
          <w:highlight w:val="none"/>
        </w:rPr>
      </w:pPr>
    </w:p>
    <w:p w14:paraId="704B0614">
      <w:pPr>
        <w:spacing w:line="400" w:lineRule="exact"/>
        <w:ind w:firstLine="5280" w:firstLineChars="2400"/>
        <w:rPr>
          <w:rFonts w:hint="eastAsia" w:ascii="新宋体" w:hAnsi="新宋体" w:eastAsia="新宋体"/>
          <w:color w:val="auto"/>
          <w:sz w:val="22"/>
          <w:szCs w:val="22"/>
          <w:highlight w:val="none"/>
        </w:rPr>
      </w:pPr>
    </w:p>
    <w:p w14:paraId="60E282EB">
      <w:pPr>
        <w:rPr>
          <w:rFonts w:hint="eastAsia" w:ascii="新宋体" w:hAnsi="新宋体" w:eastAsia="新宋体" w:cs="Times New Roman"/>
          <w:b/>
          <w:bCs/>
          <w:color w:val="auto"/>
          <w:sz w:val="28"/>
          <w:szCs w:val="28"/>
          <w:highlight w:val="none"/>
        </w:rPr>
      </w:pPr>
      <w:r>
        <w:rPr>
          <w:rFonts w:hint="eastAsia" w:ascii="新宋体" w:hAnsi="新宋体" w:eastAsia="新宋体" w:cs="Times New Roman"/>
          <w:b/>
          <w:bCs/>
          <w:color w:val="auto"/>
          <w:sz w:val="28"/>
          <w:szCs w:val="28"/>
          <w:highlight w:val="none"/>
        </w:rPr>
        <w:br w:type="page"/>
      </w:r>
    </w:p>
    <w:p w14:paraId="48CD37CD">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10、维护维修巡检方案</w:t>
      </w:r>
    </w:p>
    <w:p w14:paraId="2774E45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6FDF9F8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olor w:val="auto"/>
          <w:highlight w:val="none"/>
        </w:rPr>
      </w:pPr>
      <w:r>
        <w:rPr>
          <w:rFonts w:hint="eastAsia" w:ascii="新宋体" w:hAnsi="新宋体" w:eastAsia="新宋体" w:cs="新宋体"/>
          <w:bCs/>
          <w:color w:val="auto"/>
          <w:sz w:val="22"/>
          <w:szCs w:val="22"/>
          <w:highlight w:val="none"/>
        </w:rPr>
        <w:t>项目编号：</w:t>
      </w:r>
    </w:p>
    <w:tbl>
      <w:tblPr>
        <w:tblStyle w:val="5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0C86C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noWrap w:val="0"/>
            <w:vAlign w:val="center"/>
          </w:tcPr>
          <w:p w14:paraId="3AFDA07D">
            <w:pPr>
              <w:pStyle w:val="253"/>
              <w:spacing w:after="0" w:line="460" w:lineRule="exact"/>
              <w:rPr>
                <w:rFonts w:hint="eastAsia" w:ascii="新宋体" w:hAnsi="新宋体" w:eastAsia="新宋体"/>
                <w:color w:val="auto"/>
                <w:highlight w:val="none"/>
              </w:rPr>
            </w:pPr>
          </w:p>
        </w:tc>
      </w:tr>
    </w:tbl>
    <w:p w14:paraId="5A2BDFE3">
      <w:pPr>
        <w:rPr>
          <w:rFonts w:hint="eastAsia" w:ascii="新宋体" w:hAnsi="新宋体" w:eastAsia="新宋体"/>
          <w:b/>
          <w:color w:val="auto"/>
          <w:sz w:val="22"/>
          <w:highlight w:val="none"/>
        </w:rPr>
      </w:pPr>
      <w:r>
        <w:rPr>
          <w:rFonts w:hint="eastAsia" w:ascii="新宋体" w:hAnsi="新宋体" w:eastAsia="新宋体"/>
          <w:b/>
          <w:color w:val="auto"/>
          <w:sz w:val="22"/>
          <w:highlight w:val="none"/>
        </w:rPr>
        <w:t xml:space="preserve">   </w:t>
      </w:r>
    </w:p>
    <w:p w14:paraId="55FB0238">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C025481">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2EF489B3">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5A93431A">
      <w:pPr>
        <w:spacing w:line="400" w:lineRule="exact"/>
        <w:rPr>
          <w:rFonts w:hint="eastAsia" w:ascii="新宋体" w:hAnsi="新宋体" w:eastAsia="新宋体" w:cs="新宋体"/>
          <w:bCs/>
          <w:color w:val="auto"/>
          <w:sz w:val="22"/>
          <w:szCs w:val="22"/>
          <w:highlight w:val="none"/>
        </w:rPr>
      </w:pPr>
    </w:p>
    <w:p w14:paraId="0EED72BD">
      <w:pPr>
        <w:pStyle w:val="284"/>
        <w:ind w:firstLine="210"/>
        <w:rPr>
          <w:rFonts w:hint="eastAsia"/>
          <w:color w:val="auto"/>
          <w:highlight w:val="none"/>
        </w:rPr>
      </w:pPr>
    </w:p>
    <w:p w14:paraId="194E2114">
      <w:pPr>
        <w:rPr>
          <w:rFonts w:hint="eastAsia" w:ascii="新宋体" w:hAnsi="新宋体" w:eastAsia="新宋体"/>
          <w:b/>
          <w:bCs/>
          <w:color w:val="auto"/>
          <w:sz w:val="28"/>
          <w:szCs w:val="28"/>
          <w:highlight w:val="none"/>
        </w:rPr>
      </w:pPr>
      <w:r>
        <w:rPr>
          <w:rFonts w:hint="eastAsia" w:ascii="新宋体" w:hAnsi="新宋体" w:eastAsia="新宋体"/>
          <w:b/>
          <w:bCs/>
          <w:color w:val="auto"/>
          <w:sz w:val="28"/>
          <w:szCs w:val="28"/>
          <w:highlight w:val="none"/>
        </w:rPr>
        <w:br w:type="page"/>
      </w:r>
    </w:p>
    <w:p w14:paraId="631113CA">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11、耗材性能及配送方案</w:t>
      </w:r>
    </w:p>
    <w:p w14:paraId="6C2803BD">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01B769B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olor w:val="auto"/>
          <w:highlight w:val="none"/>
        </w:rPr>
      </w:pPr>
      <w:r>
        <w:rPr>
          <w:rFonts w:hint="eastAsia" w:ascii="新宋体" w:hAnsi="新宋体" w:eastAsia="新宋体" w:cs="新宋体"/>
          <w:bCs/>
          <w:color w:val="auto"/>
          <w:sz w:val="22"/>
          <w:szCs w:val="22"/>
          <w:highlight w:val="none"/>
        </w:rPr>
        <w:t>项目编号：</w:t>
      </w:r>
    </w:p>
    <w:tbl>
      <w:tblPr>
        <w:tblStyle w:val="5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2EC93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noWrap w:val="0"/>
            <w:vAlign w:val="center"/>
          </w:tcPr>
          <w:p w14:paraId="721FE240">
            <w:pPr>
              <w:pStyle w:val="253"/>
              <w:spacing w:after="0" w:line="460" w:lineRule="exact"/>
              <w:rPr>
                <w:rFonts w:hint="eastAsia" w:ascii="新宋体" w:hAnsi="新宋体" w:eastAsia="新宋体"/>
                <w:color w:val="auto"/>
                <w:highlight w:val="none"/>
              </w:rPr>
            </w:pPr>
          </w:p>
        </w:tc>
      </w:tr>
    </w:tbl>
    <w:p w14:paraId="3A429987">
      <w:pPr>
        <w:rPr>
          <w:rFonts w:hint="eastAsia" w:ascii="新宋体" w:hAnsi="新宋体" w:eastAsia="新宋体"/>
          <w:b/>
          <w:color w:val="auto"/>
          <w:sz w:val="22"/>
          <w:highlight w:val="none"/>
        </w:rPr>
      </w:pPr>
      <w:r>
        <w:rPr>
          <w:rFonts w:hint="eastAsia" w:ascii="新宋体" w:hAnsi="新宋体" w:eastAsia="新宋体"/>
          <w:b/>
          <w:color w:val="auto"/>
          <w:sz w:val="22"/>
          <w:highlight w:val="none"/>
        </w:rPr>
        <w:t xml:space="preserve">   </w:t>
      </w:r>
    </w:p>
    <w:p w14:paraId="62E1E8E2">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3D4ED938">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F3A3160">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3478E0B6">
      <w:pPr>
        <w:rPr>
          <w:rFonts w:hint="eastAsia" w:ascii="新宋体" w:hAnsi="新宋体" w:eastAsia="新宋体"/>
          <w:b/>
          <w:bCs/>
          <w:color w:val="auto"/>
          <w:sz w:val="28"/>
          <w:szCs w:val="28"/>
          <w:highlight w:val="none"/>
        </w:rPr>
      </w:pPr>
      <w:r>
        <w:rPr>
          <w:rFonts w:hint="eastAsia" w:ascii="新宋体" w:hAnsi="新宋体" w:eastAsia="新宋体"/>
          <w:b/>
          <w:bCs/>
          <w:color w:val="auto"/>
          <w:sz w:val="28"/>
          <w:szCs w:val="28"/>
          <w:highlight w:val="none"/>
        </w:rPr>
        <w:br w:type="page"/>
      </w:r>
    </w:p>
    <w:p w14:paraId="67144995">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12、应急预案</w:t>
      </w:r>
    </w:p>
    <w:p w14:paraId="2C3A0CC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5D0D1B9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b/>
          <w:bCs/>
          <w:color w:val="auto"/>
          <w:sz w:val="28"/>
          <w:szCs w:val="28"/>
          <w:highlight w:val="none"/>
        </w:rPr>
      </w:pPr>
      <w:r>
        <w:rPr>
          <w:rFonts w:hint="eastAsia" w:ascii="新宋体" w:hAnsi="新宋体" w:eastAsia="新宋体" w:cs="新宋体"/>
          <w:bCs/>
          <w:color w:val="auto"/>
          <w:sz w:val="22"/>
          <w:szCs w:val="22"/>
          <w:highlight w:val="none"/>
        </w:rPr>
        <w:t>项目编号：</w:t>
      </w:r>
    </w:p>
    <w:tbl>
      <w:tblPr>
        <w:tblStyle w:val="5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2E9D1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noWrap w:val="0"/>
            <w:vAlign w:val="center"/>
          </w:tcPr>
          <w:p w14:paraId="2C1B3B96">
            <w:pPr>
              <w:pStyle w:val="253"/>
              <w:spacing w:after="0" w:line="460" w:lineRule="exact"/>
              <w:rPr>
                <w:rFonts w:hint="eastAsia" w:ascii="新宋体" w:hAnsi="新宋体" w:eastAsia="新宋体"/>
                <w:color w:val="auto"/>
                <w:highlight w:val="none"/>
              </w:rPr>
            </w:pPr>
          </w:p>
        </w:tc>
      </w:tr>
    </w:tbl>
    <w:p w14:paraId="2B76B372">
      <w:pPr>
        <w:spacing w:line="380" w:lineRule="exact"/>
        <w:rPr>
          <w:rFonts w:hint="eastAsia" w:ascii="新宋体" w:hAnsi="新宋体" w:eastAsia="新宋体"/>
          <w:color w:val="auto"/>
          <w:sz w:val="22"/>
          <w:szCs w:val="22"/>
          <w:highlight w:val="none"/>
        </w:rPr>
      </w:pPr>
    </w:p>
    <w:p w14:paraId="68B192A4">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CC2997E">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5879163C">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4F8B4241">
      <w:pPr>
        <w:spacing w:line="400" w:lineRule="exact"/>
        <w:ind w:firstLine="5280" w:firstLineChars="2400"/>
        <w:rPr>
          <w:rFonts w:hint="eastAsia" w:ascii="新宋体" w:hAnsi="新宋体" w:eastAsia="新宋体" w:cs="新宋体"/>
          <w:bCs/>
          <w:color w:val="auto"/>
          <w:sz w:val="22"/>
          <w:szCs w:val="22"/>
          <w:highlight w:val="none"/>
        </w:rPr>
      </w:pPr>
    </w:p>
    <w:p w14:paraId="1276A82E">
      <w:pPr>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br w:type="page"/>
      </w:r>
    </w:p>
    <w:p w14:paraId="5DC02042">
      <w:pPr>
        <w:spacing w:line="460" w:lineRule="exact"/>
        <w:jc w:val="center"/>
        <w:outlineLvl w:val="3"/>
        <w:rPr>
          <w:rFonts w:hint="eastAsia" w:ascii="新宋体" w:hAnsi="新宋体" w:eastAsia="新宋体"/>
          <w:b/>
          <w:bCs/>
          <w:color w:val="auto"/>
          <w:sz w:val="28"/>
          <w:szCs w:val="28"/>
          <w:highlight w:val="none"/>
          <w:lang w:val="en-US" w:eastAsia="zh-CN"/>
        </w:rPr>
      </w:pPr>
      <w:r>
        <w:rPr>
          <w:rFonts w:hint="eastAsia" w:ascii="新宋体" w:hAnsi="新宋体" w:eastAsia="新宋体"/>
          <w:b/>
          <w:bCs/>
          <w:color w:val="auto"/>
          <w:sz w:val="28"/>
          <w:szCs w:val="28"/>
          <w:highlight w:val="none"/>
          <w:lang w:val="en-US" w:eastAsia="zh-CN"/>
        </w:rPr>
        <w:t>13、售后服务</w:t>
      </w:r>
    </w:p>
    <w:p w14:paraId="18C62FF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74276DB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olor w:val="auto"/>
          <w:highlight w:val="none"/>
        </w:rPr>
      </w:pPr>
      <w:r>
        <w:rPr>
          <w:rFonts w:hint="eastAsia" w:ascii="新宋体" w:hAnsi="新宋体" w:eastAsia="新宋体" w:cs="新宋体"/>
          <w:bCs/>
          <w:color w:val="auto"/>
          <w:sz w:val="22"/>
          <w:szCs w:val="22"/>
          <w:highlight w:val="none"/>
        </w:rPr>
        <w:t>项目编号：</w:t>
      </w:r>
    </w:p>
    <w:tbl>
      <w:tblPr>
        <w:tblStyle w:val="5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61FB6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noWrap w:val="0"/>
            <w:vAlign w:val="center"/>
          </w:tcPr>
          <w:p w14:paraId="6CCE611B">
            <w:pPr>
              <w:pStyle w:val="253"/>
              <w:spacing w:after="0" w:line="460" w:lineRule="exact"/>
              <w:rPr>
                <w:rFonts w:hint="eastAsia" w:ascii="新宋体" w:hAnsi="新宋体" w:eastAsia="新宋体"/>
                <w:color w:val="auto"/>
                <w:highlight w:val="none"/>
              </w:rPr>
            </w:pPr>
          </w:p>
        </w:tc>
      </w:tr>
    </w:tbl>
    <w:p w14:paraId="05D728F7">
      <w:pPr>
        <w:rPr>
          <w:rFonts w:hint="eastAsia" w:ascii="新宋体" w:hAnsi="新宋体" w:eastAsia="新宋体"/>
          <w:b/>
          <w:color w:val="auto"/>
          <w:sz w:val="22"/>
          <w:highlight w:val="none"/>
        </w:rPr>
      </w:pPr>
      <w:r>
        <w:rPr>
          <w:rFonts w:hint="eastAsia" w:ascii="新宋体" w:hAnsi="新宋体" w:eastAsia="新宋体"/>
          <w:b/>
          <w:color w:val="auto"/>
          <w:sz w:val="22"/>
          <w:highlight w:val="none"/>
        </w:rPr>
        <w:t xml:space="preserve">   </w:t>
      </w:r>
    </w:p>
    <w:p w14:paraId="719E696B">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2AFE6922">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4389922">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533C0585">
      <w:pPr>
        <w:spacing w:line="460" w:lineRule="exact"/>
        <w:jc w:val="center"/>
        <w:outlineLvl w:val="3"/>
        <w:rPr>
          <w:rFonts w:hint="eastAsia" w:ascii="新宋体" w:hAnsi="新宋体" w:eastAsia="新宋体" w:cs="Times New Roman"/>
          <w:b/>
          <w:bCs/>
          <w:color w:val="auto"/>
          <w:sz w:val="28"/>
          <w:szCs w:val="28"/>
          <w:highlight w:val="none"/>
          <w:lang w:val="en-US" w:eastAsia="zh-CN"/>
        </w:rPr>
      </w:pPr>
      <w:r>
        <w:rPr>
          <w:rFonts w:hint="eastAsia" w:ascii="新宋体" w:hAnsi="新宋体" w:eastAsia="新宋体" w:cs="新宋体"/>
          <w:b/>
          <w:color w:val="auto"/>
          <w:sz w:val="24"/>
          <w:highlight w:val="none"/>
        </w:rPr>
        <w:br w:type="page"/>
      </w:r>
      <w:r>
        <w:rPr>
          <w:rFonts w:hint="eastAsia" w:ascii="新宋体" w:hAnsi="新宋体" w:eastAsia="新宋体" w:cs="Times New Roman"/>
          <w:b/>
          <w:bCs/>
          <w:color w:val="auto"/>
          <w:sz w:val="28"/>
          <w:szCs w:val="28"/>
          <w:highlight w:val="none"/>
          <w:lang w:val="en-US" w:eastAsia="zh-CN"/>
        </w:rPr>
        <w:t>14、</w:t>
      </w:r>
      <w:bookmarkStart w:id="78" w:name="_Toc10178"/>
      <w:bookmarkStart w:id="79" w:name="_Toc15779"/>
      <w:r>
        <w:rPr>
          <w:rFonts w:hint="eastAsia" w:ascii="新宋体" w:hAnsi="新宋体" w:eastAsia="新宋体" w:cs="Times New Roman"/>
          <w:b/>
          <w:bCs/>
          <w:color w:val="auto"/>
          <w:sz w:val="28"/>
          <w:szCs w:val="28"/>
          <w:highlight w:val="none"/>
          <w:lang w:val="en-US" w:eastAsia="zh-CN"/>
        </w:rPr>
        <w:t>业绩</w:t>
      </w:r>
    </w:p>
    <w:p w14:paraId="3BB3E13E">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w:t>
      </w:r>
    </w:p>
    <w:p w14:paraId="59ECBB9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olor w:val="auto"/>
          <w:sz w:val="22"/>
          <w:szCs w:val="22"/>
          <w:highlight w:val="none"/>
        </w:rPr>
      </w:pPr>
      <w:r>
        <w:rPr>
          <w:rFonts w:hint="eastAsia" w:ascii="新宋体" w:hAnsi="新宋体" w:eastAsia="新宋体" w:cs="新宋体"/>
          <w:bCs/>
          <w:color w:val="auto"/>
          <w:sz w:val="22"/>
          <w:szCs w:val="22"/>
          <w:highlight w:val="none"/>
        </w:rPr>
        <w:t>项目编号：</w:t>
      </w:r>
    </w:p>
    <w:tbl>
      <w:tblPr>
        <w:tblStyle w:val="5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6"/>
        <w:gridCol w:w="2515"/>
        <w:gridCol w:w="2304"/>
        <w:gridCol w:w="1267"/>
        <w:gridCol w:w="1592"/>
        <w:gridCol w:w="1126"/>
      </w:tblGrid>
      <w:tr w14:paraId="25500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jc w:val="center"/>
        </w:trPr>
        <w:tc>
          <w:tcPr>
            <w:tcW w:w="531" w:type="pct"/>
            <w:noWrap w:val="0"/>
            <w:vAlign w:val="center"/>
          </w:tcPr>
          <w:p w14:paraId="4CBBB141">
            <w:pPr>
              <w:spacing w:line="380" w:lineRule="exact"/>
              <w:ind w:left="442" w:hanging="442"/>
              <w:jc w:val="center"/>
              <w:rPr>
                <w:rFonts w:hint="eastAsia" w:ascii="新宋体" w:hAnsi="新宋体" w:eastAsia="新宋体"/>
                <w:b/>
                <w:bCs/>
                <w:color w:val="auto"/>
                <w:sz w:val="22"/>
                <w:szCs w:val="22"/>
                <w:highlight w:val="none"/>
              </w:rPr>
            </w:pPr>
            <w:r>
              <w:rPr>
                <w:rFonts w:hint="eastAsia" w:ascii="新宋体" w:hAnsi="新宋体" w:eastAsia="新宋体"/>
                <w:b/>
                <w:bCs/>
                <w:color w:val="auto"/>
                <w:sz w:val="22"/>
                <w:szCs w:val="22"/>
                <w:highlight w:val="none"/>
              </w:rPr>
              <w:t>序号</w:t>
            </w:r>
          </w:p>
        </w:tc>
        <w:tc>
          <w:tcPr>
            <w:tcW w:w="1276" w:type="pct"/>
            <w:noWrap w:val="0"/>
            <w:vAlign w:val="center"/>
          </w:tcPr>
          <w:p w14:paraId="66E11314">
            <w:pPr>
              <w:spacing w:line="380" w:lineRule="exact"/>
              <w:ind w:left="442" w:hanging="442"/>
              <w:jc w:val="center"/>
              <w:rPr>
                <w:rFonts w:hint="eastAsia" w:ascii="新宋体" w:hAnsi="新宋体" w:eastAsia="新宋体"/>
                <w:b/>
                <w:bCs/>
                <w:color w:val="auto"/>
                <w:sz w:val="22"/>
                <w:szCs w:val="22"/>
                <w:highlight w:val="none"/>
              </w:rPr>
            </w:pPr>
            <w:r>
              <w:rPr>
                <w:rFonts w:hint="eastAsia" w:ascii="新宋体" w:hAnsi="新宋体" w:eastAsia="新宋体"/>
                <w:b/>
                <w:bCs/>
                <w:color w:val="auto"/>
                <w:sz w:val="22"/>
                <w:szCs w:val="22"/>
                <w:highlight w:val="none"/>
              </w:rPr>
              <w:t>用户名称</w:t>
            </w:r>
          </w:p>
        </w:tc>
        <w:tc>
          <w:tcPr>
            <w:tcW w:w="1169" w:type="pct"/>
            <w:noWrap w:val="0"/>
            <w:vAlign w:val="center"/>
          </w:tcPr>
          <w:p w14:paraId="6019EAC7">
            <w:pPr>
              <w:spacing w:line="380" w:lineRule="exact"/>
              <w:ind w:left="442" w:hanging="442"/>
              <w:jc w:val="center"/>
              <w:rPr>
                <w:rFonts w:hint="eastAsia" w:ascii="新宋体" w:hAnsi="新宋体" w:eastAsia="新宋体"/>
                <w:b/>
                <w:bCs/>
                <w:color w:val="auto"/>
                <w:sz w:val="22"/>
                <w:szCs w:val="22"/>
                <w:highlight w:val="none"/>
              </w:rPr>
            </w:pPr>
            <w:r>
              <w:rPr>
                <w:rFonts w:hint="eastAsia" w:ascii="新宋体" w:hAnsi="新宋体" w:eastAsia="新宋体"/>
                <w:b/>
                <w:bCs/>
                <w:color w:val="auto"/>
                <w:sz w:val="22"/>
                <w:szCs w:val="22"/>
                <w:highlight w:val="none"/>
              </w:rPr>
              <w:t>项目名称</w:t>
            </w:r>
          </w:p>
        </w:tc>
        <w:tc>
          <w:tcPr>
            <w:tcW w:w="643" w:type="pct"/>
            <w:noWrap w:val="0"/>
            <w:vAlign w:val="center"/>
          </w:tcPr>
          <w:p w14:paraId="53EC61BF">
            <w:pPr>
              <w:spacing w:line="380" w:lineRule="exact"/>
              <w:ind w:left="442" w:hanging="442"/>
              <w:jc w:val="center"/>
              <w:rPr>
                <w:rFonts w:hint="eastAsia" w:ascii="新宋体" w:hAnsi="新宋体" w:eastAsia="新宋体"/>
                <w:b/>
                <w:bCs/>
                <w:color w:val="auto"/>
                <w:sz w:val="22"/>
                <w:szCs w:val="22"/>
                <w:highlight w:val="none"/>
              </w:rPr>
            </w:pPr>
            <w:r>
              <w:rPr>
                <w:rFonts w:hint="eastAsia" w:ascii="新宋体" w:hAnsi="新宋体" w:eastAsia="新宋体"/>
                <w:b/>
                <w:bCs/>
                <w:color w:val="auto"/>
                <w:sz w:val="22"/>
                <w:szCs w:val="22"/>
                <w:highlight w:val="none"/>
              </w:rPr>
              <w:t>合同金额</w:t>
            </w:r>
          </w:p>
        </w:tc>
        <w:tc>
          <w:tcPr>
            <w:tcW w:w="808" w:type="pct"/>
            <w:noWrap w:val="0"/>
            <w:vAlign w:val="center"/>
          </w:tcPr>
          <w:p w14:paraId="6E35E64B">
            <w:pPr>
              <w:spacing w:line="380" w:lineRule="exact"/>
              <w:ind w:left="442" w:hanging="442"/>
              <w:jc w:val="center"/>
              <w:rPr>
                <w:rFonts w:hint="eastAsia" w:ascii="新宋体" w:hAnsi="新宋体" w:eastAsia="新宋体"/>
                <w:b/>
                <w:bCs/>
                <w:color w:val="auto"/>
                <w:sz w:val="22"/>
                <w:szCs w:val="22"/>
                <w:highlight w:val="none"/>
              </w:rPr>
            </w:pPr>
            <w:r>
              <w:rPr>
                <w:rFonts w:hint="eastAsia" w:ascii="新宋体" w:hAnsi="新宋体" w:eastAsia="新宋体"/>
                <w:b/>
                <w:bCs/>
                <w:color w:val="auto"/>
                <w:sz w:val="22"/>
                <w:szCs w:val="22"/>
                <w:highlight w:val="none"/>
              </w:rPr>
              <w:t>联系方式</w:t>
            </w:r>
          </w:p>
        </w:tc>
        <w:tc>
          <w:tcPr>
            <w:tcW w:w="571" w:type="pct"/>
            <w:noWrap w:val="0"/>
            <w:vAlign w:val="center"/>
          </w:tcPr>
          <w:p w14:paraId="1DA2C64A">
            <w:pPr>
              <w:spacing w:line="380" w:lineRule="exact"/>
              <w:ind w:left="442" w:hanging="442"/>
              <w:jc w:val="center"/>
              <w:rPr>
                <w:rFonts w:hint="eastAsia" w:ascii="新宋体" w:hAnsi="新宋体" w:eastAsia="新宋体"/>
                <w:b/>
                <w:bCs/>
                <w:color w:val="auto"/>
                <w:sz w:val="22"/>
                <w:szCs w:val="22"/>
                <w:highlight w:val="none"/>
              </w:rPr>
            </w:pPr>
            <w:r>
              <w:rPr>
                <w:rFonts w:hint="eastAsia" w:ascii="新宋体" w:hAnsi="新宋体" w:eastAsia="新宋体"/>
                <w:b/>
                <w:bCs/>
                <w:color w:val="auto"/>
                <w:sz w:val="22"/>
                <w:szCs w:val="22"/>
                <w:highlight w:val="none"/>
              </w:rPr>
              <w:t>备注</w:t>
            </w:r>
          </w:p>
        </w:tc>
      </w:tr>
      <w:tr w14:paraId="6007F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31" w:type="pct"/>
            <w:noWrap w:val="0"/>
            <w:vAlign w:val="center"/>
          </w:tcPr>
          <w:p w14:paraId="5ACFCDB7">
            <w:pPr>
              <w:spacing w:line="380" w:lineRule="exact"/>
              <w:ind w:left="442" w:hanging="442"/>
              <w:jc w:val="center"/>
              <w:rPr>
                <w:rFonts w:hint="eastAsia" w:ascii="新宋体" w:hAnsi="新宋体" w:eastAsia="新宋体"/>
                <w:b/>
                <w:bCs/>
                <w:color w:val="auto"/>
                <w:sz w:val="22"/>
                <w:szCs w:val="22"/>
                <w:highlight w:val="none"/>
              </w:rPr>
            </w:pPr>
          </w:p>
        </w:tc>
        <w:tc>
          <w:tcPr>
            <w:tcW w:w="1276" w:type="pct"/>
            <w:noWrap w:val="0"/>
            <w:vAlign w:val="center"/>
          </w:tcPr>
          <w:p w14:paraId="4E3271F1">
            <w:pPr>
              <w:spacing w:line="380" w:lineRule="exact"/>
              <w:ind w:left="442" w:hanging="442"/>
              <w:jc w:val="center"/>
              <w:rPr>
                <w:rFonts w:hint="eastAsia" w:ascii="新宋体" w:hAnsi="新宋体" w:eastAsia="新宋体"/>
                <w:b/>
                <w:bCs/>
                <w:color w:val="auto"/>
                <w:sz w:val="22"/>
                <w:szCs w:val="22"/>
                <w:highlight w:val="none"/>
              </w:rPr>
            </w:pPr>
          </w:p>
        </w:tc>
        <w:tc>
          <w:tcPr>
            <w:tcW w:w="1169" w:type="pct"/>
            <w:noWrap w:val="0"/>
            <w:vAlign w:val="center"/>
          </w:tcPr>
          <w:p w14:paraId="1890CCE1">
            <w:pPr>
              <w:spacing w:line="380" w:lineRule="exact"/>
              <w:ind w:left="442" w:hanging="442"/>
              <w:jc w:val="center"/>
              <w:rPr>
                <w:rFonts w:hint="eastAsia" w:ascii="新宋体" w:hAnsi="新宋体" w:eastAsia="新宋体"/>
                <w:b/>
                <w:bCs/>
                <w:color w:val="auto"/>
                <w:sz w:val="22"/>
                <w:szCs w:val="22"/>
                <w:highlight w:val="none"/>
              </w:rPr>
            </w:pPr>
          </w:p>
        </w:tc>
        <w:tc>
          <w:tcPr>
            <w:tcW w:w="643" w:type="pct"/>
            <w:noWrap w:val="0"/>
            <w:vAlign w:val="center"/>
          </w:tcPr>
          <w:p w14:paraId="454BBE4A">
            <w:pPr>
              <w:spacing w:line="380" w:lineRule="exact"/>
              <w:ind w:left="442" w:hanging="442"/>
              <w:jc w:val="center"/>
              <w:rPr>
                <w:rFonts w:hint="eastAsia" w:ascii="新宋体" w:hAnsi="新宋体" w:eastAsia="新宋体"/>
                <w:b/>
                <w:bCs/>
                <w:color w:val="auto"/>
                <w:sz w:val="22"/>
                <w:szCs w:val="22"/>
                <w:highlight w:val="none"/>
              </w:rPr>
            </w:pPr>
          </w:p>
        </w:tc>
        <w:tc>
          <w:tcPr>
            <w:tcW w:w="808" w:type="pct"/>
            <w:noWrap w:val="0"/>
            <w:vAlign w:val="center"/>
          </w:tcPr>
          <w:p w14:paraId="6C122763">
            <w:pPr>
              <w:spacing w:line="380" w:lineRule="exact"/>
              <w:ind w:left="442" w:hanging="442"/>
              <w:jc w:val="center"/>
              <w:rPr>
                <w:rFonts w:hint="eastAsia" w:ascii="新宋体" w:hAnsi="新宋体" w:eastAsia="新宋体"/>
                <w:b/>
                <w:bCs/>
                <w:color w:val="auto"/>
                <w:sz w:val="22"/>
                <w:szCs w:val="22"/>
                <w:highlight w:val="none"/>
              </w:rPr>
            </w:pPr>
          </w:p>
        </w:tc>
        <w:tc>
          <w:tcPr>
            <w:tcW w:w="571" w:type="pct"/>
            <w:noWrap w:val="0"/>
            <w:vAlign w:val="center"/>
          </w:tcPr>
          <w:p w14:paraId="0E90A34C">
            <w:pPr>
              <w:spacing w:line="380" w:lineRule="exact"/>
              <w:ind w:left="442" w:hanging="442"/>
              <w:jc w:val="center"/>
              <w:rPr>
                <w:rFonts w:hint="eastAsia" w:ascii="新宋体" w:hAnsi="新宋体" w:eastAsia="新宋体"/>
                <w:b/>
                <w:bCs/>
                <w:color w:val="auto"/>
                <w:sz w:val="22"/>
                <w:szCs w:val="22"/>
                <w:highlight w:val="none"/>
              </w:rPr>
            </w:pPr>
          </w:p>
        </w:tc>
      </w:tr>
      <w:tr w14:paraId="0395D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31" w:type="pct"/>
            <w:noWrap w:val="0"/>
            <w:vAlign w:val="center"/>
          </w:tcPr>
          <w:p w14:paraId="47765146">
            <w:pPr>
              <w:spacing w:line="380" w:lineRule="exact"/>
              <w:ind w:left="442" w:hanging="442"/>
              <w:jc w:val="center"/>
              <w:rPr>
                <w:rFonts w:hint="eastAsia" w:ascii="新宋体" w:hAnsi="新宋体" w:eastAsia="新宋体"/>
                <w:b/>
                <w:bCs/>
                <w:color w:val="auto"/>
                <w:sz w:val="22"/>
                <w:szCs w:val="22"/>
                <w:highlight w:val="none"/>
              </w:rPr>
            </w:pPr>
          </w:p>
        </w:tc>
        <w:tc>
          <w:tcPr>
            <w:tcW w:w="1276" w:type="pct"/>
            <w:noWrap w:val="0"/>
            <w:vAlign w:val="center"/>
          </w:tcPr>
          <w:p w14:paraId="3D9EA24A">
            <w:pPr>
              <w:spacing w:line="380" w:lineRule="exact"/>
              <w:ind w:left="442" w:hanging="442"/>
              <w:jc w:val="center"/>
              <w:rPr>
                <w:rFonts w:hint="eastAsia" w:ascii="新宋体" w:hAnsi="新宋体" w:eastAsia="新宋体"/>
                <w:b/>
                <w:bCs/>
                <w:color w:val="auto"/>
                <w:sz w:val="22"/>
                <w:szCs w:val="22"/>
                <w:highlight w:val="none"/>
              </w:rPr>
            </w:pPr>
          </w:p>
        </w:tc>
        <w:tc>
          <w:tcPr>
            <w:tcW w:w="1169" w:type="pct"/>
            <w:noWrap w:val="0"/>
            <w:vAlign w:val="center"/>
          </w:tcPr>
          <w:p w14:paraId="7BFF7F8F">
            <w:pPr>
              <w:spacing w:line="380" w:lineRule="exact"/>
              <w:ind w:left="442" w:hanging="442"/>
              <w:jc w:val="center"/>
              <w:rPr>
                <w:rFonts w:hint="eastAsia" w:ascii="新宋体" w:hAnsi="新宋体" w:eastAsia="新宋体"/>
                <w:b/>
                <w:bCs/>
                <w:color w:val="auto"/>
                <w:sz w:val="22"/>
                <w:szCs w:val="22"/>
                <w:highlight w:val="none"/>
              </w:rPr>
            </w:pPr>
          </w:p>
        </w:tc>
        <w:tc>
          <w:tcPr>
            <w:tcW w:w="643" w:type="pct"/>
            <w:noWrap w:val="0"/>
            <w:vAlign w:val="center"/>
          </w:tcPr>
          <w:p w14:paraId="03404385">
            <w:pPr>
              <w:spacing w:line="380" w:lineRule="exact"/>
              <w:ind w:left="442" w:hanging="442"/>
              <w:jc w:val="center"/>
              <w:rPr>
                <w:rFonts w:hint="eastAsia" w:ascii="新宋体" w:hAnsi="新宋体" w:eastAsia="新宋体"/>
                <w:b/>
                <w:bCs/>
                <w:color w:val="auto"/>
                <w:sz w:val="22"/>
                <w:szCs w:val="22"/>
                <w:highlight w:val="none"/>
              </w:rPr>
            </w:pPr>
          </w:p>
        </w:tc>
        <w:tc>
          <w:tcPr>
            <w:tcW w:w="808" w:type="pct"/>
            <w:noWrap w:val="0"/>
            <w:vAlign w:val="center"/>
          </w:tcPr>
          <w:p w14:paraId="4917EDFD">
            <w:pPr>
              <w:spacing w:line="380" w:lineRule="exact"/>
              <w:ind w:left="442" w:hanging="442"/>
              <w:jc w:val="center"/>
              <w:rPr>
                <w:rFonts w:hint="eastAsia" w:ascii="新宋体" w:hAnsi="新宋体" w:eastAsia="新宋体"/>
                <w:b/>
                <w:bCs/>
                <w:color w:val="auto"/>
                <w:sz w:val="22"/>
                <w:szCs w:val="22"/>
                <w:highlight w:val="none"/>
              </w:rPr>
            </w:pPr>
          </w:p>
        </w:tc>
        <w:tc>
          <w:tcPr>
            <w:tcW w:w="571" w:type="pct"/>
            <w:noWrap w:val="0"/>
            <w:vAlign w:val="center"/>
          </w:tcPr>
          <w:p w14:paraId="65210771">
            <w:pPr>
              <w:spacing w:line="380" w:lineRule="exact"/>
              <w:ind w:left="442" w:hanging="442"/>
              <w:jc w:val="center"/>
              <w:rPr>
                <w:rFonts w:hint="eastAsia" w:ascii="新宋体" w:hAnsi="新宋体" w:eastAsia="新宋体"/>
                <w:b/>
                <w:bCs/>
                <w:color w:val="auto"/>
                <w:sz w:val="22"/>
                <w:szCs w:val="22"/>
                <w:highlight w:val="none"/>
              </w:rPr>
            </w:pPr>
          </w:p>
        </w:tc>
      </w:tr>
      <w:tr w14:paraId="5F85A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31" w:type="pct"/>
            <w:noWrap w:val="0"/>
            <w:vAlign w:val="center"/>
          </w:tcPr>
          <w:p w14:paraId="113A760E">
            <w:pPr>
              <w:spacing w:line="380" w:lineRule="exact"/>
              <w:ind w:left="442" w:hanging="442"/>
              <w:jc w:val="center"/>
              <w:rPr>
                <w:rFonts w:hint="eastAsia" w:ascii="新宋体" w:hAnsi="新宋体" w:eastAsia="新宋体"/>
                <w:b/>
                <w:bCs/>
                <w:color w:val="auto"/>
                <w:sz w:val="22"/>
                <w:szCs w:val="22"/>
                <w:highlight w:val="none"/>
              </w:rPr>
            </w:pPr>
          </w:p>
        </w:tc>
        <w:tc>
          <w:tcPr>
            <w:tcW w:w="1276" w:type="pct"/>
            <w:noWrap w:val="0"/>
            <w:vAlign w:val="center"/>
          </w:tcPr>
          <w:p w14:paraId="43491896">
            <w:pPr>
              <w:spacing w:line="380" w:lineRule="exact"/>
              <w:ind w:left="442" w:hanging="442"/>
              <w:jc w:val="center"/>
              <w:rPr>
                <w:rFonts w:hint="eastAsia" w:ascii="新宋体" w:hAnsi="新宋体" w:eastAsia="新宋体"/>
                <w:b/>
                <w:bCs/>
                <w:color w:val="auto"/>
                <w:sz w:val="22"/>
                <w:szCs w:val="22"/>
                <w:highlight w:val="none"/>
              </w:rPr>
            </w:pPr>
          </w:p>
        </w:tc>
        <w:tc>
          <w:tcPr>
            <w:tcW w:w="1169" w:type="pct"/>
            <w:noWrap w:val="0"/>
            <w:vAlign w:val="center"/>
          </w:tcPr>
          <w:p w14:paraId="6B061403">
            <w:pPr>
              <w:spacing w:line="380" w:lineRule="exact"/>
              <w:ind w:left="442" w:hanging="442"/>
              <w:jc w:val="center"/>
              <w:rPr>
                <w:rFonts w:hint="eastAsia" w:ascii="新宋体" w:hAnsi="新宋体" w:eastAsia="新宋体"/>
                <w:b/>
                <w:bCs/>
                <w:color w:val="auto"/>
                <w:sz w:val="22"/>
                <w:szCs w:val="22"/>
                <w:highlight w:val="none"/>
              </w:rPr>
            </w:pPr>
          </w:p>
        </w:tc>
        <w:tc>
          <w:tcPr>
            <w:tcW w:w="643" w:type="pct"/>
            <w:noWrap w:val="0"/>
            <w:vAlign w:val="center"/>
          </w:tcPr>
          <w:p w14:paraId="25D27717">
            <w:pPr>
              <w:spacing w:line="380" w:lineRule="exact"/>
              <w:ind w:left="442" w:hanging="442"/>
              <w:jc w:val="center"/>
              <w:rPr>
                <w:rFonts w:hint="eastAsia" w:ascii="新宋体" w:hAnsi="新宋体" w:eastAsia="新宋体"/>
                <w:b/>
                <w:bCs/>
                <w:color w:val="auto"/>
                <w:sz w:val="22"/>
                <w:szCs w:val="22"/>
                <w:highlight w:val="none"/>
              </w:rPr>
            </w:pPr>
          </w:p>
        </w:tc>
        <w:tc>
          <w:tcPr>
            <w:tcW w:w="808" w:type="pct"/>
            <w:noWrap w:val="0"/>
            <w:vAlign w:val="center"/>
          </w:tcPr>
          <w:p w14:paraId="5415ECAA">
            <w:pPr>
              <w:spacing w:line="380" w:lineRule="exact"/>
              <w:ind w:left="442" w:hanging="442"/>
              <w:jc w:val="center"/>
              <w:rPr>
                <w:rFonts w:hint="eastAsia" w:ascii="新宋体" w:hAnsi="新宋体" w:eastAsia="新宋体"/>
                <w:b/>
                <w:bCs/>
                <w:color w:val="auto"/>
                <w:sz w:val="22"/>
                <w:szCs w:val="22"/>
                <w:highlight w:val="none"/>
              </w:rPr>
            </w:pPr>
          </w:p>
        </w:tc>
        <w:tc>
          <w:tcPr>
            <w:tcW w:w="571" w:type="pct"/>
            <w:noWrap w:val="0"/>
            <w:vAlign w:val="center"/>
          </w:tcPr>
          <w:p w14:paraId="0E1C494A">
            <w:pPr>
              <w:spacing w:line="380" w:lineRule="exact"/>
              <w:ind w:left="442" w:hanging="442"/>
              <w:jc w:val="center"/>
              <w:rPr>
                <w:rFonts w:hint="eastAsia" w:ascii="新宋体" w:hAnsi="新宋体" w:eastAsia="新宋体"/>
                <w:b/>
                <w:bCs/>
                <w:color w:val="auto"/>
                <w:sz w:val="22"/>
                <w:szCs w:val="22"/>
                <w:highlight w:val="none"/>
              </w:rPr>
            </w:pPr>
          </w:p>
        </w:tc>
      </w:tr>
      <w:tr w14:paraId="31185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31" w:type="pct"/>
            <w:noWrap w:val="0"/>
            <w:vAlign w:val="center"/>
          </w:tcPr>
          <w:p w14:paraId="51307791">
            <w:pPr>
              <w:spacing w:line="380" w:lineRule="exact"/>
              <w:ind w:left="442" w:hanging="442"/>
              <w:jc w:val="center"/>
              <w:rPr>
                <w:rFonts w:hint="eastAsia" w:ascii="新宋体" w:hAnsi="新宋体" w:eastAsia="新宋体"/>
                <w:b/>
                <w:bCs/>
                <w:color w:val="auto"/>
                <w:sz w:val="22"/>
                <w:szCs w:val="22"/>
                <w:highlight w:val="none"/>
              </w:rPr>
            </w:pPr>
          </w:p>
        </w:tc>
        <w:tc>
          <w:tcPr>
            <w:tcW w:w="1276" w:type="pct"/>
            <w:noWrap w:val="0"/>
            <w:vAlign w:val="center"/>
          </w:tcPr>
          <w:p w14:paraId="67215CD9">
            <w:pPr>
              <w:spacing w:line="380" w:lineRule="exact"/>
              <w:ind w:left="442" w:hanging="442"/>
              <w:jc w:val="center"/>
              <w:rPr>
                <w:rFonts w:hint="eastAsia" w:ascii="新宋体" w:hAnsi="新宋体" w:eastAsia="新宋体"/>
                <w:b/>
                <w:bCs/>
                <w:color w:val="auto"/>
                <w:sz w:val="22"/>
                <w:szCs w:val="22"/>
                <w:highlight w:val="none"/>
              </w:rPr>
            </w:pPr>
          </w:p>
        </w:tc>
        <w:tc>
          <w:tcPr>
            <w:tcW w:w="1169" w:type="pct"/>
            <w:noWrap w:val="0"/>
            <w:vAlign w:val="center"/>
          </w:tcPr>
          <w:p w14:paraId="09AE96E7">
            <w:pPr>
              <w:spacing w:line="380" w:lineRule="exact"/>
              <w:ind w:left="442" w:hanging="442"/>
              <w:jc w:val="center"/>
              <w:rPr>
                <w:rFonts w:hint="eastAsia" w:ascii="新宋体" w:hAnsi="新宋体" w:eastAsia="新宋体"/>
                <w:b/>
                <w:bCs/>
                <w:color w:val="auto"/>
                <w:sz w:val="22"/>
                <w:szCs w:val="22"/>
                <w:highlight w:val="none"/>
              </w:rPr>
            </w:pPr>
          </w:p>
        </w:tc>
        <w:tc>
          <w:tcPr>
            <w:tcW w:w="643" w:type="pct"/>
            <w:noWrap w:val="0"/>
            <w:vAlign w:val="center"/>
          </w:tcPr>
          <w:p w14:paraId="602A7BA1">
            <w:pPr>
              <w:spacing w:line="380" w:lineRule="exact"/>
              <w:ind w:left="442" w:hanging="442"/>
              <w:jc w:val="center"/>
              <w:rPr>
                <w:rFonts w:hint="eastAsia" w:ascii="新宋体" w:hAnsi="新宋体" w:eastAsia="新宋体"/>
                <w:b/>
                <w:bCs/>
                <w:color w:val="auto"/>
                <w:sz w:val="22"/>
                <w:szCs w:val="22"/>
                <w:highlight w:val="none"/>
              </w:rPr>
            </w:pPr>
          </w:p>
        </w:tc>
        <w:tc>
          <w:tcPr>
            <w:tcW w:w="808" w:type="pct"/>
            <w:noWrap w:val="0"/>
            <w:vAlign w:val="center"/>
          </w:tcPr>
          <w:p w14:paraId="7B80B600">
            <w:pPr>
              <w:spacing w:line="380" w:lineRule="exact"/>
              <w:ind w:left="442" w:hanging="442"/>
              <w:jc w:val="center"/>
              <w:rPr>
                <w:rFonts w:hint="eastAsia" w:ascii="新宋体" w:hAnsi="新宋体" w:eastAsia="新宋体"/>
                <w:b/>
                <w:bCs/>
                <w:color w:val="auto"/>
                <w:sz w:val="22"/>
                <w:szCs w:val="22"/>
                <w:highlight w:val="none"/>
              </w:rPr>
            </w:pPr>
          </w:p>
        </w:tc>
        <w:tc>
          <w:tcPr>
            <w:tcW w:w="571" w:type="pct"/>
            <w:noWrap w:val="0"/>
            <w:vAlign w:val="center"/>
          </w:tcPr>
          <w:p w14:paraId="7C7C8628">
            <w:pPr>
              <w:spacing w:line="380" w:lineRule="exact"/>
              <w:ind w:left="442" w:hanging="442"/>
              <w:jc w:val="center"/>
              <w:rPr>
                <w:rFonts w:hint="eastAsia" w:ascii="新宋体" w:hAnsi="新宋体" w:eastAsia="新宋体"/>
                <w:b/>
                <w:bCs/>
                <w:color w:val="auto"/>
                <w:sz w:val="22"/>
                <w:szCs w:val="22"/>
                <w:highlight w:val="none"/>
              </w:rPr>
            </w:pPr>
          </w:p>
        </w:tc>
      </w:tr>
      <w:tr w14:paraId="4A054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31" w:type="pct"/>
            <w:noWrap w:val="0"/>
            <w:vAlign w:val="center"/>
          </w:tcPr>
          <w:p w14:paraId="4E73FFD4">
            <w:pPr>
              <w:spacing w:line="380" w:lineRule="exact"/>
              <w:ind w:left="442" w:hanging="442"/>
              <w:jc w:val="center"/>
              <w:rPr>
                <w:rFonts w:hint="eastAsia" w:ascii="新宋体" w:hAnsi="新宋体" w:eastAsia="新宋体"/>
                <w:b/>
                <w:bCs/>
                <w:color w:val="auto"/>
                <w:sz w:val="22"/>
                <w:szCs w:val="22"/>
                <w:highlight w:val="none"/>
              </w:rPr>
            </w:pPr>
          </w:p>
        </w:tc>
        <w:tc>
          <w:tcPr>
            <w:tcW w:w="1276" w:type="pct"/>
            <w:noWrap w:val="0"/>
            <w:vAlign w:val="center"/>
          </w:tcPr>
          <w:p w14:paraId="3FD8A313">
            <w:pPr>
              <w:spacing w:line="380" w:lineRule="exact"/>
              <w:ind w:left="442" w:hanging="442"/>
              <w:jc w:val="center"/>
              <w:rPr>
                <w:rFonts w:hint="eastAsia" w:ascii="新宋体" w:hAnsi="新宋体" w:eastAsia="新宋体"/>
                <w:b/>
                <w:bCs/>
                <w:color w:val="auto"/>
                <w:sz w:val="22"/>
                <w:szCs w:val="22"/>
                <w:highlight w:val="none"/>
              </w:rPr>
            </w:pPr>
          </w:p>
        </w:tc>
        <w:tc>
          <w:tcPr>
            <w:tcW w:w="1169" w:type="pct"/>
            <w:noWrap w:val="0"/>
            <w:vAlign w:val="center"/>
          </w:tcPr>
          <w:p w14:paraId="3BD1D666">
            <w:pPr>
              <w:spacing w:line="380" w:lineRule="exact"/>
              <w:ind w:left="442" w:hanging="442"/>
              <w:jc w:val="center"/>
              <w:rPr>
                <w:rFonts w:hint="eastAsia" w:ascii="新宋体" w:hAnsi="新宋体" w:eastAsia="新宋体"/>
                <w:b/>
                <w:bCs/>
                <w:color w:val="auto"/>
                <w:sz w:val="22"/>
                <w:szCs w:val="22"/>
                <w:highlight w:val="none"/>
              </w:rPr>
            </w:pPr>
          </w:p>
        </w:tc>
        <w:tc>
          <w:tcPr>
            <w:tcW w:w="643" w:type="pct"/>
            <w:noWrap w:val="0"/>
            <w:vAlign w:val="center"/>
          </w:tcPr>
          <w:p w14:paraId="5641A1CE">
            <w:pPr>
              <w:spacing w:line="380" w:lineRule="exact"/>
              <w:ind w:left="442" w:hanging="442"/>
              <w:jc w:val="center"/>
              <w:rPr>
                <w:rFonts w:hint="eastAsia" w:ascii="新宋体" w:hAnsi="新宋体" w:eastAsia="新宋体"/>
                <w:b/>
                <w:bCs/>
                <w:color w:val="auto"/>
                <w:sz w:val="22"/>
                <w:szCs w:val="22"/>
                <w:highlight w:val="none"/>
              </w:rPr>
            </w:pPr>
          </w:p>
        </w:tc>
        <w:tc>
          <w:tcPr>
            <w:tcW w:w="808" w:type="pct"/>
            <w:noWrap w:val="0"/>
            <w:vAlign w:val="center"/>
          </w:tcPr>
          <w:p w14:paraId="1F4A7984">
            <w:pPr>
              <w:spacing w:line="380" w:lineRule="exact"/>
              <w:ind w:left="442" w:hanging="442"/>
              <w:jc w:val="center"/>
              <w:rPr>
                <w:rFonts w:hint="eastAsia" w:ascii="新宋体" w:hAnsi="新宋体" w:eastAsia="新宋体"/>
                <w:b/>
                <w:bCs/>
                <w:color w:val="auto"/>
                <w:sz w:val="22"/>
                <w:szCs w:val="22"/>
                <w:highlight w:val="none"/>
              </w:rPr>
            </w:pPr>
          </w:p>
        </w:tc>
        <w:tc>
          <w:tcPr>
            <w:tcW w:w="571" w:type="pct"/>
            <w:noWrap w:val="0"/>
            <w:vAlign w:val="center"/>
          </w:tcPr>
          <w:p w14:paraId="3A50357D">
            <w:pPr>
              <w:spacing w:line="380" w:lineRule="exact"/>
              <w:ind w:left="442" w:hanging="442"/>
              <w:jc w:val="center"/>
              <w:rPr>
                <w:rFonts w:hint="eastAsia" w:ascii="新宋体" w:hAnsi="新宋体" w:eastAsia="新宋体"/>
                <w:b/>
                <w:bCs/>
                <w:color w:val="auto"/>
                <w:sz w:val="22"/>
                <w:szCs w:val="22"/>
                <w:highlight w:val="none"/>
              </w:rPr>
            </w:pPr>
          </w:p>
        </w:tc>
      </w:tr>
      <w:tr w14:paraId="7D3EF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31" w:type="pct"/>
            <w:noWrap w:val="0"/>
            <w:vAlign w:val="center"/>
          </w:tcPr>
          <w:p w14:paraId="64E4B2C6">
            <w:pPr>
              <w:spacing w:line="380" w:lineRule="exact"/>
              <w:ind w:left="442" w:hanging="442"/>
              <w:jc w:val="center"/>
              <w:rPr>
                <w:rFonts w:hint="eastAsia" w:ascii="新宋体" w:hAnsi="新宋体" w:eastAsia="新宋体"/>
                <w:b/>
                <w:bCs/>
                <w:color w:val="auto"/>
                <w:sz w:val="22"/>
                <w:szCs w:val="22"/>
                <w:highlight w:val="none"/>
              </w:rPr>
            </w:pPr>
          </w:p>
        </w:tc>
        <w:tc>
          <w:tcPr>
            <w:tcW w:w="1276" w:type="pct"/>
            <w:noWrap w:val="0"/>
            <w:vAlign w:val="center"/>
          </w:tcPr>
          <w:p w14:paraId="7BFB54EB">
            <w:pPr>
              <w:spacing w:line="380" w:lineRule="exact"/>
              <w:ind w:left="442" w:hanging="442"/>
              <w:jc w:val="center"/>
              <w:rPr>
                <w:rFonts w:hint="eastAsia" w:ascii="新宋体" w:hAnsi="新宋体" w:eastAsia="新宋体"/>
                <w:b/>
                <w:bCs/>
                <w:color w:val="auto"/>
                <w:sz w:val="22"/>
                <w:szCs w:val="22"/>
                <w:highlight w:val="none"/>
              </w:rPr>
            </w:pPr>
          </w:p>
        </w:tc>
        <w:tc>
          <w:tcPr>
            <w:tcW w:w="1169" w:type="pct"/>
            <w:noWrap w:val="0"/>
            <w:vAlign w:val="center"/>
          </w:tcPr>
          <w:p w14:paraId="49AD85FA">
            <w:pPr>
              <w:spacing w:line="380" w:lineRule="exact"/>
              <w:ind w:left="442" w:hanging="442"/>
              <w:jc w:val="center"/>
              <w:rPr>
                <w:rFonts w:hint="eastAsia" w:ascii="新宋体" w:hAnsi="新宋体" w:eastAsia="新宋体"/>
                <w:b/>
                <w:bCs/>
                <w:color w:val="auto"/>
                <w:sz w:val="22"/>
                <w:szCs w:val="22"/>
                <w:highlight w:val="none"/>
              </w:rPr>
            </w:pPr>
          </w:p>
        </w:tc>
        <w:tc>
          <w:tcPr>
            <w:tcW w:w="643" w:type="pct"/>
            <w:noWrap w:val="0"/>
            <w:vAlign w:val="center"/>
          </w:tcPr>
          <w:p w14:paraId="36A7C5D4">
            <w:pPr>
              <w:spacing w:line="380" w:lineRule="exact"/>
              <w:ind w:left="442" w:hanging="442"/>
              <w:jc w:val="center"/>
              <w:rPr>
                <w:rFonts w:hint="eastAsia" w:ascii="新宋体" w:hAnsi="新宋体" w:eastAsia="新宋体"/>
                <w:b/>
                <w:bCs/>
                <w:color w:val="auto"/>
                <w:sz w:val="22"/>
                <w:szCs w:val="22"/>
                <w:highlight w:val="none"/>
              </w:rPr>
            </w:pPr>
          </w:p>
        </w:tc>
        <w:tc>
          <w:tcPr>
            <w:tcW w:w="808" w:type="pct"/>
            <w:noWrap w:val="0"/>
            <w:vAlign w:val="center"/>
          </w:tcPr>
          <w:p w14:paraId="3625725D">
            <w:pPr>
              <w:spacing w:line="380" w:lineRule="exact"/>
              <w:ind w:left="442" w:hanging="442"/>
              <w:jc w:val="center"/>
              <w:rPr>
                <w:rFonts w:hint="eastAsia" w:ascii="新宋体" w:hAnsi="新宋体" w:eastAsia="新宋体"/>
                <w:b/>
                <w:bCs/>
                <w:color w:val="auto"/>
                <w:sz w:val="22"/>
                <w:szCs w:val="22"/>
                <w:highlight w:val="none"/>
              </w:rPr>
            </w:pPr>
          </w:p>
        </w:tc>
        <w:tc>
          <w:tcPr>
            <w:tcW w:w="571" w:type="pct"/>
            <w:noWrap w:val="0"/>
            <w:vAlign w:val="center"/>
          </w:tcPr>
          <w:p w14:paraId="18BEE573">
            <w:pPr>
              <w:spacing w:line="380" w:lineRule="exact"/>
              <w:ind w:left="442" w:hanging="442"/>
              <w:jc w:val="center"/>
              <w:rPr>
                <w:rFonts w:hint="eastAsia" w:ascii="新宋体" w:hAnsi="新宋体" w:eastAsia="新宋体"/>
                <w:b/>
                <w:bCs/>
                <w:color w:val="auto"/>
                <w:sz w:val="22"/>
                <w:szCs w:val="22"/>
                <w:highlight w:val="none"/>
              </w:rPr>
            </w:pPr>
          </w:p>
        </w:tc>
      </w:tr>
      <w:tr w14:paraId="0F80D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31" w:type="pct"/>
            <w:noWrap w:val="0"/>
            <w:vAlign w:val="center"/>
          </w:tcPr>
          <w:p w14:paraId="6463FAD5">
            <w:pPr>
              <w:spacing w:line="380" w:lineRule="exact"/>
              <w:ind w:left="442" w:hanging="442"/>
              <w:jc w:val="center"/>
              <w:rPr>
                <w:rFonts w:hint="eastAsia" w:ascii="新宋体" w:hAnsi="新宋体" w:eastAsia="新宋体"/>
                <w:b/>
                <w:bCs/>
                <w:color w:val="auto"/>
                <w:sz w:val="22"/>
                <w:szCs w:val="22"/>
                <w:highlight w:val="none"/>
              </w:rPr>
            </w:pPr>
          </w:p>
        </w:tc>
        <w:tc>
          <w:tcPr>
            <w:tcW w:w="1276" w:type="pct"/>
            <w:noWrap w:val="0"/>
            <w:vAlign w:val="center"/>
          </w:tcPr>
          <w:p w14:paraId="5650A085">
            <w:pPr>
              <w:spacing w:line="380" w:lineRule="exact"/>
              <w:ind w:left="442" w:hanging="442"/>
              <w:jc w:val="center"/>
              <w:rPr>
                <w:rFonts w:hint="eastAsia" w:ascii="新宋体" w:hAnsi="新宋体" w:eastAsia="新宋体"/>
                <w:b/>
                <w:bCs/>
                <w:color w:val="auto"/>
                <w:sz w:val="22"/>
                <w:szCs w:val="22"/>
                <w:highlight w:val="none"/>
              </w:rPr>
            </w:pPr>
          </w:p>
        </w:tc>
        <w:tc>
          <w:tcPr>
            <w:tcW w:w="1169" w:type="pct"/>
            <w:noWrap w:val="0"/>
            <w:vAlign w:val="center"/>
          </w:tcPr>
          <w:p w14:paraId="3B4B2DB3">
            <w:pPr>
              <w:spacing w:line="380" w:lineRule="exact"/>
              <w:ind w:left="442" w:hanging="442"/>
              <w:jc w:val="center"/>
              <w:rPr>
                <w:rFonts w:hint="eastAsia" w:ascii="新宋体" w:hAnsi="新宋体" w:eastAsia="新宋体"/>
                <w:b/>
                <w:bCs/>
                <w:color w:val="auto"/>
                <w:sz w:val="22"/>
                <w:szCs w:val="22"/>
                <w:highlight w:val="none"/>
              </w:rPr>
            </w:pPr>
          </w:p>
        </w:tc>
        <w:tc>
          <w:tcPr>
            <w:tcW w:w="643" w:type="pct"/>
            <w:noWrap w:val="0"/>
            <w:vAlign w:val="center"/>
          </w:tcPr>
          <w:p w14:paraId="7EE1168A">
            <w:pPr>
              <w:spacing w:line="380" w:lineRule="exact"/>
              <w:ind w:left="442" w:hanging="442"/>
              <w:jc w:val="center"/>
              <w:rPr>
                <w:rFonts w:hint="eastAsia" w:ascii="新宋体" w:hAnsi="新宋体" w:eastAsia="新宋体"/>
                <w:b/>
                <w:bCs/>
                <w:color w:val="auto"/>
                <w:sz w:val="22"/>
                <w:szCs w:val="22"/>
                <w:highlight w:val="none"/>
              </w:rPr>
            </w:pPr>
          </w:p>
        </w:tc>
        <w:tc>
          <w:tcPr>
            <w:tcW w:w="808" w:type="pct"/>
            <w:noWrap w:val="0"/>
            <w:vAlign w:val="center"/>
          </w:tcPr>
          <w:p w14:paraId="783E586B">
            <w:pPr>
              <w:spacing w:line="380" w:lineRule="exact"/>
              <w:ind w:left="442" w:hanging="442"/>
              <w:jc w:val="center"/>
              <w:rPr>
                <w:rFonts w:hint="eastAsia" w:ascii="新宋体" w:hAnsi="新宋体" w:eastAsia="新宋体"/>
                <w:b/>
                <w:bCs/>
                <w:color w:val="auto"/>
                <w:sz w:val="22"/>
                <w:szCs w:val="22"/>
                <w:highlight w:val="none"/>
              </w:rPr>
            </w:pPr>
          </w:p>
        </w:tc>
        <w:tc>
          <w:tcPr>
            <w:tcW w:w="571" w:type="pct"/>
            <w:noWrap w:val="0"/>
            <w:vAlign w:val="center"/>
          </w:tcPr>
          <w:p w14:paraId="1854BF11">
            <w:pPr>
              <w:spacing w:line="380" w:lineRule="exact"/>
              <w:ind w:left="442" w:hanging="442"/>
              <w:jc w:val="center"/>
              <w:rPr>
                <w:rFonts w:hint="eastAsia" w:ascii="新宋体" w:hAnsi="新宋体" w:eastAsia="新宋体"/>
                <w:b/>
                <w:bCs/>
                <w:color w:val="auto"/>
                <w:sz w:val="22"/>
                <w:szCs w:val="22"/>
                <w:highlight w:val="none"/>
              </w:rPr>
            </w:pPr>
          </w:p>
        </w:tc>
      </w:tr>
      <w:tr w14:paraId="63E41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31" w:type="pct"/>
            <w:noWrap w:val="0"/>
            <w:vAlign w:val="center"/>
          </w:tcPr>
          <w:p w14:paraId="39AEB6BB">
            <w:pPr>
              <w:spacing w:line="380" w:lineRule="exact"/>
              <w:ind w:left="442" w:hanging="442"/>
              <w:jc w:val="center"/>
              <w:rPr>
                <w:rFonts w:hint="eastAsia" w:ascii="新宋体" w:hAnsi="新宋体" w:eastAsia="新宋体"/>
                <w:b/>
                <w:bCs/>
                <w:color w:val="auto"/>
                <w:sz w:val="22"/>
                <w:szCs w:val="22"/>
                <w:highlight w:val="none"/>
              </w:rPr>
            </w:pPr>
          </w:p>
        </w:tc>
        <w:tc>
          <w:tcPr>
            <w:tcW w:w="1276" w:type="pct"/>
            <w:noWrap w:val="0"/>
            <w:vAlign w:val="center"/>
          </w:tcPr>
          <w:p w14:paraId="549BB465">
            <w:pPr>
              <w:spacing w:line="380" w:lineRule="exact"/>
              <w:ind w:left="442" w:hanging="442"/>
              <w:jc w:val="center"/>
              <w:rPr>
                <w:rFonts w:hint="eastAsia" w:ascii="新宋体" w:hAnsi="新宋体" w:eastAsia="新宋体"/>
                <w:b/>
                <w:bCs/>
                <w:color w:val="auto"/>
                <w:sz w:val="22"/>
                <w:szCs w:val="22"/>
                <w:highlight w:val="none"/>
              </w:rPr>
            </w:pPr>
          </w:p>
        </w:tc>
        <w:tc>
          <w:tcPr>
            <w:tcW w:w="1169" w:type="pct"/>
            <w:noWrap w:val="0"/>
            <w:vAlign w:val="center"/>
          </w:tcPr>
          <w:p w14:paraId="38358E19">
            <w:pPr>
              <w:spacing w:line="380" w:lineRule="exact"/>
              <w:ind w:left="442" w:hanging="442"/>
              <w:jc w:val="center"/>
              <w:rPr>
                <w:rFonts w:hint="eastAsia" w:ascii="新宋体" w:hAnsi="新宋体" w:eastAsia="新宋体"/>
                <w:b/>
                <w:bCs/>
                <w:color w:val="auto"/>
                <w:sz w:val="22"/>
                <w:szCs w:val="22"/>
                <w:highlight w:val="none"/>
              </w:rPr>
            </w:pPr>
          </w:p>
        </w:tc>
        <w:tc>
          <w:tcPr>
            <w:tcW w:w="643" w:type="pct"/>
            <w:noWrap w:val="0"/>
            <w:vAlign w:val="center"/>
          </w:tcPr>
          <w:p w14:paraId="38892D70">
            <w:pPr>
              <w:spacing w:line="380" w:lineRule="exact"/>
              <w:ind w:left="442" w:hanging="442"/>
              <w:jc w:val="center"/>
              <w:rPr>
                <w:rFonts w:hint="eastAsia" w:ascii="新宋体" w:hAnsi="新宋体" w:eastAsia="新宋体"/>
                <w:b/>
                <w:bCs/>
                <w:color w:val="auto"/>
                <w:sz w:val="22"/>
                <w:szCs w:val="22"/>
                <w:highlight w:val="none"/>
              </w:rPr>
            </w:pPr>
          </w:p>
        </w:tc>
        <w:tc>
          <w:tcPr>
            <w:tcW w:w="808" w:type="pct"/>
            <w:noWrap w:val="0"/>
            <w:vAlign w:val="center"/>
          </w:tcPr>
          <w:p w14:paraId="65F27845">
            <w:pPr>
              <w:spacing w:line="380" w:lineRule="exact"/>
              <w:ind w:left="442" w:hanging="442"/>
              <w:jc w:val="center"/>
              <w:rPr>
                <w:rFonts w:hint="eastAsia" w:ascii="新宋体" w:hAnsi="新宋体" w:eastAsia="新宋体"/>
                <w:b/>
                <w:bCs/>
                <w:color w:val="auto"/>
                <w:sz w:val="22"/>
                <w:szCs w:val="22"/>
                <w:highlight w:val="none"/>
              </w:rPr>
            </w:pPr>
          </w:p>
        </w:tc>
        <w:tc>
          <w:tcPr>
            <w:tcW w:w="571" w:type="pct"/>
            <w:noWrap w:val="0"/>
            <w:vAlign w:val="center"/>
          </w:tcPr>
          <w:p w14:paraId="34B6E768">
            <w:pPr>
              <w:spacing w:line="380" w:lineRule="exact"/>
              <w:ind w:left="442" w:hanging="442"/>
              <w:jc w:val="center"/>
              <w:rPr>
                <w:rFonts w:hint="eastAsia" w:ascii="新宋体" w:hAnsi="新宋体" w:eastAsia="新宋体"/>
                <w:b/>
                <w:bCs/>
                <w:color w:val="auto"/>
                <w:sz w:val="22"/>
                <w:szCs w:val="22"/>
                <w:highlight w:val="none"/>
              </w:rPr>
            </w:pPr>
          </w:p>
        </w:tc>
      </w:tr>
      <w:tr w14:paraId="25F7B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31" w:type="pct"/>
            <w:noWrap w:val="0"/>
            <w:vAlign w:val="center"/>
          </w:tcPr>
          <w:p w14:paraId="514EE39A">
            <w:pPr>
              <w:spacing w:line="380" w:lineRule="exact"/>
              <w:ind w:left="442" w:hanging="442"/>
              <w:jc w:val="center"/>
              <w:rPr>
                <w:rFonts w:hint="eastAsia" w:ascii="新宋体" w:hAnsi="新宋体" w:eastAsia="新宋体"/>
                <w:b/>
                <w:bCs/>
                <w:color w:val="auto"/>
                <w:sz w:val="22"/>
                <w:szCs w:val="22"/>
                <w:highlight w:val="none"/>
              </w:rPr>
            </w:pPr>
          </w:p>
        </w:tc>
        <w:tc>
          <w:tcPr>
            <w:tcW w:w="1276" w:type="pct"/>
            <w:noWrap w:val="0"/>
            <w:vAlign w:val="center"/>
          </w:tcPr>
          <w:p w14:paraId="0A6B08E8">
            <w:pPr>
              <w:spacing w:line="380" w:lineRule="exact"/>
              <w:ind w:left="442" w:hanging="442"/>
              <w:jc w:val="center"/>
              <w:rPr>
                <w:rFonts w:hint="eastAsia" w:ascii="新宋体" w:hAnsi="新宋体" w:eastAsia="新宋体"/>
                <w:b/>
                <w:bCs/>
                <w:color w:val="auto"/>
                <w:sz w:val="22"/>
                <w:szCs w:val="22"/>
                <w:highlight w:val="none"/>
              </w:rPr>
            </w:pPr>
          </w:p>
        </w:tc>
        <w:tc>
          <w:tcPr>
            <w:tcW w:w="1169" w:type="pct"/>
            <w:noWrap w:val="0"/>
            <w:vAlign w:val="center"/>
          </w:tcPr>
          <w:p w14:paraId="21C3D6C4">
            <w:pPr>
              <w:spacing w:line="380" w:lineRule="exact"/>
              <w:ind w:left="442" w:hanging="442"/>
              <w:jc w:val="center"/>
              <w:rPr>
                <w:rFonts w:hint="eastAsia" w:ascii="新宋体" w:hAnsi="新宋体" w:eastAsia="新宋体"/>
                <w:b/>
                <w:bCs/>
                <w:color w:val="auto"/>
                <w:sz w:val="22"/>
                <w:szCs w:val="22"/>
                <w:highlight w:val="none"/>
              </w:rPr>
            </w:pPr>
          </w:p>
        </w:tc>
        <w:tc>
          <w:tcPr>
            <w:tcW w:w="643" w:type="pct"/>
            <w:noWrap w:val="0"/>
            <w:vAlign w:val="center"/>
          </w:tcPr>
          <w:p w14:paraId="20C736C5">
            <w:pPr>
              <w:spacing w:line="380" w:lineRule="exact"/>
              <w:ind w:left="442" w:hanging="442"/>
              <w:jc w:val="center"/>
              <w:rPr>
                <w:rFonts w:hint="eastAsia" w:ascii="新宋体" w:hAnsi="新宋体" w:eastAsia="新宋体"/>
                <w:b/>
                <w:bCs/>
                <w:color w:val="auto"/>
                <w:sz w:val="22"/>
                <w:szCs w:val="22"/>
                <w:highlight w:val="none"/>
              </w:rPr>
            </w:pPr>
          </w:p>
        </w:tc>
        <w:tc>
          <w:tcPr>
            <w:tcW w:w="808" w:type="pct"/>
            <w:noWrap w:val="0"/>
            <w:vAlign w:val="center"/>
          </w:tcPr>
          <w:p w14:paraId="722ED370">
            <w:pPr>
              <w:spacing w:line="380" w:lineRule="exact"/>
              <w:ind w:left="442" w:hanging="442"/>
              <w:jc w:val="center"/>
              <w:rPr>
                <w:rFonts w:hint="eastAsia" w:ascii="新宋体" w:hAnsi="新宋体" w:eastAsia="新宋体"/>
                <w:b/>
                <w:bCs/>
                <w:color w:val="auto"/>
                <w:sz w:val="22"/>
                <w:szCs w:val="22"/>
                <w:highlight w:val="none"/>
              </w:rPr>
            </w:pPr>
          </w:p>
        </w:tc>
        <w:tc>
          <w:tcPr>
            <w:tcW w:w="571" w:type="pct"/>
            <w:noWrap w:val="0"/>
            <w:vAlign w:val="center"/>
          </w:tcPr>
          <w:p w14:paraId="5D8CBA3F">
            <w:pPr>
              <w:spacing w:line="380" w:lineRule="exact"/>
              <w:ind w:left="442" w:hanging="442"/>
              <w:jc w:val="center"/>
              <w:rPr>
                <w:rFonts w:hint="eastAsia" w:ascii="新宋体" w:hAnsi="新宋体" w:eastAsia="新宋体"/>
                <w:b/>
                <w:bCs/>
                <w:color w:val="auto"/>
                <w:sz w:val="22"/>
                <w:szCs w:val="22"/>
                <w:highlight w:val="none"/>
              </w:rPr>
            </w:pPr>
          </w:p>
        </w:tc>
      </w:tr>
      <w:tr w14:paraId="04D18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31" w:type="pct"/>
            <w:noWrap w:val="0"/>
            <w:vAlign w:val="center"/>
          </w:tcPr>
          <w:p w14:paraId="22BBA07A">
            <w:pPr>
              <w:spacing w:line="380" w:lineRule="exact"/>
              <w:ind w:left="442" w:hanging="442"/>
              <w:jc w:val="center"/>
              <w:rPr>
                <w:rFonts w:hint="eastAsia" w:ascii="新宋体" w:hAnsi="新宋体" w:eastAsia="新宋体"/>
                <w:b/>
                <w:bCs/>
                <w:color w:val="auto"/>
                <w:sz w:val="22"/>
                <w:szCs w:val="22"/>
                <w:highlight w:val="none"/>
              </w:rPr>
            </w:pPr>
          </w:p>
        </w:tc>
        <w:tc>
          <w:tcPr>
            <w:tcW w:w="1276" w:type="pct"/>
            <w:noWrap w:val="0"/>
            <w:vAlign w:val="center"/>
          </w:tcPr>
          <w:p w14:paraId="13C7D01D">
            <w:pPr>
              <w:spacing w:line="380" w:lineRule="exact"/>
              <w:ind w:left="442" w:hanging="442"/>
              <w:jc w:val="center"/>
              <w:rPr>
                <w:rFonts w:hint="eastAsia" w:ascii="新宋体" w:hAnsi="新宋体" w:eastAsia="新宋体"/>
                <w:b/>
                <w:bCs/>
                <w:color w:val="auto"/>
                <w:sz w:val="22"/>
                <w:szCs w:val="22"/>
                <w:highlight w:val="none"/>
              </w:rPr>
            </w:pPr>
          </w:p>
        </w:tc>
        <w:tc>
          <w:tcPr>
            <w:tcW w:w="1169" w:type="pct"/>
            <w:noWrap w:val="0"/>
            <w:vAlign w:val="center"/>
          </w:tcPr>
          <w:p w14:paraId="6EF08E08">
            <w:pPr>
              <w:spacing w:line="380" w:lineRule="exact"/>
              <w:ind w:left="442" w:hanging="442"/>
              <w:jc w:val="center"/>
              <w:rPr>
                <w:rFonts w:hint="eastAsia" w:ascii="新宋体" w:hAnsi="新宋体" w:eastAsia="新宋体"/>
                <w:b/>
                <w:bCs/>
                <w:color w:val="auto"/>
                <w:sz w:val="22"/>
                <w:szCs w:val="22"/>
                <w:highlight w:val="none"/>
              </w:rPr>
            </w:pPr>
          </w:p>
        </w:tc>
        <w:tc>
          <w:tcPr>
            <w:tcW w:w="643" w:type="pct"/>
            <w:noWrap w:val="0"/>
            <w:vAlign w:val="center"/>
          </w:tcPr>
          <w:p w14:paraId="0E099437">
            <w:pPr>
              <w:spacing w:line="380" w:lineRule="exact"/>
              <w:ind w:left="442" w:hanging="442"/>
              <w:jc w:val="center"/>
              <w:rPr>
                <w:rFonts w:hint="eastAsia" w:ascii="新宋体" w:hAnsi="新宋体" w:eastAsia="新宋体"/>
                <w:b/>
                <w:bCs/>
                <w:color w:val="auto"/>
                <w:sz w:val="22"/>
                <w:szCs w:val="22"/>
                <w:highlight w:val="none"/>
              </w:rPr>
            </w:pPr>
          </w:p>
        </w:tc>
        <w:tc>
          <w:tcPr>
            <w:tcW w:w="808" w:type="pct"/>
            <w:noWrap w:val="0"/>
            <w:vAlign w:val="center"/>
          </w:tcPr>
          <w:p w14:paraId="388812D4">
            <w:pPr>
              <w:spacing w:line="380" w:lineRule="exact"/>
              <w:ind w:left="442" w:hanging="442"/>
              <w:jc w:val="center"/>
              <w:rPr>
                <w:rFonts w:hint="eastAsia" w:ascii="新宋体" w:hAnsi="新宋体" w:eastAsia="新宋体"/>
                <w:b/>
                <w:bCs/>
                <w:color w:val="auto"/>
                <w:sz w:val="22"/>
                <w:szCs w:val="22"/>
                <w:highlight w:val="none"/>
              </w:rPr>
            </w:pPr>
          </w:p>
        </w:tc>
        <w:tc>
          <w:tcPr>
            <w:tcW w:w="571" w:type="pct"/>
            <w:noWrap w:val="0"/>
            <w:vAlign w:val="center"/>
          </w:tcPr>
          <w:p w14:paraId="127D43B3">
            <w:pPr>
              <w:spacing w:line="380" w:lineRule="exact"/>
              <w:ind w:left="442" w:hanging="442"/>
              <w:jc w:val="center"/>
              <w:rPr>
                <w:rFonts w:hint="eastAsia" w:ascii="新宋体" w:hAnsi="新宋体" w:eastAsia="新宋体"/>
                <w:b/>
                <w:bCs/>
                <w:color w:val="auto"/>
                <w:sz w:val="22"/>
                <w:szCs w:val="22"/>
                <w:highlight w:val="none"/>
              </w:rPr>
            </w:pPr>
          </w:p>
        </w:tc>
      </w:tr>
      <w:tr w14:paraId="2659C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31" w:type="pct"/>
            <w:noWrap w:val="0"/>
            <w:vAlign w:val="center"/>
          </w:tcPr>
          <w:p w14:paraId="7F6401CA">
            <w:pPr>
              <w:spacing w:line="380" w:lineRule="exact"/>
              <w:ind w:left="442" w:hanging="442"/>
              <w:jc w:val="center"/>
              <w:rPr>
                <w:rFonts w:hint="eastAsia" w:ascii="新宋体" w:hAnsi="新宋体" w:eastAsia="新宋体"/>
                <w:b/>
                <w:bCs/>
                <w:color w:val="auto"/>
                <w:sz w:val="22"/>
                <w:szCs w:val="22"/>
                <w:highlight w:val="none"/>
              </w:rPr>
            </w:pPr>
          </w:p>
        </w:tc>
        <w:tc>
          <w:tcPr>
            <w:tcW w:w="1276" w:type="pct"/>
            <w:noWrap w:val="0"/>
            <w:vAlign w:val="center"/>
          </w:tcPr>
          <w:p w14:paraId="07D6E141">
            <w:pPr>
              <w:spacing w:line="380" w:lineRule="exact"/>
              <w:ind w:left="442" w:hanging="442"/>
              <w:jc w:val="center"/>
              <w:rPr>
                <w:rFonts w:hint="eastAsia" w:ascii="新宋体" w:hAnsi="新宋体" w:eastAsia="新宋体"/>
                <w:b/>
                <w:bCs/>
                <w:color w:val="auto"/>
                <w:sz w:val="22"/>
                <w:szCs w:val="22"/>
                <w:highlight w:val="none"/>
              </w:rPr>
            </w:pPr>
          </w:p>
        </w:tc>
        <w:tc>
          <w:tcPr>
            <w:tcW w:w="1169" w:type="pct"/>
            <w:noWrap w:val="0"/>
            <w:vAlign w:val="center"/>
          </w:tcPr>
          <w:p w14:paraId="402E9794">
            <w:pPr>
              <w:spacing w:line="380" w:lineRule="exact"/>
              <w:ind w:left="442" w:hanging="442"/>
              <w:jc w:val="center"/>
              <w:rPr>
                <w:rFonts w:hint="eastAsia" w:ascii="新宋体" w:hAnsi="新宋体" w:eastAsia="新宋体"/>
                <w:b/>
                <w:bCs/>
                <w:color w:val="auto"/>
                <w:sz w:val="22"/>
                <w:szCs w:val="22"/>
                <w:highlight w:val="none"/>
              </w:rPr>
            </w:pPr>
          </w:p>
        </w:tc>
        <w:tc>
          <w:tcPr>
            <w:tcW w:w="643" w:type="pct"/>
            <w:noWrap w:val="0"/>
            <w:vAlign w:val="center"/>
          </w:tcPr>
          <w:p w14:paraId="3D3F1089">
            <w:pPr>
              <w:spacing w:line="380" w:lineRule="exact"/>
              <w:ind w:left="442" w:hanging="442"/>
              <w:jc w:val="center"/>
              <w:rPr>
                <w:rFonts w:hint="eastAsia" w:ascii="新宋体" w:hAnsi="新宋体" w:eastAsia="新宋体"/>
                <w:b/>
                <w:bCs/>
                <w:color w:val="auto"/>
                <w:sz w:val="22"/>
                <w:szCs w:val="22"/>
                <w:highlight w:val="none"/>
              </w:rPr>
            </w:pPr>
          </w:p>
        </w:tc>
        <w:tc>
          <w:tcPr>
            <w:tcW w:w="808" w:type="pct"/>
            <w:noWrap w:val="0"/>
            <w:vAlign w:val="center"/>
          </w:tcPr>
          <w:p w14:paraId="65C20D62">
            <w:pPr>
              <w:spacing w:line="380" w:lineRule="exact"/>
              <w:ind w:left="442" w:hanging="442"/>
              <w:jc w:val="center"/>
              <w:rPr>
                <w:rFonts w:hint="eastAsia" w:ascii="新宋体" w:hAnsi="新宋体" w:eastAsia="新宋体"/>
                <w:b/>
                <w:bCs/>
                <w:color w:val="auto"/>
                <w:sz w:val="22"/>
                <w:szCs w:val="22"/>
                <w:highlight w:val="none"/>
              </w:rPr>
            </w:pPr>
          </w:p>
        </w:tc>
        <w:tc>
          <w:tcPr>
            <w:tcW w:w="571" w:type="pct"/>
            <w:noWrap w:val="0"/>
            <w:vAlign w:val="center"/>
          </w:tcPr>
          <w:p w14:paraId="78BC1C2F">
            <w:pPr>
              <w:spacing w:line="380" w:lineRule="exact"/>
              <w:ind w:left="442" w:hanging="442"/>
              <w:jc w:val="center"/>
              <w:rPr>
                <w:rFonts w:hint="eastAsia" w:ascii="新宋体" w:hAnsi="新宋体" w:eastAsia="新宋体"/>
                <w:b/>
                <w:bCs/>
                <w:color w:val="auto"/>
                <w:sz w:val="22"/>
                <w:szCs w:val="22"/>
                <w:highlight w:val="none"/>
              </w:rPr>
            </w:pPr>
          </w:p>
        </w:tc>
      </w:tr>
      <w:tr w14:paraId="79E58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31" w:type="pct"/>
            <w:noWrap w:val="0"/>
            <w:vAlign w:val="center"/>
          </w:tcPr>
          <w:p w14:paraId="289D979F">
            <w:pPr>
              <w:spacing w:line="380" w:lineRule="exact"/>
              <w:ind w:left="442" w:hanging="442"/>
              <w:jc w:val="center"/>
              <w:rPr>
                <w:rFonts w:hint="eastAsia" w:ascii="新宋体" w:hAnsi="新宋体" w:eastAsia="新宋体"/>
                <w:b/>
                <w:bCs/>
                <w:color w:val="auto"/>
                <w:sz w:val="22"/>
                <w:szCs w:val="22"/>
                <w:highlight w:val="none"/>
              </w:rPr>
            </w:pPr>
          </w:p>
        </w:tc>
        <w:tc>
          <w:tcPr>
            <w:tcW w:w="1276" w:type="pct"/>
            <w:noWrap w:val="0"/>
            <w:vAlign w:val="center"/>
          </w:tcPr>
          <w:p w14:paraId="54C92D51">
            <w:pPr>
              <w:spacing w:line="380" w:lineRule="exact"/>
              <w:ind w:left="442" w:hanging="442"/>
              <w:jc w:val="center"/>
              <w:rPr>
                <w:rFonts w:hint="eastAsia" w:ascii="新宋体" w:hAnsi="新宋体" w:eastAsia="新宋体"/>
                <w:b/>
                <w:bCs/>
                <w:color w:val="auto"/>
                <w:sz w:val="22"/>
                <w:szCs w:val="22"/>
                <w:highlight w:val="none"/>
              </w:rPr>
            </w:pPr>
          </w:p>
        </w:tc>
        <w:tc>
          <w:tcPr>
            <w:tcW w:w="1169" w:type="pct"/>
            <w:noWrap w:val="0"/>
            <w:vAlign w:val="center"/>
          </w:tcPr>
          <w:p w14:paraId="5C3A2D71">
            <w:pPr>
              <w:spacing w:line="380" w:lineRule="exact"/>
              <w:ind w:left="442" w:hanging="442"/>
              <w:jc w:val="center"/>
              <w:rPr>
                <w:rFonts w:hint="eastAsia" w:ascii="新宋体" w:hAnsi="新宋体" w:eastAsia="新宋体"/>
                <w:b/>
                <w:bCs/>
                <w:color w:val="auto"/>
                <w:sz w:val="22"/>
                <w:szCs w:val="22"/>
                <w:highlight w:val="none"/>
              </w:rPr>
            </w:pPr>
          </w:p>
        </w:tc>
        <w:tc>
          <w:tcPr>
            <w:tcW w:w="643" w:type="pct"/>
            <w:noWrap w:val="0"/>
            <w:vAlign w:val="center"/>
          </w:tcPr>
          <w:p w14:paraId="7A550EF4">
            <w:pPr>
              <w:spacing w:line="380" w:lineRule="exact"/>
              <w:ind w:left="442" w:hanging="442"/>
              <w:jc w:val="center"/>
              <w:rPr>
                <w:rFonts w:hint="eastAsia" w:ascii="新宋体" w:hAnsi="新宋体" w:eastAsia="新宋体"/>
                <w:b/>
                <w:bCs/>
                <w:color w:val="auto"/>
                <w:sz w:val="22"/>
                <w:szCs w:val="22"/>
                <w:highlight w:val="none"/>
              </w:rPr>
            </w:pPr>
          </w:p>
        </w:tc>
        <w:tc>
          <w:tcPr>
            <w:tcW w:w="808" w:type="pct"/>
            <w:noWrap w:val="0"/>
            <w:vAlign w:val="center"/>
          </w:tcPr>
          <w:p w14:paraId="6789EACE">
            <w:pPr>
              <w:spacing w:line="380" w:lineRule="exact"/>
              <w:ind w:left="442" w:hanging="442"/>
              <w:jc w:val="center"/>
              <w:rPr>
                <w:rFonts w:hint="eastAsia" w:ascii="新宋体" w:hAnsi="新宋体" w:eastAsia="新宋体"/>
                <w:b/>
                <w:bCs/>
                <w:color w:val="auto"/>
                <w:sz w:val="22"/>
                <w:szCs w:val="22"/>
                <w:highlight w:val="none"/>
              </w:rPr>
            </w:pPr>
          </w:p>
        </w:tc>
        <w:tc>
          <w:tcPr>
            <w:tcW w:w="571" w:type="pct"/>
            <w:noWrap w:val="0"/>
            <w:vAlign w:val="center"/>
          </w:tcPr>
          <w:p w14:paraId="6549FDB3">
            <w:pPr>
              <w:spacing w:line="380" w:lineRule="exact"/>
              <w:ind w:left="442" w:hanging="442"/>
              <w:jc w:val="center"/>
              <w:rPr>
                <w:rFonts w:hint="eastAsia" w:ascii="新宋体" w:hAnsi="新宋体" w:eastAsia="新宋体"/>
                <w:b/>
                <w:bCs/>
                <w:color w:val="auto"/>
                <w:sz w:val="22"/>
                <w:szCs w:val="22"/>
                <w:highlight w:val="none"/>
              </w:rPr>
            </w:pPr>
          </w:p>
        </w:tc>
      </w:tr>
      <w:tr w14:paraId="41C97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31" w:type="pct"/>
            <w:noWrap w:val="0"/>
            <w:vAlign w:val="center"/>
          </w:tcPr>
          <w:p w14:paraId="3D55C058">
            <w:pPr>
              <w:spacing w:line="380" w:lineRule="exact"/>
              <w:ind w:left="442" w:hanging="442"/>
              <w:jc w:val="center"/>
              <w:rPr>
                <w:rFonts w:hint="eastAsia" w:ascii="新宋体" w:hAnsi="新宋体" w:eastAsia="新宋体"/>
                <w:b/>
                <w:bCs/>
                <w:color w:val="auto"/>
                <w:sz w:val="22"/>
                <w:szCs w:val="22"/>
                <w:highlight w:val="none"/>
              </w:rPr>
            </w:pPr>
          </w:p>
        </w:tc>
        <w:tc>
          <w:tcPr>
            <w:tcW w:w="1276" w:type="pct"/>
            <w:noWrap w:val="0"/>
            <w:vAlign w:val="center"/>
          </w:tcPr>
          <w:p w14:paraId="4CF8DE3B">
            <w:pPr>
              <w:spacing w:line="380" w:lineRule="exact"/>
              <w:ind w:left="442" w:hanging="442"/>
              <w:jc w:val="center"/>
              <w:rPr>
                <w:rFonts w:hint="eastAsia" w:ascii="新宋体" w:hAnsi="新宋体" w:eastAsia="新宋体"/>
                <w:b/>
                <w:bCs/>
                <w:color w:val="auto"/>
                <w:sz w:val="22"/>
                <w:szCs w:val="22"/>
                <w:highlight w:val="none"/>
              </w:rPr>
            </w:pPr>
          </w:p>
        </w:tc>
        <w:tc>
          <w:tcPr>
            <w:tcW w:w="1169" w:type="pct"/>
            <w:noWrap w:val="0"/>
            <w:vAlign w:val="center"/>
          </w:tcPr>
          <w:p w14:paraId="066A9EC3">
            <w:pPr>
              <w:spacing w:line="380" w:lineRule="exact"/>
              <w:ind w:left="442" w:hanging="442"/>
              <w:jc w:val="center"/>
              <w:rPr>
                <w:rFonts w:hint="eastAsia" w:ascii="新宋体" w:hAnsi="新宋体" w:eastAsia="新宋体"/>
                <w:b/>
                <w:bCs/>
                <w:color w:val="auto"/>
                <w:sz w:val="22"/>
                <w:szCs w:val="22"/>
                <w:highlight w:val="none"/>
              </w:rPr>
            </w:pPr>
          </w:p>
        </w:tc>
        <w:tc>
          <w:tcPr>
            <w:tcW w:w="643" w:type="pct"/>
            <w:noWrap w:val="0"/>
            <w:vAlign w:val="center"/>
          </w:tcPr>
          <w:p w14:paraId="1263CC5A">
            <w:pPr>
              <w:spacing w:line="380" w:lineRule="exact"/>
              <w:ind w:left="442" w:hanging="442"/>
              <w:jc w:val="center"/>
              <w:rPr>
                <w:rFonts w:hint="eastAsia" w:ascii="新宋体" w:hAnsi="新宋体" w:eastAsia="新宋体"/>
                <w:b/>
                <w:bCs/>
                <w:color w:val="auto"/>
                <w:sz w:val="22"/>
                <w:szCs w:val="22"/>
                <w:highlight w:val="none"/>
              </w:rPr>
            </w:pPr>
          </w:p>
        </w:tc>
        <w:tc>
          <w:tcPr>
            <w:tcW w:w="808" w:type="pct"/>
            <w:noWrap w:val="0"/>
            <w:vAlign w:val="center"/>
          </w:tcPr>
          <w:p w14:paraId="13914E40">
            <w:pPr>
              <w:spacing w:line="380" w:lineRule="exact"/>
              <w:ind w:left="442" w:hanging="442"/>
              <w:jc w:val="center"/>
              <w:rPr>
                <w:rFonts w:hint="eastAsia" w:ascii="新宋体" w:hAnsi="新宋体" w:eastAsia="新宋体"/>
                <w:b/>
                <w:bCs/>
                <w:color w:val="auto"/>
                <w:sz w:val="22"/>
                <w:szCs w:val="22"/>
                <w:highlight w:val="none"/>
              </w:rPr>
            </w:pPr>
          </w:p>
        </w:tc>
        <w:tc>
          <w:tcPr>
            <w:tcW w:w="571" w:type="pct"/>
            <w:noWrap w:val="0"/>
            <w:vAlign w:val="center"/>
          </w:tcPr>
          <w:p w14:paraId="3E08C89B">
            <w:pPr>
              <w:spacing w:line="380" w:lineRule="exact"/>
              <w:ind w:left="442" w:hanging="442"/>
              <w:jc w:val="center"/>
              <w:rPr>
                <w:rFonts w:hint="eastAsia" w:ascii="新宋体" w:hAnsi="新宋体" w:eastAsia="新宋体"/>
                <w:b/>
                <w:bCs/>
                <w:color w:val="auto"/>
                <w:sz w:val="22"/>
                <w:szCs w:val="22"/>
                <w:highlight w:val="none"/>
              </w:rPr>
            </w:pPr>
          </w:p>
        </w:tc>
      </w:tr>
      <w:tr w14:paraId="7B1C9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31" w:type="pct"/>
            <w:noWrap w:val="0"/>
            <w:vAlign w:val="center"/>
          </w:tcPr>
          <w:p w14:paraId="38E9F325">
            <w:pPr>
              <w:spacing w:line="380" w:lineRule="exact"/>
              <w:ind w:left="442" w:hanging="442"/>
              <w:jc w:val="center"/>
              <w:rPr>
                <w:rFonts w:hint="eastAsia" w:ascii="新宋体" w:hAnsi="新宋体" w:eastAsia="新宋体"/>
                <w:b/>
                <w:bCs/>
                <w:color w:val="auto"/>
                <w:sz w:val="22"/>
                <w:szCs w:val="22"/>
                <w:highlight w:val="none"/>
              </w:rPr>
            </w:pPr>
          </w:p>
        </w:tc>
        <w:tc>
          <w:tcPr>
            <w:tcW w:w="1276" w:type="pct"/>
            <w:noWrap w:val="0"/>
            <w:vAlign w:val="center"/>
          </w:tcPr>
          <w:p w14:paraId="34A78539">
            <w:pPr>
              <w:spacing w:line="380" w:lineRule="exact"/>
              <w:ind w:left="442" w:hanging="442"/>
              <w:jc w:val="center"/>
              <w:rPr>
                <w:rFonts w:hint="eastAsia" w:ascii="新宋体" w:hAnsi="新宋体" w:eastAsia="新宋体"/>
                <w:b/>
                <w:bCs/>
                <w:color w:val="auto"/>
                <w:sz w:val="22"/>
                <w:szCs w:val="22"/>
                <w:highlight w:val="none"/>
              </w:rPr>
            </w:pPr>
          </w:p>
        </w:tc>
        <w:tc>
          <w:tcPr>
            <w:tcW w:w="1169" w:type="pct"/>
            <w:noWrap w:val="0"/>
            <w:vAlign w:val="center"/>
          </w:tcPr>
          <w:p w14:paraId="42122728">
            <w:pPr>
              <w:spacing w:line="380" w:lineRule="exact"/>
              <w:ind w:left="442" w:hanging="442"/>
              <w:jc w:val="center"/>
              <w:rPr>
                <w:rFonts w:hint="eastAsia" w:ascii="新宋体" w:hAnsi="新宋体" w:eastAsia="新宋体"/>
                <w:b/>
                <w:bCs/>
                <w:color w:val="auto"/>
                <w:sz w:val="22"/>
                <w:szCs w:val="22"/>
                <w:highlight w:val="none"/>
              </w:rPr>
            </w:pPr>
          </w:p>
        </w:tc>
        <w:tc>
          <w:tcPr>
            <w:tcW w:w="643" w:type="pct"/>
            <w:noWrap w:val="0"/>
            <w:vAlign w:val="center"/>
          </w:tcPr>
          <w:p w14:paraId="7ADB5C02">
            <w:pPr>
              <w:spacing w:line="380" w:lineRule="exact"/>
              <w:ind w:left="442" w:hanging="442"/>
              <w:jc w:val="center"/>
              <w:rPr>
                <w:rFonts w:hint="eastAsia" w:ascii="新宋体" w:hAnsi="新宋体" w:eastAsia="新宋体"/>
                <w:b/>
                <w:bCs/>
                <w:color w:val="auto"/>
                <w:sz w:val="22"/>
                <w:szCs w:val="22"/>
                <w:highlight w:val="none"/>
              </w:rPr>
            </w:pPr>
          </w:p>
        </w:tc>
        <w:tc>
          <w:tcPr>
            <w:tcW w:w="808" w:type="pct"/>
            <w:noWrap w:val="0"/>
            <w:vAlign w:val="center"/>
          </w:tcPr>
          <w:p w14:paraId="13CB74DF">
            <w:pPr>
              <w:spacing w:line="380" w:lineRule="exact"/>
              <w:ind w:left="442" w:hanging="442"/>
              <w:jc w:val="center"/>
              <w:rPr>
                <w:rFonts w:hint="eastAsia" w:ascii="新宋体" w:hAnsi="新宋体" w:eastAsia="新宋体"/>
                <w:b/>
                <w:bCs/>
                <w:color w:val="auto"/>
                <w:sz w:val="22"/>
                <w:szCs w:val="22"/>
                <w:highlight w:val="none"/>
              </w:rPr>
            </w:pPr>
          </w:p>
        </w:tc>
        <w:tc>
          <w:tcPr>
            <w:tcW w:w="571" w:type="pct"/>
            <w:noWrap w:val="0"/>
            <w:vAlign w:val="center"/>
          </w:tcPr>
          <w:p w14:paraId="05D8D371">
            <w:pPr>
              <w:spacing w:line="380" w:lineRule="exact"/>
              <w:ind w:left="442" w:hanging="442"/>
              <w:jc w:val="center"/>
              <w:rPr>
                <w:rFonts w:hint="eastAsia" w:ascii="新宋体" w:hAnsi="新宋体" w:eastAsia="新宋体"/>
                <w:b/>
                <w:bCs/>
                <w:color w:val="auto"/>
                <w:sz w:val="22"/>
                <w:szCs w:val="22"/>
                <w:highlight w:val="none"/>
              </w:rPr>
            </w:pPr>
          </w:p>
        </w:tc>
      </w:tr>
    </w:tbl>
    <w:p w14:paraId="0180083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b/>
          <w:color w:val="auto"/>
          <w:sz w:val="22"/>
          <w:szCs w:val="22"/>
          <w:highlight w:val="none"/>
        </w:rPr>
      </w:pPr>
      <w:r>
        <w:rPr>
          <w:rFonts w:hint="eastAsia" w:ascii="新宋体" w:hAnsi="新宋体" w:eastAsia="新宋体"/>
          <w:b/>
          <w:color w:val="auto"/>
          <w:sz w:val="22"/>
          <w:szCs w:val="22"/>
          <w:highlight w:val="none"/>
        </w:rPr>
        <w:t>注：</w:t>
      </w:r>
      <w:r>
        <w:rPr>
          <w:rFonts w:hint="eastAsia" w:ascii="新宋体" w:hAnsi="新宋体" w:eastAsia="新宋体"/>
          <w:b/>
          <w:bCs/>
          <w:color w:val="auto"/>
          <w:sz w:val="22"/>
          <w:szCs w:val="22"/>
          <w:highlight w:val="none"/>
        </w:rPr>
        <w:t>投标人可按此表格式复制，需提供合同复印件，原件备查。</w:t>
      </w:r>
    </w:p>
    <w:p w14:paraId="4FFABA83">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b/>
          <w:color w:val="auto"/>
          <w:sz w:val="22"/>
          <w:highlight w:val="none"/>
        </w:rPr>
      </w:pPr>
    </w:p>
    <w:p w14:paraId="7B413B11">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743137B6">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5C07C61">
      <w:pPr>
        <w:keepNext w:val="0"/>
        <w:keepLines w:val="0"/>
        <w:pageBreakBefore w:val="0"/>
        <w:widowControl w:val="0"/>
        <w:kinsoku/>
        <w:wordWrap/>
        <w:overflowPunct/>
        <w:topLinePunct w:val="0"/>
        <w:autoSpaceDE/>
        <w:autoSpaceDN/>
        <w:bidi w:val="0"/>
        <w:adjustRightInd/>
        <w:snapToGrid/>
        <w:spacing w:line="460" w:lineRule="exact"/>
        <w:ind w:left="5320" w:leftChars="0" w:firstLine="38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2D38F3F">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color w:val="auto"/>
          <w:highlight w:val="none"/>
        </w:rPr>
      </w:pPr>
      <w:r>
        <w:rPr>
          <w:rFonts w:hint="eastAsia"/>
          <w:color w:val="auto"/>
          <w:highlight w:val="none"/>
        </w:rPr>
        <w:br w:type="page"/>
      </w:r>
    </w:p>
    <w:p w14:paraId="1E3B59C0">
      <w:pPr>
        <w:pStyle w:val="24"/>
        <w:spacing w:line="460" w:lineRule="exact"/>
        <w:ind w:left="602" w:hanging="602"/>
        <w:jc w:val="center"/>
        <w:outlineLvl w:val="0"/>
        <w:rPr>
          <w:rFonts w:hint="eastAsia" w:ascii="新宋体" w:hAnsi="新宋体" w:eastAsia="新宋体" w:cs="新宋体"/>
          <w:b/>
          <w:color w:val="auto"/>
          <w:sz w:val="30"/>
          <w:highlight w:val="none"/>
        </w:rPr>
      </w:pPr>
      <w:bookmarkStart w:id="80" w:name="_Toc10143"/>
      <w:r>
        <w:rPr>
          <w:rFonts w:hint="eastAsia" w:ascii="新宋体" w:hAnsi="新宋体" w:eastAsia="新宋体" w:cs="新宋体"/>
          <w:b/>
          <w:color w:val="auto"/>
          <w:sz w:val="30"/>
          <w:highlight w:val="none"/>
        </w:rPr>
        <w:t>第四部分</w:t>
      </w:r>
      <w:bookmarkStart w:id="81" w:name="_Toc221356895"/>
      <w:bookmarkStart w:id="82" w:name="_Toc221356958"/>
      <w:r>
        <w:rPr>
          <w:rFonts w:hint="eastAsia" w:ascii="新宋体" w:hAnsi="新宋体" w:eastAsia="新宋体" w:cs="新宋体"/>
          <w:b/>
          <w:color w:val="auto"/>
          <w:sz w:val="30"/>
          <w:highlight w:val="none"/>
        </w:rPr>
        <w:t xml:space="preserve">  项目技术规范和服务要求</w:t>
      </w:r>
      <w:bookmarkEnd w:id="78"/>
      <w:bookmarkEnd w:id="79"/>
      <w:bookmarkEnd w:id="80"/>
    </w:p>
    <w:bookmarkEnd w:id="81"/>
    <w:bookmarkEnd w:id="82"/>
    <w:p w14:paraId="5ADB07AB">
      <w:pPr>
        <w:widowControl/>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本项目预算总金额人民币壹拾玖万元整（¥190000.00元），若投标人投标报价超过预算金额按无效标处理。</w:t>
      </w:r>
    </w:p>
    <w:p w14:paraId="56959970">
      <w:pPr>
        <w:keepNext w:val="0"/>
        <w:keepLines w:val="0"/>
        <w:pageBreakBefore w:val="0"/>
        <w:widowControl w:val="0"/>
        <w:kinsoku/>
        <w:wordWrap/>
        <w:overflowPunct/>
        <w:topLinePunct w:val="0"/>
        <w:autoSpaceDE/>
        <w:autoSpaceDN/>
        <w:bidi w:val="0"/>
        <w:adjustRightInd/>
        <w:snapToGrid/>
        <w:spacing w:line="460" w:lineRule="exact"/>
        <w:ind w:left="0" w:firstLine="0"/>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一、项目概况</w:t>
      </w:r>
    </w:p>
    <w:p w14:paraId="0C5A2F7E">
      <w:pPr>
        <w:keepNext w:val="0"/>
        <w:keepLines w:val="0"/>
        <w:pageBreakBefore w:val="0"/>
        <w:widowControl w:val="0"/>
        <w:kinsoku/>
        <w:wordWrap/>
        <w:overflowPunct/>
        <w:topLinePunct w:val="0"/>
        <w:autoSpaceDE/>
        <w:autoSpaceDN/>
        <w:bidi w:val="0"/>
        <w:adjustRightInd/>
        <w:snapToGrid/>
        <w:spacing w:line="460" w:lineRule="exact"/>
        <w:ind w:left="0"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1、本项目医院自有设备（投标人可实地考察）和租赁设备如下：</w:t>
      </w:r>
    </w:p>
    <w:tbl>
      <w:tblPr>
        <w:tblStyle w:val="55"/>
        <w:tblpPr w:leftFromText="180" w:rightFromText="180" w:vertAnchor="text" w:horzAnchor="page" w:tblpXSpec="center" w:tblpY="90"/>
        <w:tblOverlap w:val="never"/>
        <w:tblW w:w="4998" w:type="pct"/>
        <w:jc w:val="center"/>
        <w:tblLayout w:type="autofit"/>
        <w:tblCellMar>
          <w:top w:w="0" w:type="dxa"/>
          <w:left w:w="108" w:type="dxa"/>
          <w:bottom w:w="0" w:type="dxa"/>
          <w:right w:w="108" w:type="dxa"/>
        </w:tblCellMar>
      </w:tblPr>
      <w:tblGrid>
        <w:gridCol w:w="881"/>
        <w:gridCol w:w="3514"/>
        <w:gridCol w:w="5455"/>
      </w:tblGrid>
      <w:tr w14:paraId="6214F020">
        <w:tblPrEx>
          <w:tblCellMar>
            <w:top w:w="0" w:type="dxa"/>
            <w:left w:w="108" w:type="dxa"/>
            <w:bottom w:w="0" w:type="dxa"/>
            <w:right w:w="108" w:type="dxa"/>
          </w:tblCellMar>
        </w:tblPrEx>
        <w:trPr>
          <w:trHeight w:val="295" w:hRule="atLeast"/>
          <w:jc w:val="center"/>
        </w:trPr>
        <w:tc>
          <w:tcPr>
            <w:tcW w:w="4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DA7AE">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1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641C1">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设备名称</w:t>
            </w:r>
          </w:p>
        </w:tc>
        <w:tc>
          <w:tcPr>
            <w:tcW w:w="2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9BFD0">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设备数量（台）</w:t>
            </w:r>
          </w:p>
        </w:tc>
      </w:tr>
      <w:tr w14:paraId="4E80E770">
        <w:tblPrEx>
          <w:tblCellMar>
            <w:top w:w="0" w:type="dxa"/>
            <w:left w:w="108" w:type="dxa"/>
            <w:bottom w:w="0" w:type="dxa"/>
            <w:right w:w="108" w:type="dxa"/>
          </w:tblCellMar>
        </w:tblPrEx>
        <w:trPr>
          <w:trHeight w:val="295" w:hRule="atLeast"/>
          <w:jc w:val="center"/>
        </w:trPr>
        <w:tc>
          <w:tcPr>
            <w:tcW w:w="4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45BF4">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1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C48B2">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医院自有文印设备</w:t>
            </w:r>
          </w:p>
        </w:tc>
        <w:tc>
          <w:tcPr>
            <w:tcW w:w="2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58371">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若干</w:t>
            </w:r>
          </w:p>
        </w:tc>
      </w:tr>
      <w:tr w14:paraId="788A61DB">
        <w:tblPrEx>
          <w:tblCellMar>
            <w:top w:w="0" w:type="dxa"/>
            <w:left w:w="108" w:type="dxa"/>
            <w:bottom w:w="0" w:type="dxa"/>
            <w:right w:w="108" w:type="dxa"/>
          </w:tblCellMar>
        </w:tblPrEx>
        <w:trPr>
          <w:trHeight w:val="236" w:hRule="atLeast"/>
          <w:jc w:val="center"/>
        </w:trPr>
        <w:tc>
          <w:tcPr>
            <w:tcW w:w="4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282A4">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1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9F72D">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服务商文印设备</w:t>
            </w:r>
          </w:p>
        </w:tc>
        <w:tc>
          <w:tcPr>
            <w:tcW w:w="2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905A6">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155</w:t>
            </w:r>
          </w:p>
        </w:tc>
      </w:tr>
    </w:tbl>
    <w:p w14:paraId="77F66954">
      <w:pPr>
        <w:keepNext w:val="0"/>
        <w:keepLines w:val="0"/>
        <w:pageBreakBefore w:val="0"/>
        <w:widowControl w:val="0"/>
        <w:kinsoku/>
        <w:wordWrap/>
        <w:overflowPunct/>
        <w:topLinePunct w:val="0"/>
        <w:autoSpaceDE/>
        <w:autoSpaceDN/>
        <w:bidi w:val="0"/>
        <w:adjustRightInd/>
        <w:snapToGrid/>
        <w:spacing w:line="460" w:lineRule="exact"/>
        <w:ind w:left="0"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2、服务范围</w:t>
      </w:r>
    </w:p>
    <w:p w14:paraId="732D62AE">
      <w:pPr>
        <w:keepNext w:val="0"/>
        <w:keepLines w:val="0"/>
        <w:pageBreakBefore w:val="0"/>
        <w:widowControl w:val="0"/>
        <w:kinsoku/>
        <w:wordWrap/>
        <w:overflowPunct/>
        <w:topLinePunct w:val="0"/>
        <w:autoSpaceDE/>
        <w:autoSpaceDN/>
        <w:bidi w:val="0"/>
        <w:adjustRightInd/>
        <w:snapToGrid/>
        <w:spacing w:line="460" w:lineRule="exact"/>
        <w:ind w:left="0"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服务范围为医院各个院区及门诊文印设备（含黑白喷墨及激光打印机、彩色喷墨及激光打印机、针式打印机、条码打印机、热敏打印机、多功能一体机等）的维护及技术支持，同时提供文印设备正常运转所需的硒鼓、墨盒、色带、碳带、配件及维修箱等所需的所有文印耗材及设备维修所需的配件（纸张除外）。合同签订后服务商需投入约155台文印设备，医院自有设备维护情况投标人可实地考察。</w:t>
      </w:r>
    </w:p>
    <w:tbl>
      <w:tblPr>
        <w:tblStyle w:val="55"/>
        <w:tblW w:w="499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1033"/>
        <w:gridCol w:w="1665"/>
        <w:gridCol w:w="6456"/>
      </w:tblGrid>
      <w:tr w14:paraId="4A691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346" w:type="pct"/>
            <w:vAlign w:val="center"/>
          </w:tcPr>
          <w:p w14:paraId="1535B9D1">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525" w:type="pct"/>
            <w:vAlign w:val="center"/>
          </w:tcPr>
          <w:p w14:paraId="7A4C5FCA">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名称</w:t>
            </w:r>
          </w:p>
        </w:tc>
        <w:tc>
          <w:tcPr>
            <w:tcW w:w="846" w:type="pct"/>
            <w:vAlign w:val="center"/>
          </w:tcPr>
          <w:p w14:paraId="1CD1A053">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预算（元/年）</w:t>
            </w:r>
          </w:p>
        </w:tc>
        <w:tc>
          <w:tcPr>
            <w:tcW w:w="3281" w:type="pct"/>
            <w:vAlign w:val="center"/>
          </w:tcPr>
          <w:p w14:paraId="7F03F42C">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服务内容备注</w:t>
            </w:r>
          </w:p>
        </w:tc>
      </w:tr>
      <w:tr w14:paraId="76230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346" w:type="pct"/>
            <w:vAlign w:val="center"/>
          </w:tcPr>
          <w:p w14:paraId="2C25D6DC">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525" w:type="pct"/>
            <w:vAlign w:val="center"/>
          </w:tcPr>
          <w:p w14:paraId="4BFE45D7">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常规打印机外包服务</w:t>
            </w:r>
          </w:p>
        </w:tc>
        <w:tc>
          <w:tcPr>
            <w:tcW w:w="846" w:type="pct"/>
            <w:vAlign w:val="center"/>
          </w:tcPr>
          <w:p w14:paraId="1C1AE5F2">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170000</w:t>
            </w:r>
          </w:p>
        </w:tc>
        <w:tc>
          <w:tcPr>
            <w:tcW w:w="3281" w:type="pct"/>
            <w:vAlign w:val="center"/>
          </w:tcPr>
          <w:p w14:paraId="1F41C86D">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①硬件投入：中标后需提供155台文印设备，并提供相应维护。</w:t>
            </w:r>
          </w:p>
          <w:p w14:paraId="14009270">
            <w:pPr>
              <w:numPr>
                <w:ilvl w:val="255"/>
                <w:numId w:val="0"/>
              </w:num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②硬件投入：每年至少提供20台文印设备替换更新医院报废文印设备。</w:t>
            </w:r>
          </w:p>
          <w:p w14:paraId="09605D6B">
            <w:pPr>
              <w:numPr>
                <w:ilvl w:val="255"/>
                <w:numId w:val="0"/>
              </w:num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③硬件维护：对医院各个院区及门诊自有文印设备提供相应维护。</w:t>
            </w:r>
          </w:p>
          <w:p w14:paraId="0EFF6E1D">
            <w:pPr>
              <w:spacing w:line="460" w:lineRule="exact"/>
              <w:jc w:val="left"/>
              <w:rPr>
                <w:color w:val="auto"/>
                <w:highlight w:val="none"/>
              </w:rPr>
            </w:pPr>
            <w:r>
              <w:rPr>
                <w:rFonts w:hint="eastAsia" w:ascii="新宋体" w:hAnsi="新宋体" w:eastAsia="新宋体" w:cs="新宋体"/>
                <w:color w:val="auto"/>
                <w:sz w:val="22"/>
                <w:szCs w:val="22"/>
                <w:highlight w:val="none"/>
              </w:rPr>
              <w:t>④硬件维护：承担除纸张外所有打印耗材、维修维护服务及维修所需的配件费用。</w:t>
            </w:r>
          </w:p>
        </w:tc>
      </w:tr>
      <w:tr w14:paraId="61B4D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346" w:type="pct"/>
            <w:vAlign w:val="center"/>
          </w:tcPr>
          <w:p w14:paraId="22A9CF75">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525" w:type="pct"/>
            <w:vAlign w:val="center"/>
          </w:tcPr>
          <w:p w14:paraId="0F0C19B7">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超额打印机外包服务</w:t>
            </w:r>
          </w:p>
        </w:tc>
        <w:tc>
          <w:tcPr>
            <w:tcW w:w="846" w:type="pct"/>
            <w:vAlign w:val="center"/>
          </w:tcPr>
          <w:p w14:paraId="7F939D75">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20000</w:t>
            </w:r>
          </w:p>
        </w:tc>
        <w:tc>
          <w:tcPr>
            <w:tcW w:w="3281" w:type="pct"/>
            <w:vAlign w:val="center"/>
          </w:tcPr>
          <w:p w14:paraId="0E9C3221">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①根据实际情况（医院扩建、科室新增等）使用经费租赁文印设备，中标方根据医院需求提供</w:t>
            </w:r>
            <w:r>
              <w:rPr>
                <w:rFonts w:hint="eastAsia" w:ascii="新宋体" w:hAnsi="新宋体" w:eastAsia="新宋体" w:cs="新宋体"/>
                <w:b/>
                <w:bCs/>
                <w:color w:val="auto"/>
                <w:sz w:val="22"/>
                <w:szCs w:val="22"/>
                <w:highlight w:val="none"/>
                <w:u w:val="single"/>
              </w:rPr>
              <w:t>每台文印设备每年租赁报价</w:t>
            </w:r>
            <w:r>
              <w:rPr>
                <w:rFonts w:hint="eastAsia" w:ascii="新宋体" w:hAnsi="新宋体" w:eastAsia="新宋体" w:cs="新宋体"/>
                <w:color w:val="auto"/>
                <w:sz w:val="22"/>
                <w:szCs w:val="22"/>
                <w:highlight w:val="none"/>
              </w:rPr>
              <w:t>。</w:t>
            </w:r>
          </w:p>
          <w:p w14:paraId="21A66A35">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②承担此项文印设备除纸张外所有耗材、维修维护服务及维修所需的配件费用。</w:t>
            </w:r>
          </w:p>
          <w:p w14:paraId="625D0501">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③因医院原有文印设备报废淘汰而产生的替换服务不计入超额打印机外包服务。</w:t>
            </w:r>
          </w:p>
          <w:p w14:paraId="09C2BD08">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▲④黑白打印机单台/年服务费不得超过600元。</w:t>
            </w:r>
          </w:p>
          <w:p w14:paraId="2861AF6B">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▲⑤彩色打印机单台/年服务费不得超过800元。</w:t>
            </w:r>
          </w:p>
        </w:tc>
      </w:tr>
    </w:tbl>
    <w:p w14:paraId="21CDE91C">
      <w:pPr>
        <w:spacing w:line="460" w:lineRule="exact"/>
        <w:rPr>
          <w:rFonts w:hint="eastAsia" w:ascii="新宋体" w:hAnsi="新宋体" w:eastAsia="新宋体" w:cs="新宋体"/>
          <w:b/>
          <w:bCs/>
          <w:color w:val="auto"/>
          <w:sz w:val="22"/>
          <w:szCs w:val="22"/>
          <w:highlight w:val="none"/>
        </w:rPr>
      </w:pPr>
    </w:p>
    <w:p w14:paraId="2CB5D3D1">
      <w:pPr>
        <w:spacing w:line="460" w:lineRule="exact"/>
        <w:rPr>
          <w:rFonts w:hint="eastAsia" w:ascii="新宋体" w:hAnsi="新宋体" w:eastAsia="新宋体" w:cs="新宋体"/>
          <w:b/>
          <w:bCs/>
          <w:color w:val="auto"/>
          <w:sz w:val="22"/>
          <w:szCs w:val="22"/>
          <w:highlight w:val="none"/>
        </w:rPr>
      </w:pPr>
    </w:p>
    <w:p w14:paraId="675F96AB">
      <w:pPr>
        <w:spacing w:line="460" w:lineRule="exact"/>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二、打印机技术指标</w:t>
      </w:r>
    </w:p>
    <w:tbl>
      <w:tblPr>
        <w:tblStyle w:val="55"/>
        <w:tblW w:w="4999"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926"/>
        <w:gridCol w:w="1899"/>
        <w:gridCol w:w="7027"/>
      </w:tblGrid>
      <w:tr w14:paraId="0685CCC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shd w:val="clear" w:color="auto" w:fill="auto"/>
            <w:vAlign w:val="center"/>
          </w:tcPr>
          <w:p w14:paraId="5EA26F08">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964" w:type="pct"/>
            <w:shd w:val="clear" w:color="auto" w:fill="auto"/>
            <w:vAlign w:val="center"/>
          </w:tcPr>
          <w:p w14:paraId="093CE123">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技术指标</w:t>
            </w:r>
          </w:p>
        </w:tc>
        <w:tc>
          <w:tcPr>
            <w:tcW w:w="3564" w:type="pct"/>
            <w:shd w:val="clear" w:color="auto" w:fill="auto"/>
            <w:vAlign w:val="center"/>
          </w:tcPr>
          <w:p w14:paraId="5F2B7F99">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技术要求</w:t>
            </w:r>
          </w:p>
        </w:tc>
      </w:tr>
      <w:tr w14:paraId="20930D9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478B4263">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964" w:type="pct"/>
            <w:vAlign w:val="center"/>
          </w:tcPr>
          <w:p w14:paraId="1C54BC0C">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黑白打印机参数</w:t>
            </w:r>
          </w:p>
          <w:p w14:paraId="01615604">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（打印量需求较小的）</w:t>
            </w:r>
          </w:p>
        </w:tc>
        <w:tc>
          <w:tcPr>
            <w:tcW w:w="3564" w:type="pct"/>
            <w:vAlign w:val="center"/>
          </w:tcPr>
          <w:p w14:paraId="007A6FC3">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打印分辨率≥1440*720dpi；</w:t>
            </w:r>
          </w:p>
          <w:p w14:paraId="05835DA9">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默认黑色分辨率≥360*360dpi；</w:t>
            </w:r>
          </w:p>
          <w:p w14:paraId="1D7CEFDA">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最高打印速度≥34ppm,14ipm；</w:t>
            </w:r>
          </w:p>
          <w:p w14:paraId="73F61993">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首页输出时间≤9秒；</w:t>
            </w:r>
          </w:p>
          <w:p w14:paraId="74499559">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月打印负荷≥5000页；</w:t>
            </w:r>
          </w:p>
          <w:p w14:paraId="063EFEA8">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进纸器容量≥100页；</w:t>
            </w:r>
          </w:p>
          <w:p w14:paraId="63589CAD">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墨盒容量≥2400页;</w:t>
            </w:r>
          </w:p>
          <w:p w14:paraId="739F148E">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使用颜料墨水或者碳粉；</w:t>
            </w:r>
          </w:p>
          <w:p w14:paraId="03A98670">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可通过usb连接方式或者网络方式监控打印设备状态,耗材使用情况、报警信息、打印页数等;</w:t>
            </w:r>
          </w:p>
          <w:p w14:paraId="4001E6F2">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具有打印计数功能；</w:t>
            </w:r>
          </w:p>
          <w:p w14:paraId="4C03D199">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耗电量≤12W</w:t>
            </w:r>
          </w:p>
        </w:tc>
      </w:tr>
      <w:tr w14:paraId="4F2CCFF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75763097">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964" w:type="pct"/>
            <w:vAlign w:val="center"/>
          </w:tcPr>
          <w:p w14:paraId="40A04397">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黑白打印机参数</w:t>
            </w:r>
          </w:p>
          <w:p w14:paraId="7512AC64">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（打印量需求大的）</w:t>
            </w:r>
          </w:p>
        </w:tc>
        <w:tc>
          <w:tcPr>
            <w:tcW w:w="3564" w:type="pct"/>
            <w:vAlign w:val="center"/>
          </w:tcPr>
          <w:p w14:paraId="143FF559">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最大分辨率≥1200*2400dpi；</w:t>
            </w:r>
          </w:p>
          <w:p w14:paraId="455C2DD6">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默认黑色分辨率1200*1200dpi；</w:t>
            </w:r>
          </w:p>
          <w:p w14:paraId="49AAC294">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最高打印速度≥34ppm,20ipm；</w:t>
            </w:r>
          </w:p>
          <w:p w14:paraId="7E1A09A9">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首页输出时间≤8秒；</w:t>
            </w:r>
          </w:p>
          <w:p w14:paraId="038034EB">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支持自动双面打印；</w:t>
            </w:r>
          </w:p>
          <w:p w14:paraId="0CD74329">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进纸器容量标配底部纸盒≥250页，最大≥500页；</w:t>
            </w:r>
          </w:p>
          <w:p w14:paraId="29DCFFAF">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标配上部进纸器≥80页;</w:t>
            </w:r>
          </w:p>
          <w:p w14:paraId="4B370B29">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月打印负荷≥45000页；</w:t>
            </w:r>
          </w:p>
          <w:p w14:paraId="5B29449D">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墨盒容量≥10000页；</w:t>
            </w:r>
          </w:p>
          <w:p w14:paraId="76E8B16E">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支持移动/远程打印；</w:t>
            </w:r>
          </w:p>
          <w:p w14:paraId="21A467F1">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使用颜料墨水；</w:t>
            </w:r>
          </w:p>
          <w:p w14:paraId="7EB96591">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可通过usb连接方式或者网络方式监控打印设备状态,耗材使用情况、报警信息、打印页数等;</w:t>
            </w:r>
          </w:p>
          <w:p w14:paraId="2808205A">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具有打印计数功能；</w:t>
            </w:r>
          </w:p>
          <w:p w14:paraId="4D7EDEE7">
            <w:pPr>
              <w:tabs>
                <w:tab w:val="left" w:pos="360"/>
              </w:tabs>
              <w:spacing w:line="460" w:lineRule="exact"/>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耗电量≤25W。</w:t>
            </w:r>
          </w:p>
        </w:tc>
      </w:tr>
      <w:tr w14:paraId="4282968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275D7ADC">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p>
        </w:tc>
        <w:tc>
          <w:tcPr>
            <w:tcW w:w="964" w:type="pct"/>
            <w:vAlign w:val="center"/>
          </w:tcPr>
          <w:p w14:paraId="1D356031">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彩色打印机参数</w:t>
            </w:r>
          </w:p>
        </w:tc>
        <w:tc>
          <w:tcPr>
            <w:tcW w:w="3564" w:type="pct"/>
            <w:vAlign w:val="center"/>
          </w:tcPr>
          <w:p w14:paraId="06F2796A">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最大分辨率≥4800*1200dpi；</w:t>
            </w:r>
          </w:p>
          <w:p w14:paraId="188870F0">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默认黑色分辨率600*600dpi；</w:t>
            </w:r>
          </w:p>
          <w:p w14:paraId="39FBB9F2">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最高打印速度≥34页/分钟；</w:t>
            </w:r>
          </w:p>
          <w:p w14:paraId="4EBC7299">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首页输出时间≤黑白/彩色均为5秒</w:t>
            </w:r>
          </w:p>
          <w:p w14:paraId="79639C2B">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支持自动双面打印；</w:t>
            </w:r>
          </w:p>
          <w:p w14:paraId="19138060">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进纸器容量标配底部纸盒≥250页，最高750页；</w:t>
            </w:r>
          </w:p>
          <w:p w14:paraId="4E4FFA1C">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标配上部进纸器≥80页;</w:t>
            </w:r>
          </w:p>
          <w:p w14:paraId="5372D389">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耗材容量≥黑白10,000页、彩色5,000页；</w:t>
            </w:r>
          </w:p>
          <w:p w14:paraId="0159B7AE">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支持移动/远程打印；</w:t>
            </w:r>
          </w:p>
          <w:p w14:paraId="4CC0AB5A">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使用颜料墨水；</w:t>
            </w:r>
          </w:p>
          <w:p w14:paraId="4EEEEB78">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可通过usb连接方式或者网络方式监控打印设备状态,耗材使用情况、报警信息、打印页数等;</w:t>
            </w:r>
          </w:p>
          <w:p w14:paraId="511F2E1E">
            <w:pPr>
              <w:tabs>
                <w:tab w:val="left" w:pos="36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具有打印计数功能；</w:t>
            </w:r>
          </w:p>
          <w:p w14:paraId="7253B265">
            <w:pPr>
              <w:tabs>
                <w:tab w:val="left" w:pos="360"/>
              </w:tabs>
              <w:spacing w:line="460" w:lineRule="exact"/>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耗电量≤37W</w:t>
            </w:r>
          </w:p>
        </w:tc>
      </w:tr>
      <w:tr w14:paraId="6F48188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6D5891F7">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w:t>
            </w:r>
          </w:p>
        </w:tc>
        <w:tc>
          <w:tcPr>
            <w:tcW w:w="964" w:type="pct"/>
            <w:vAlign w:val="center"/>
          </w:tcPr>
          <w:p w14:paraId="654232B0">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复合打印机参数</w:t>
            </w:r>
          </w:p>
        </w:tc>
        <w:tc>
          <w:tcPr>
            <w:tcW w:w="3564" w:type="pct"/>
            <w:vAlign w:val="center"/>
          </w:tcPr>
          <w:p w14:paraId="2A0CE796">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标配复印、打印、扫描、传真四合一复合机，同时扫描双面，双面复印、扫描、打印；</w:t>
            </w:r>
          </w:p>
          <w:p w14:paraId="7A424756">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最大分辨率≥4800×1200dpi；</w:t>
            </w:r>
          </w:p>
          <w:p w14:paraId="26F22586">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打印分辨率≥4800*1200dpi；</w:t>
            </w:r>
          </w:p>
          <w:p w14:paraId="6F74E5B0">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最大扫描分辨率≥9600dpi；</w:t>
            </w:r>
          </w:p>
          <w:p w14:paraId="62C41D81">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最高打印速度≥32ppm；24ipm；</w:t>
            </w:r>
          </w:p>
          <w:p w14:paraId="17841E7B">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首页输出时间≤5.5秒；</w:t>
            </w:r>
          </w:p>
          <w:p w14:paraId="527D3A29">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支持自动双面打印；</w:t>
            </w:r>
          </w:p>
          <w:p w14:paraId="70ABA076">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标配放纸张数≥550页；</w:t>
            </w:r>
          </w:p>
          <w:p w14:paraId="43C8C40B">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墨盒容量≥黑白11500页，彩色8000页</w:t>
            </w:r>
          </w:p>
          <w:p w14:paraId="4FF6E992">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支持移动/远程打印；</w:t>
            </w:r>
          </w:p>
          <w:p w14:paraId="77167EAA">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具有打印计数功能；</w:t>
            </w:r>
          </w:p>
          <w:p w14:paraId="2A1E9BBD">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使用颜料墨水或者碳粉；</w:t>
            </w:r>
          </w:p>
          <w:p w14:paraId="199FD251">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可通过USB连接方式或者网络方式监控打印设备状态,耗材使用情况、报警信息、打印页数等；</w:t>
            </w:r>
          </w:p>
          <w:p w14:paraId="156DD0A4">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备必须有WIFI连接功能，EDA功能可通过usb、WIFI或者网络方式连接，能实现查看设备常规信息：IP地址、序列号、安装日期等；能查看设备状态及耗材情况并能查看耗材更新日期；查看打印历史记录分别统计彩色、黑白、A3、A4及其他规格打印张数；可以做到维护箱寿命预警提示，维护棍寿命预警提示，卡纸预警提示，并发送邮件到管理员邮箱；能设置报表统计日期每月固定日期自动发送报表邮件到管理员邮箱里。</w:t>
            </w:r>
          </w:p>
        </w:tc>
      </w:tr>
      <w:tr w14:paraId="380ABAC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3"/>
            <w:vAlign w:val="center"/>
          </w:tcPr>
          <w:p w14:paraId="211EC028">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服务要求</w:t>
            </w:r>
          </w:p>
        </w:tc>
      </w:tr>
      <w:tr w14:paraId="5E882FC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2A5A0C98">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1</w:t>
            </w:r>
          </w:p>
        </w:tc>
        <w:tc>
          <w:tcPr>
            <w:tcW w:w="4529" w:type="pct"/>
            <w:gridSpan w:val="2"/>
            <w:vAlign w:val="center"/>
          </w:tcPr>
          <w:p w14:paraId="2E2B4907">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打印/复印质量：黑白打印/复印输出结果应为实心黑线，清晰，并且至少达到无背景。打印整齐并校对正确，单张品质一致。彩色打印校色正确，能正常分辨，且满足各科室的打印需求无投诉。</w:t>
            </w:r>
          </w:p>
        </w:tc>
      </w:tr>
      <w:tr w14:paraId="668DBEF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3A7D0754">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2</w:t>
            </w:r>
          </w:p>
        </w:tc>
        <w:tc>
          <w:tcPr>
            <w:tcW w:w="4529" w:type="pct"/>
            <w:gridSpan w:val="2"/>
            <w:vAlign w:val="center"/>
          </w:tcPr>
          <w:p w14:paraId="414A7453">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文印设备可使用率≥99%</w:t>
            </w:r>
          </w:p>
        </w:tc>
      </w:tr>
      <w:tr w14:paraId="51FC8F9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5D460130">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3</w:t>
            </w:r>
          </w:p>
        </w:tc>
        <w:tc>
          <w:tcPr>
            <w:tcW w:w="4529" w:type="pct"/>
            <w:gridSpan w:val="2"/>
            <w:vAlign w:val="center"/>
          </w:tcPr>
          <w:p w14:paraId="1891B721">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文印设备卡纸率＜2%</w:t>
            </w:r>
          </w:p>
        </w:tc>
      </w:tr>
      <w:tr w14:paraId="74C5238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3AC1942E">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4</w:t>
            </w:r>
          </w:p>
        </w:tc>
        <w:tc>
          <w:tcPr>
            <w:tcW w:w="4529" w:type="pct"/>
            <w:gridSpan w:val="2"/>
            <w:vAlign w:val="center"/>
          </w:tcPr>
          <w:p w14:paraId="013AB161">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文印设备一次修复率≥96%</w:t>
            </w:r>
          </w:p>
        </w:tc>
      </w:tr>
      <w:tr w14:paraId="6C1DCCB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145A9CD5">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5</w:t>
            </w:r>
          </w:p>
        </w:tc>
        <w:tc>
          <w:tcPr>
            <w:tcW w:w="4529" w:type="pct"/>
            <w:gridSpan w:val="2"/>
            <w:vAlign w:val="center"/>
          </w:tcPr>
          <w:p w14:paraId="20E3557A">
            <w:pPr>
              <w:pStyle w:val="21"/>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▲合同签订后需投入不少于</w:t>
            </w:r>
            <w:r>
              <w:rPr>
                <w:rFonts w:hint="eastAsia" w:ascii="新宋体" w:hAnsi="新宋体" w:eastAsia="新宋体" w:cs="新宋体"/>
                <w:color w:val="auto"/>
                <w:sz w:val="22"/>
                <w:szCs w:val="22"/>
                <w:highlight w:val="none"/>
                <w:lang w:val="en-US" w:eastAsia="zh-CN"/>
              </w:rPr>
              <w:t>155</w:t>
            </w:r>
            <w:r>
              <w:rPr>
                <w:rFonts w:hint="eastAsia" w:ascii="新宋体" w:hAnsi="新宋体" w:eastAsia="新宋体" w:cs="新宋体"/>
                <w:color w:val="auto"/>
                <w:sz w:val="22"/>
                <w:szCs w:val="22"/>
                <w:highlight w:val="none"/>
              </w:rPr>
              <w:t>台文印设备，并维护医院各个院区及门诊文印设备，设备分布数量可来医院现场考察（含黑白喷墨及激光打印机、彩色喷墨及激光打印机、针式打印机、条码打印机、热敏打印机、多功能一体机等），同时提供文印设备正常运转所需的硒鼓、墨盒、色带、碳带、配件及维修箱等所需的所有文印耗材及设备维修所需的配件（纸张除外）。</w:t>
            </w:r>
          </w:p>
        </w:tc>
      </w:tr>
      <w:tr w14:paraId="27ADC8B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32480962">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6</w:t>
            </w:r>
          </w:p>
        </w:tc>
        <w:tc>
          <w:tcPr>
            <w:tcW w:w="4529" w:type="pct"/>
            <w:gridSpan w:val="2"/>
            <w:vAlign w:val="center"/>
          </w:tcPr>
          <w:p w14:paraId="70E372B4">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▲提供至少1名驻场服务工程师，常规驻场时间与医院作息时间相符。节假日按医院要求响应报修需求。对文印设备进行维修保养，响应各科室需求，如碰到特殊情况需按我院要求加派人员提供服务。</w:t>
            </w:r>
          </w:p>
        </w:tc>
      </w:tr>
      <w:tr w14:paraId="20FA08A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45F9E9BA">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7</w:t>
            </w:r>
          </w:p>
        </w:tc>
        <w:tc>
          <w:tcPr>
            <w:tcW w:w="4529" w:type="pct"/>
            <w:gridSpan w:val="2"/>
            <w:vAlign w:val="center"/>
          </w:tcPr>
          <w:p w14:paraId="505476AD">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合同签订后，医院现有的打印机及配套耗材委托给中标人维护维修，同时协助院方处理相关故障问题。</w:t>
            </w:r>
          </w:p>
        </w:tc>
      </w:tr>
      <w:tr w14:paraId="5D10DA8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43611C32">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8</w:t>
            </w:r>
          </w:p>
        </w:tc>
        <w:tc>
          <w:tcPr>
            <w:tcW w:w="4529" w:type="pct"/>
            <w:gridSpan w:val="2"/>
            <w:vAlign w:val="center"/>
          </w:tcPr>
          <w:p w14:paraId="481A86C2">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投标人提供通用软件等相关扫码故障报修工单受理登记服务，要求软硬件故障工单登记率100%。</w:t>
            </w:r>
          </w:p>
        </w:tc>
      </w:tr>
      <w:tr w14:paraId="7034024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27919DEA">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9</w:t>
            </w:r>
          </w:p>
        </w:tc>
        <w:tc>
          <w:tcPr>
            <w:tcW w:w="4529" w:type="pct"/>
            <w:gridSpan w:val="2"/>
            <w:vAlign w:val="center"/>
          </w:tcPr>
          <w:p w14:paraId="3CB555E7">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设备故障响应要求，驻场工程师须在5分钟内响应，15分钟内到场，半小时内解决问题，如果不能按要求解决的应提供备用机器。</w:t>
            </w:r>
          </w:p>
        </w:tc>
      </w:tr>
      <w:tr w14:paraId="7742433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185681D4">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0</w:t>
            </w:r>
          </w:p>
        </w:tc>
        <w:tc>
          <w:tcPr>
            <w:tcW w:w="4529" w:type="pct"/>
            <w:gridSpan w:val="2"/>
            <w:vAlign w:val="center"/>
          </w:tcPr>
          <w:p w14:paraId="690C0292">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打印设备管理软件</w:t>
            </w:r>
            <w:r>
              <w:rPr>
                <w:rFonts w:hint="eastAsia" w:ascii="新宋体" w:hAnsi="新宋体" w:eastAsia="新宋体" w:cs="新宋体"/>
                <w:color w:val="auto"/>
                <w:sz w:val="22"/>
                <w:szCs w:val="22"/>
                <w:highlight w:val="none"/>
              </w:rPr>
              <w:t>具有</w:t>
            </w:r>
            <w:r>
              <w:rPr>
                <w:rFonts w:hint="eastAsia" w:ascii="新宋体" w:hAnsi="新宋体" w:eastAsia="新宋体" w:cs="新宋体"/>
                <w:color w:val="auto"/>
                <w:sz w:val="22"/>
                <w:szCs w:val="22"/>
                <w:highlight w:val="none"/>
                <w:lang w:val="zh-CN"/>
              </w:rPr>
              <w:t>设备管理</w:t>
            </w:r>
            <w:r>
              <w:rPr>
                <w:rFonts w:hint="eastAsia" w:ascii="新宋体" w:hAnsi="新宋体" w:eastAsia="新宋体" w:cs="新宋体"/>
                <w:color w:val="auto"/>
                <w:sz w:val="22"/>
                <w:szCs w:val="22"/>
                <w:highlight w:val="none"/>
              </w:rPr>
              <w:t>功能</w:t>
            </w:r>
            <w:r>
              <w:rPr>
                <w:rFonts w:hint="eastAsia" w:ascii="新宋体" w:hAnsi="新宋体" w:eastAsia="新宋体" w:cs="新宋体"/>
                <w:color w:val="auto"/>
                <w:sz w:val="22"/>
                <w:szCs w:val="22"/>
                <w:highlight w:val="none"/>
                <w:lang w:val="zh-CN"/>
              </w:rPr>
              <w:t>（数据统计、故障保修）。</w:t>
            </w:r>
          </w:p>
        </w:tc>
      </w:tr>
      <w:tr w14:paraId="7F48180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72633BFD">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1</w:t>
            </w:r>
          </w:p>
        </w:tc>
        <w:tc>
          <w:tcPr>
            <w:tcW w:w="4529" w:type="pct"/>
            <w:gridSpan w:val="2"/>
            <w:vAlign w:val="center"/>
          </w:tcPr>
          <w:p w14:paraId="55803254">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打印设备管理软件</w:t>
            </w:r>
            <w:r>
              <w:rPr>
                <w:rFonts w:hint="eastAsia" w:ascii="新宋体" w:hAnsi="新宋体" w:eastAsia="新宋体" w:cs="新宋体"/>
                <w:color w:val="auto"/>
                <w:sz w:val="22"/>
                <w:szCs w:val="22"/>
                <w:highlight w:val="none"/>
              </w:rPr>
              <w:t>具有</w:t>
            </w:r>
            <w:r>
              <w:rPr>
                <w:rFonts w:hint="eastAsia" w:ascii="新宋体" w:hAnsi="新宋体" w:eastAsia="新宋体" w:cs="新宋体"/>
                <w:color w:val="auto"/>
                <w:sz w:val="22"/>
                <w:szCs w:val="22"/>
                <w:highlight w:val="none"/>
                <w:lang w:val="zh-CN"/>
              </w:rPr>
              <w:t>耗材</w:t>
            </w:r>
            <w:r>
              <w:rPr>
                <w:rFonts w:hint="eastAsia" w:ascii="新宋体" w:hAnsi="新宋体" w:eastAsia="新宋体" w:cs="新宋体"/>
                <w:color w:val="auto"/>
                <w:sz w:val="22"/>
                <w:szCs w:val="22"/>
                <w:highlight w:val="none"/>
              </w:rPr>
              <w:t>提醒功能（耗材状态</w:t>
            </w:r>
            <w:r>
              <w:rPr>
                <w:rFonts w:hint="eastAsia" w:ascii="新宋体" w:hAnsi="新宋体" w:eastAsia="新宋体" w:cs="新宋体"/>
                <w:color w:val="auto"/>
                <w:sz w:val="22"/>
                <w:szCs w:val="22"/>
                <w:highlight w:val="none"/>
                <w:lang w:val="zh-CN"/>
              </w:rPr>
              <w:t>）。</w:t>
            </w:r>
          </w:p>
        </w:tc>
      </w:tr>
      <w:tr w14:paraId="13CA50C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47A0FA75">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2</w:t>
            </w:r>
          </w:p>
        </w:tc>
        <w:tc>
          <w:tcPr>
            <w:tcW w:w="4529" w:type="pct"/>
            <w:gridSpan w:val="2"/>
            <w:vAlign w:val="center"/>
          </w:tcPr>
          <w:p w14:paraId="2FD711C5">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打印设备管理软件</w:t>
            </w:r>
            <w:r>
              <w:rPr>
                <w:rFonts w:hint="eastAsia" w:ascii="新宋体" w:hAnsi="新宋体" w:eastAsia="新宋体" w:cs="新宋体"/>
                <w:color w:val="auto"/>
                <w:sz w:val="22"/>
                <w:szCs w:val="22"/>
                <w:highlight w:val="none"/>
              </w:rPr>
              <w:t>具有</w:t>
            </w:r>
            <w:r>
              <w:rPr>
                <w:rFonts w:hint="eastAsia" w:ascii="新宋体" w:hAnsi="新宋体" w:eastAsia="新宋体" w:cs="新宋体"/>
                <w:color w:val="auto"/>
                <w:sz w:val="22"/>
                <w:szCs w:val="22"/>
                <w:highlight w:val="none"/>
                <w:lang w:val="zh-CN"/>
              </w:rPr>
              <w:t>远程监控</w:t>
            </w:r>
            <w:r>
              <w:rPr>
                <w:rFonts w:hint="eastAsia" w:ascii="新宋体" w:hAnsi="新宋体" w:eastAsia="新宋体" w:cs="新宋体"/>
                <w:color w:val="auto"/>
                <w:sz w:val="22"/>
                <w:szCs w:val="22"/>
                <w:highlight w:val="none"/>
              </w:rPr>
              <w:t>功能</w:t>
            </w:r>
            <w:r>
              <w:rPr>
                <w:rFonts w:hint="eastAsia" w:ascii="新宋体" w:hAnsi="新宋体" w:eastAsia="新宋体" w:cs="新宋体"/>
                <w:color w:val="auto"/>
                <w:sz w:val="22"/>
                <w:szCs w:val="22"/>
                <w:highlight w:val="none"/>
                <w:lang w:val="zh-CN"/>
              </w:rPr>
              <w:t>（报警</w:t>
            </w:r>
            <w:r>
              <w:rPr>
                <w:rFonts w:hint="eastAsia" w:ascii="新宋体" w:hAnsi="新宋体" w:eastAsia="新宋体" w:cs="新宋体"/>
                <w:color w:val="auto"/>
                <w:sz w:val="22"/>
                <w:szCs w:val="22"/>
                <w:highlight w:val="none"/>
              </w:rPr>
              <w:t>监控</w:t>
            </w:r>
            <w:r>
              <w:rPr>
                <w:rFonts w:hint="eastAsia" w:ascii="新宋体" w:hAnsi="新宋体" w:eastAsia="新宋体" w:cs="新宋体"/>
                <w:color w:val="auto"/>
                <w:sz w:val="22"/>
                <w:szCs w:val="22"/>
                <w:highlight w:val="none"/>
                <w:lang w:val="zh-CN"/>
              </w:rPr>
              <w:t>、打印</w:t>
            </w:r>
            <w:r>
              <w:rPr>
                <w:rFonts w:hint="eastAsia" w:ascii="新宋体" w:hAnsi="新宋体" w:eastAsia="新宋体" w:cs="新宋体"/>
                <w:color w:val="auto"/>
                <w:sz w:val="22"/>
                <w:szCs w:val="22"/>
                <w:highlight w:val="none"/>
              </w:rPr>
              <w:t>计数</w:t>
            </w:r>
            <w:r>
              <w:rPr>
                <w:rFonts w:hint="eastAsia" w:ascii="新宋体" w:hAnsi="新宋体" w:eastAsia="新宋体" w:cs="新宋体"/>
                <w:color w:val="auto"/>
                <w:sz w:val="22"/>
                <w:szCs w:val="22"/>
                <w:highlight w:val="none"/>
                <w:lang w:val="zh-CN"/>
              </w:rPr>
              <w:t>）。</w:t>
            </w:r>
          </w:p>
        </w:tc>
      </w:tr>
      <w:tr w14:paraId="614CED1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648AD179">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3</w:t>
            </w:r>
          </w:p>
        </w:tc>
        <w:tc>
          <w:tcPr>
            <w:tcW w:w="4529" w:type="pct"/>
            <w:gridSpan w:val="2"/>
            <w:vAlign w:val="center"/>
          </w:tcPr>
          <w:p w14:paraId="0407BC8B">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打印设备管理软件</w:t>
            </w:r>
            <w:r>
              <w:rPr>
                <w:rFonts w:hint="eastAsia" w:ascii="新宋体" w:hAnsi="新宋体" w:eastAsia="新宋体" w:cs="新宋体"/>
                <w:color w:val="auto"/>
                <w:sz w:val="22"/>
                <w:szCs w:val="22"/>
                <w:highlight w:val="none"/>
              </w:rPr>
              <w:t>具有主动预警功能（</w:t>
            </w:r>
            <w:r>
              <w:rPr>
                <w:rFonts w:hint="eastAsia" w:ascii="新宋体" w:hAnsi="新宋体" w:eastAsia="新宋体" w:cs="新宋体"/>
                <w:color w:val="auto"/>
                <w:sz w:val="22"/>
                <w:szCs w:val="22"/>
                <w:highlight w:val="none"/>
                <w:lang w:val="zh-CN"/>
              </w:rPr>
              <w:t>打印</w:t>
            </w:r>
            <w:r>
              <w:rPr>
                <w:rFonts w:hint="eastAsia" w:ascii="新宋体" w:hAnsi="新宋体" w:eastAsia="新宋体" w:cs="新宋体"/>
                <w:color w:val="auto"/>
                <w:sz w:val="22"/>
                <w:szCs w:val="22"/>
                <w:highlight w:val="none"/>
              </w:rPr>
              <w:t>质量、</w:t>
            </w:r>
            <w:r>
              <w:rPr>
                <w:rFonts w:hint="eastAsia" w:ascii="新宋体" w:hAnsi="新宋体" w:eastAsia="新宋体" w:cs="新宋体"/>
                <w:color w:val="auto"/>
                <w:sz w:val="22"/>
                <w:szCs w:val="22"/>
                <w:highlight w:val="none"/>
                <w:lang w:val="zh-CN"/>
              </w:rPr>
              <w:t>预警邮件）。</w:t>
            </w:r>
          </w:p>
        </w:tc>
      </w:tr>
      <w:tr w14:paraId="0ADECCB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2604A554">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14</w:t>
            </w:r>
          </w:p>
        </w:tc>
        <w:tc>
          <w:tcPr>
            <w:tcW w:w="4529" w:type="pct"/>
            <w:gridSpan w:val="2"/>
            <w:vAlign w:val="center"/>
          </w:tcPr>
          <w:p w14:paraId="51ED3125">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打印设备管理软件</w:t>
            </w:r>
            <w:r>
              <w:rPr>
                <w:rFonts w:hint="eastAsia" w:ascii="新宋体" w:hAnsi="新宋体" w:eastAsia="新宋体" w:cs="新宋体"/>
                <w:color w:val="auto"/>
                <w:sz w:val="22"/>
                <w:szCs w:val="22"/>
                <w:highlight w:val="none"/>
              </w:rPr>
              <w:t>具有</w:t>
            </w:r>
            <w:r>
              <w:rPr>
                <w:rFonts w:hint="eastAsia" w:ascii="新宋体" w:hAnsi="新宋体" w:eastAsia="新宋体" w:cs="新宋体"/>
                <w:color w:val="auto"/>
                <w:sz w:val="22"/>
                <w:szCs w:val="22"/>
                <w:highlight w:val="none"/>
                <w:lang w:val="zh-CN"/>
              </w:rPr>
              <w:t>定期发送打印量报告</w:t>
            </w:r>
            <w:r>
              <w:rPr>
                <w:rFonts w:hint="eastAsia" w:ascii="新宋体" w:hAnsi="新宋体" w:eastAsia="新宋体" w:cs="新宋体"/>
                <w:color w:val="auto"/>
                <w:sz w:val="22"/>
                <w:szCs w:val="22"/>
                <w:highlight w:val="none"/>
              </w:rPr>
              <w:t>功能</w:t>
            </w:r>
            <w:r>
              <w:rPr>
                <w:rFonts w:hint="eastAsia" w:ascii="新宋体" w:hAnsi="新宋体" w:eastAsia="新宋体" w:cs="新宋体"/>
                <w:color w:val="auto"/>
                <w:sz w:val="22"/>
                <w:szCs w:val="22"/>
                <w:highlight w:val="none"/>
                <w:lang w:val="zh-CN"/>
              </w:rPr>
              <w:t>。</w:t>
            </w:r>
          </w:p>
        </w:tc>
      </w:tr>
      <w:tr w14:paraId="602FB4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27DADB7D">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5</w:t>
            </w:r>
          </w:p>
        </w:tc>
        <w:tc>
          <w:tcPr>
            <w:tcW w:w="4529" w:type="pct"/>
            <w:gridSpan w:val="2"/>
            <w:vAlign w:val="center"/>
          </w:tcPr>
          <w:p w14:paraId="3BD0AE4D">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打印设备</w:t>
            </w:r>
            <w:r>
              <w:rPr>
                <w:rFonts w:hint="eastAsia" w:ascii="新宋体" w:hAnsi="新宋体" w:eastAsia="新宋体" w:cs="新宋体"/>
                <w:color w:val="auto"/>
                <w:sz w:val="22"/>
                <w:szCs w:val="22"/>
                <w:highlight w:val="none"/>
              </w:rPr>
              <w:t>维修工单系统的报修端具备扫码报修功能，具备查看维修状态功能，具备服务评价功能。</w:t>
            </w:r>
          </w:p>
        </w:tc>
      </w:tr>
      <w:tr w14:paraId="06D8C39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1257E7CC">
            <w:pPr>
              <w:spacing w:line="460" w:lineRule="exact"/>
              <w:jc w:val="center"/>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16</w:t>
            </w:r>
          </w:p>
        </w:tc>
        <w:tc>
          <w:tcPr>
            <w:tcW w:w="4529" w:type="pct"/>
            <w:gridSpan w:val="2"/>
            <w:vAlign w:val="center"/>
          </w:tcPr>
          <w:p w14:paraId="70232488">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打印设备</w:t>
            </w:r>
            <w:r>
              <w:rPr>
                <w:rFonts w:hint="eastAsia" w:ascii="新宋体" w:hAnsi="新宋体" w:eastAsia="新宋体" w:cs="新宋体"/>
                <w:color w:val="auto"/>
                <w:sz w:val="22"/>
                <w:szCs w:val="22"/>
                <w:highlight w:val="none"/>
              </w:rPr>
              <w:t>维修工单系统的维修端具备维修抢单、派单功能、巡检功能。</w:t>
            </w:r>
          </w:p>
        </w:tc>
      </w:tr>
      <w:tr w14:paraId="536D3CC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057E0B63">
            <w:pPr>
              <w:spacing w:line="460" w:lineRule="exact"/>
              <w:jc w:val="center"/>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17</w:t>
            </w:r>
          </w:p>
        </w:tc>
        <w:tc>
          <w:tcPr>
            <w:tcW w:w="4529" w:type="pct"/>
            <w:gridSpan w:val="2"/>
            <w:vAlign w:val="center"/>
          </w:tcPr>
          <w:p w14:paraId="5F51F0E2">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打印设备</w:t>
            </w:r>
            <w:r>
              <w:rPr>
                <w:rFonts w:hint="eastAsia" w:ascii="新宋体" w:hAnsi="新宋体" w:eastAsia="新宋体" w:cs="新宋体"/>
                <w:color w:val="auto"/>
                <w:sz w:val="22"/>
                <w:szCs w:val="22"/>
                <w:highlight w:val="none"/>
              </w:rPr>
              <w:t>维修工单系统的管理端具备用户管理、设备管理、维修订单管理、配件耗材管理功能。</w:t>
            </w:r>
          </w:p>
        </w:tc>
      </w:tr>
      <w:tr w14:paraId="294C0C5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141524BB">
            <w:pPr>
              <w:spacing w:line="460" w:lineRule="exact"/>
              <w:jc w:val="center"/>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18</w:t>
            </w:r>
          </w:p>
        </w:tc>
        <w:tc>
          <w:tcPr>
            <w:tcW w:w="4529" w:type="pct"/>
            <w:gridSpan w:val="2"/>
            <w:shd w:val="clear" w:color="auto" w:fill="FFFFFF" w:themeFill="background1"/>
            <w:vAlign w:val="center"/>
          </w:tcPr>
          <w:p w14:paraId="5BFB162C">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合同期内如科室设备老化等原因造成设备无法正常使用，中标人应及时免费提供全新设备。若验收时发现有质量问题的文印设备或低于招标要求的设备，一律予以退换，由此造成的损失及费用全部由中标人承担。</w:t>
            </w:r>
          </w:p>
        </w:tc>
      </w:tr>
      <w:tr w14:paraId="7679CA7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23C1C37F">
            <w:pPr>
              <w:spacing w:line="460" w:lineRule="exact"/>
              <w:jc w:val="center"/>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19</w:t>
            </w:r>
          </w:p>
        </w:tc>
        <w:tc>
          <w:tcPr>
            <w:tcW w:w="4529" w:type="pct"/>
            <w:gridSpan w:val="2"/>
            <w:shd w:val="clear" w:color="auto" w:fill="FFFFFF" w:themeFill="background1"/>
            <w:vAlign w:val="center"/>
          </w:tcPr>
          <w:p w14:paraId="4EC959B8">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合同期内，因厂家停产导致中标机型无法供货的，中标方应提供相同品牌的、经医院认可的参数等于或优于中标机型的设备供货。</w:t>
            </w:r>
          </w:p>
        </w:tc>
      </w:tr>
      <w:tr w14:paraId="10C3482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614CB90D">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lang w:val="en-US" w:eastAsia="zh-CN"/>
              </w:rPr>
              <w:t>0</w:t>
            </w:r>
          </w:p>
        </w:tc>
        <w:tc>
          <w:tcPr>
            <w:tcW w:w="4529" w:type="pct"/>
            <w:gridSpan w:val="2"/>
            <w:shd w:val="clear" w:color="auto" w:fill="FFFFFF" w:themeFill="background1"/>
            <w:vAlign w:val="center"/>
          </w:tcPr>
          <w:p w14:paraId="0AB92AAB">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合作期间按照每个合同期(每年)提供至少20台文印设备用来替换更新医院每年逐步淘汰的文印设备，该项设备由投标人免费提供更换，具体型号需要满足使用要求。</w:t>
            </w:r>
          </w:p>
        </w:tc>
      </w:tr>
      <w:tr w14:paraId="350220F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6068C0A7">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lang w:val="en-US" w:eastAsia="zh-CN"/>
              </w:rPr>
              <w:t>1</w:t>
            </w:r>
          </w:p>
        </w:tc>
        <w:tc>
          <w:tcPr>
            <w:tcW w:w="4529" w:type="pct"/>
            <w:gridSpan w:val="2"/>
            <w:shd w:val="clear" w:color="auto" w:fill="FFFFFF" w:themeFill="background1"/>
            <w:vAlign w:val="center"/>
          </w:tcPr>
          <w:p w14:paraId="1F777C85">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提供合同内文印设备正常运转所需所有正品耗材并负责耗材配送服务和安装服务。</w:t>
            </w:r>
          </w:p>
        </w:tc>
      </w:tr>
      <w:tr w14:paraId="0ECBDBA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066159B3">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lang w:val="en-US" w:eastAsia="zh-CN"/>
              </w:rPr>
              <w:t>2</w:t>
            </w:r>
          </w:p>
        </w:tc>
        <w:tc>
          <w:tcPr>
            <w:tcW w:w="4529" w:type="pct"/>
            <w:gridSpan w:val="2"/>
            <w:shd w:val="clear" w:color="auto" w:fill="FFFFFF" w:themeFill="background1"/>
            <w:vAlign w:val="center"/>
          </w:tcPr>
          <w:p w14:paraId="58D87A55">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中标供应商需备有不少于正常使用的每一类打印设备数量1%（至少1台）做为设备备用机（复印机除外），并备有各型号耗材一个月使用量库存，</w:t>
            </w:r>
            <w:r>
              <w:rPr>
                <w:rFonts w:hint="eastAsia" w:ascii="新宋体" w:hAnsi="新宋体" w:eastAsia="新宋体" w:cs="新宋体"/>
                <w:bCs/>
                <w:color w:val="auto"/>
                <w:sz w:val="22"/>
                <w:szCs w:val="22"/>
                <w:highlight w:val="none"/>
              </w:rPr>
              <w:t>所有备机、耗材备货均须放在招标人指定场地。</w:t>
            </w:r>
          </w:p>
        </w:tc>
      </w:tr>
      <w:tr w14:paraId="71012D1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04FB842A">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lang w:val="en-US" w:eastAsia="zh-CN"/>
              </w:rPr>
              <w:t>3</w:t>
            </w:r>
          </w:p>
        </w:tc>
        <w:tc>
          <w:tcPr>
            <w:tcW w:w="4529" w:type="pct"/>
            <w:gridSpan w:val="2"/>
            <w:vAlign w:val="center"/>
          </w:tcPr>
          <w:p w14:paraId="60726C1C">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提供针对该外包服务相关的一站式服务管理平台，该平台具有租赁等功能。</w:t>
            </w:r>
          </w:p>
        </w:tc>
      </w:tr>
      <w:tr w14:paraId="589E301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462A9FD5">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lang w:val="en-US" w:eastAsia="zh-CN"/>
              </w:rPr>
              <w:t>4</w:t>
            </w:r>
          </w:p>
        </w:tc>
        <w:tc>
          <w:tcPr>
            <w:tcW w:w="4529" w:type="pct"/>
            <w:gridSpan w:val="2"/>
            <w:vAlign w:val="center"/>
          </w:tcPr>
          <w:p w14:paraId="76441AF7">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每月一次现场常规检修，提供巡检报告，汇总统计全院文印设备数量（包括自有台数，报废台数，租用台数，增加租用台数）</w:t>
            </w:r>
          </w:p>
        </w:tc>
      </w:tr>
      <w:tr w14:paraId="1C8F31C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6136DFEA">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lang w:val="en-US" w:eastAsia="zh-CN"/>
              </w:rPr>
              <w:t>5</w:t>
            </w:r>
          </w:p>
        </w:tc>
        <w:tc>
          <w:tcPr>
            <w:tcW w:w="4529" w:type="pct"/>
            <w:gridSpan w:val="2"/>
            <w:vAlign w:val="center"/>
          </w:tcPr>
          <w:p w14:paraId="104B005B">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中标人承诺免费更换所有医院打印类设备的故障硬件，不再收取任何其他的相关费用，如劳务、交通费等。</w:t>
            </w:r>
          </w:p>
        </w:tc>
      </w:tr>
      <w:tr w14:paraId="0A84DD5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470" w:type="pct"/>
            <w:vAlign w:val="center"/>
          </w:tcPr>
          <w:p w14:paraId="63D36AF6">
            <w:pPr>
              <w:spacing w:line="460" w:lineRule="exact"/>
              <w:jc w:val="center"/>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26</w:t>
            </w:r>
          </w:p>
        </w:tc>
        <w:tc>
          <w:tcPr>
            <w:tcW w:w="4529" w:type="pct"/>
            <w:gridSpan w:val="2"/>
            <w:vAlign w:val="center"/>
          </w:tcPr>
          <w:p w14:paraId="28A52D09">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标人应对我院文印设备布局、型号进行定期的维护管理和配置优化，确保我院整体打印系统运转的高效、稳定和安全，减少和避免系统性能瓶颈，杜绝打印安全事故，并且能根据我院实际需求，每年提供1份打印管理服务的合理化建议和方案。</w:t>
            </w:r>
          </w:p>
        </w:tc>
      </w:tr>
    </w:tbl>
    <w:p w14:paraId="7B762E95">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三、商务条款</w:t>
      </w:r>
    </w:p>
    <w:p w14:paraId="360E0D6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1、服务期限</w:t>
      </w:r>
    </w:p>
    <w:p w14:paraId="6EAC051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服务期限壹年。</w:t>
      </w:r>
    </w:p>
    <w:p w14:paraId="63070BC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2、报价方式</w:t>
      </w:r>
    </w:p>
    <w:p w14:paraId="5C397DB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（1）所有投标价格为含税到用户人民币价（含货物应交纳的一切税费和伴随服务费）并进行分项报价。</w:t>
      </w:r>
    </w:p>
    <w:p w14:paraId="662C259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（2）质保期后的维保费单独报价，货物各配件维修费用分项报价（不包括在投标价中）。</w:t>
      </w:r>
    </w:p>
    <w:p w14:paraId="4F79DC1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3、付款方式</w:t>
      </w:r>
    </w:p>
    <w:p w14:paraId="4B14450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（1）常规打印机外包服务费：合同签订后一个月内，甲方向乙方支付常规打印机外包服务费的40%，6个月后支付常规打印机外包服务费的20%，服务期满支付剩余40%的常规打印机外包服务费。</w:t>
      </w:r>
    </w:p>
    <w:p w14:paraId="2BA2109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（2）超额打印机外包服务：服务期满，双方根据实际新增文印设备数量及其投放天数另行结算。</w:t>
      </w:r>
    </w:p>
    <w:p w14:paraId="15F4B43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（3）甲方每次付款前，乙方应提供对应金额的增值税发票。</w:t>
      </w:r>
    </w:p>
    <w:p w14:paraId="634D0A4D">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4、交货方式</w:t>
      </w:r>
    </w:p>
    <w:p w14:paraId="1148D0B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（1）交货期限，第一批设备（数量、型号按医院需要，约</w:t>
      </w:r>
      <w:r>
        <w:rPr>
          <w:rFonts w:hint="eastAsia" w:ascii="新宋体" w:hAnsi="新宋体" w:eastAsia="新宋体" w:cs="新宋体"/>
          <w:color w:val="auto"/>
          <w:sz w:val="22"/>
          <w:szCs w:val="22"/>
          <w:highlight w:val="none"/>
          <w:lang w:val="en-US" w:eastAsia="zh-CN"/>
        </w:rPr>
        <w:t>155</w:t>
      </w:r>
      <w:r>
        <w:rPr>
          <w:rFonts w:hint="eastAsia" w:ascii="新宋体" w:hAnsi="新宋体" w:eastAsia="新宋体" w:cs="新宋体"/>
          <w:color w:val="auto"/>
          <w:sz w:val="22"/>
          <w:szCs w:val="22"/>
          <w:highlight w:val="none"/>
        </w:rPr>
        <w:t>台）在合同签订后2周内交货安装验收，之后中标方在审批单完成后5个工作日内到货安装验收。合同期内中标方应在5个工作日内将相应耗材按医院要求的数量及时送达医院指定的地点。耗材剩余有效期为3个月以上，保质期内免费更换。</w:t>
      </w:r>
    </w:p>
    <w:p w14:paraId="5FC7555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（2）交货地点：由甲方指定地点交货</w:t>
      </w:r>
    </w:p>
    <w:p w14:paraId="294EF4B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5、安装调试</w:t>
      </w:r>
    </w:p>
    <w:p w14:paraId="50EA1A1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（1）安装地点：由甲方指定地点指定地点安装</w:t>
      </w:r>
    </w:p>
    <w:p w14:paraId="5E427F34">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（2）安装完成时间：成交方需在接到用户通知后14日内完成设备安装调试。如在规定的时间内由于中标方的原因不能完成安装和调试，投标方应承担由此给用户造成的损失。</w:t>
      </w:r>
    </w:p>
    <w:p w14:paraId="079A9EA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（3）安装标准：符合我国国家有关技术规范要求和技术标准。</w:t>
      </w:r>
    </w:p>
    <w:p w14:paraId="26A0DD5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（4）安装过程中发生的费用由中标方负责。</w:t>
      </w:r>
    </w:p>
    <w:p w14:paraId="6A2CE20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6、突发事件</w:t>
      </w:r>
    </w:p>
    <w:p w14:paraId="71A3F97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针对一些独特的、客户不可预知的且客户自身不能处理的突发事故，中标方承诺协助买方协调，若有需要可提供上门服务。如突发事故是软件自身原因造成的，则相关费用中标方自行承担。如突发事故是非中标方软件因素造成的，相关费用由买方承担，具体金额双方自由协商。</w:t>
      </w:r>
    </w:p>
    <w:p w14:paraId="1959E2A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7、设备维护培训</w:t>
      </w:r>
    </w:p>
    <w:p w14:paraId="676716EE">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（1）中标方应对用户的维修人员提供培训，使其能对设备进行日常的维护保养及能对一般故障进行维修。</w:t>
      </w:r>
    </w:p>
    <w:p w14:paraId="3438FF4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（2）上述培训的培训方式、地点、人员及费用（包含在投标总价中）投标商应在投标文件中详细说明。</w:t>
      </w:r>
    </w:p>
    <w:p w14:paraId="2E0D404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8、验收</w:t>
      </w:r>
    </w:p>
    <w:p w14:paraId="4622D90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（1）投标方在投标时应提供设备的验收标准、安装技术规范，供买方参考。</w:t>
      </w:r>
    </w:p>
    <w:p w14:paraId="3B36CE52">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（2）验收依据：按投标文件、招标文件及国家标准验收。</w:t>
      </w:r>
    </w:p>
    <w:p w14:paraId="5B4BFF2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（3）设备到达最终用户后，要求中标方安装人员会同采购方信息技术人员、使用科室负责人共同参与设备验收。</w:t>
      </w:r>
    </w:p>
    <w:p w14:paraId="302DE4F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9、违约责任</w:t>
      </w:r>
    </w:p>
    <w:p w14:paraId="6649E84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由于中标方及其关联公司（单位）原因导致未按期到货，则视作违约，中标方须支付买方违约款，违约金为合同总价的5%，且买方有权终止全部合同，中标方必须退还全部货款，并承担由此产生的买方的所有损失。</w:t>
      </w:r>
    </w:p>
    <w:p w14:paraId="1175115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（2）未经买方同意，中标方不得以任何方式把属于买方的数据信息等透露给任何第三方，否则，应向买方支付违约金，违约金为合同总价的10%，违约金不足以弥补实际损失的，中标方应继续赔偿买方损失。</w:t>
      </w:r>
    </w:p>
    <w:p w14:paraId="2C6C61C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（3）中标方未能按条款履行服务的，每发生一次应向买方支付本</w:t>
      </w:r>
      <w:r>
        <w:rPr>
          <w:rFonts w:hint="eastAsia" w:ascii="新宋体" w:hAnsi="新宋体" w:eastAsia="新宋体" w:cs="新宋体"/>
          <w:bCs/>
          <w:color w:val="auto"/>
          <w:sz w:val="22"/>
          <w:szCs w:val="22"/>
          <w:highlight w:val="none"/>
        </w:rPr>
        <w:t>预算总金额</w:t>
      </w:r>
      <w:r>
        <w:rPr>
          <w:rFonts w:hint="eastAsia" w:ascii="新宋体" w:hAnsi="新宋体" w:eastAsia="新宋体" w:cs="新宋体"/>
          <w:color w:val="auto"/>
          <w:sz w:val="22"/>
          <w:szCs w:val="22"/>
          <w:highlight w:val="none"/>
        </w:rPr>
        <w:t>的1‰的违约金，优先从履约保证金或质保金中扣除，同时，买方有权委托第三方进行保修，所产生的费用由中标方承担。若因货物缺陷或中标方服务质量等问题造成买方或任何人员人身、财产损害的，中标方应承担有关责任并作出相应赔偿。</w:t>
      </w:r>
    </w:p>
    <w:p w14:paraId="39D44EF0">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（4）供应商提供给医院所有设备、耗材、配件必须保证为原装并且无任何质量问题。中标方需在合同签订后一个月内缴纳</w:t>
      </w:r>
      <w:r>
        <w:rPr>
          <w:rFonts w:hint="eastAsia" w:ascii="新宋体" w:hAnsi="新宋体" w:eastAsia="新宋体" w:cs="新宋体"/>
          <w:bCs/>
          <w:color w:val="auto"/>
          <w:sz w:val="22"/>
          <w:szCs w:val="22"/>
          <w:highlight w:val="none"/>
        </w:rPr>
        <w:t>预算总金额</w:t>
      </w:r>
      <w:r>
        <w:rPr>
          <w:rFonts w:hint="eastAsia" w:ascii="新宋体" w:hAnsi="新宋体" w:eastAsia="新宋体" w:cs="新宋体"/>
          <w:color w:val="auto"/>
          <w:sz w:val="22"/>
          <w:szCs w:val="22"/>
          <w:highlight w:val="none"/>
        </w:rPr>
        <w:t>的1%作为履约保证金。合同期内，中标方未按合同约定的时间供货（含耗材和租赁设备），每次扣100元，相应费用在履约保证金中扣除。</w:t>
      </w:r>
    </w:p>
    <w:p w14:paraId="1651B91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10、保密条款</w:t>
      </w:r>
    </w:p>
    <w:p w14:paraId="7FEFF9D7">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招投标标书及合同中凡涉及买方项目的有关信息，不得透露给第三方。中标人在提供服务和维修的过程中，获悉的一切资讯均需严格保密，不得自行使用或给他人使用，如有泄漏或擅自使用或允许他人使用用户信息造成损失的必须承担相应的民事赔偿责任。</w:t>
      </w:r>
    </w:p>
    <w:p w14:paraId="65FB5868">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11、考核细则</w:t>
      </w:r>
    </w:p>
    <w:p w14:paraId="7D5744E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为监督外包公司为温州市第七人民医院提供更优质的打印服务，提高服务质量，温州市第七人民医院特制定打印机外包服务考核细则，对服务质量进行考核，具体考核办法如下：</w:t>
      </w:r>
    </w:p>
    <w:p w14:paraId="11877EEB">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考核内容及评分标准：</w:t>
      </w:r>
    </w:p>
    <w:p w14:paraId="52C12ECC">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1.服务期满后对打印机外包服务质量进行考核。考核采取定时或抽查形式进行考核，考核总分为100分，达标分为80分（含），低于80分为不达标。</w:t>
      </w:r>
    </w:p>
    <w:p w14:paraId="0E8B6E26">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2.以达标分为标准，评分在达标分以下，每下降1分扣除合同总额的1%，最多扣除20%。</w:t>
      </w:r>
    </w:p>
    <w:tbl>
      <w:tblPr>
        <w:tblStyle w:val="55"/>
        <w:tblW w:w="102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65"/>
        <w:gridCol w:w="4536"/>
      </w:tblGrid>
      <w:tr w14:paraId="64D75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01" w:type="dxa"/>
            <w:gridSpan w:val="2"/>
            <w:vAlign w:val="center"/>
          </w:tcPr>
          <w:p w14:paraId="6023A66A">
            <w:pPr>
              <w:keepNext w:val="0"/>
              <w:keepLines w:val="0"/>
              <w:pageBreakBefore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kern w:val="0"/>
                <w:sz w:val="22"/>
                <w:szCs w:val="22"/>
                <w:highlight w:val="none"/>
              </w:rPr>
            </w:pPr>
            <w:r>
              <w:rPr>
                <w:rFonts w:hint="eastAsia" w:ascii="新宋体" w:hAnsi="新宋体" w:eastAsia="新宋体" w:cs="新宋体"/>
                <w:b/>
                <w:color w:val="auto"/>
                <w:sz w:val="22"/>
                <w:szCs w:val="22"/>
                <w:highlight w:val="none"/>
              </w:rPr>
              <w:t>温州市第七人民医院打印机外包服务合同考核表</w:t>
            </w:r>
          </w:p>
        </w:tc>
      </w:tr>
      <w:tr w14:paraId="2F9DF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14:paraId="74372B59">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kern w:val="0"/>
                <w:sz w:val="22"/>
                <w:szCs w:val="22"/>
                <w:highlight w:val="none"/>
              </w:rPr>
            </w:pPr>
            <w:r>
              <w:rPr>
                <w:rFonts w:hint="eastAsia" w:ascii="新宋体" w:hAnsi="新宋体" w:eastAsia="新宋体" w:cs="新宋体"/>
                <w:b/>
                <w:bCs/>
                <w:color w:val="auto"/>
                <w:sz w:val="22"/>
                <w:szCs w:val="22"/>
                <w:highlight w:val="none"/>
              </w:rPr>
              <w:t>考核</w:t>
            </w:r>
            <w:r>
              <w:rPr>
                <w:rFonts w:hint="eastAsia" w:ascii="新宋体" w:hAnsi="新宋体" w:eastAsia="新宋体" w:cs="新宋体"/>
                <w:b/>
                <w:bCs/>
                <w:color w:val="auto"/>
                <w:kern w:val="0"/>
                <w:sz w:val="22"/>
                <w:szCs w:val="22"/>
                <w:highlight w:val="none"/>
              </w:rPr>
              <w:t>内容</w:t>
            </w:r>
          </w:p>
        </w:tc>
        <w:tc>
          <w:tcPr>
            <w:tcW w:w="4536" w:type="dxa"/>
            <w:vAlign w:val="center"/>
          </w:tcPr>
          <w:p w14:paraId="0A87E28D">
            <w:pPr>
              <w:keepNext w:val="0"/>
              <w:keepLines w:val="0"/>
              <w:pageBreakBefore w:val="0"/>
              <w:widowControl/>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评分细则</w:t>
            </w:r>
          </w:p>
        </w:tc>
      </w:tr>
      <w:tr w14:paraId="51D4D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14:paraId="6A76AFBE">
            <w:pPr>
              <w:keepNext w:val="0"/>
              <w:keepLines w:val="0"/>
              <w:pageBreakBefore w:val="0"/>
              <w:widowControl/>
              <w:kinsoku/>
              <w:wordWrap/>
              <w:overflowPunct/>
              <w:topLinePunct w:val="0"/>
              <w:autoSpaceDE/>
              <w:autoSpaceDN/>
              <w:bidi w:val="0"/>
              <w:adjustRightInd/>
              <w:snapToGrid/>
              <w:spacing w:line="460" w:lineRule="exact"/>
              <w:textAlignment w:val="auto"/>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及时响应驻点所在院区报修（响应时间≤30分钟）（20分）</w:t>
            </w:r>
          </w:p>
        </w:tc>
        <w:tc>
          <w:tcPr>
            <w:tcW w:w="4536" w:type="dxa"/>
            <w:vAlign w:val="center"/>
          </w:tcPr>
          <w:p w14:paraId="250151F2">
            <w:pPr>
              <w:keepNext w:val="0"/>
              <w:keepLines w:val="0"/>
              <w:pageBreakBefore w:val="0"/>
              <w:widowControl/>
              <w:kinsoku/>
              <w:wordWrap/>
              <w:overflowPunct/>
              <w:topLinePunct w:val="0"/>
              <w:autoSpaceDE/>
              <w:autoSpaceDN/>
              <w:bidi w:val="0"/>
              <w:adjustRightInd/>
              <w:snapToGrid/>
              <w:spacing w:line="460" w:lineRule="exact"/>
              <w:textAlignment w:val="auto"/>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季度内，未在</w:t>
            </w:r>
            <w:r>
              <w:rPr>
                <w:rFonts w:ascii="新宋体" w:hAnsi="新宋体" w:eastAsia="新宋体" w:cs="新宋体"/>
                <w:color w:val="auto"/>
                <w:sz w:val="22"/>
                <w:szCs w:val="22"/>
                <w:highlight w:val="none"/>
              </w:rPr>
              <w:t>30</w:t>
            </w:r>
            <w:r>
              <w:rPr>
                <w:rFonts w:hint="eastAsia" w:ascii="新宋体" w:hAnsi="新宋体" w:eastAsia="新宋体" w:cs="新宋体"/>
                <w:color w:val="auto"/>
                <w:sz w:val="22"/>
                <w:szCs w:val="22"/>
                <w:highlight w:val="none"/>
              </w:rPr>
              <w:t>分钟内响应，扣分1分/次。</w:t>
            </w:r>
          </w:p>
        </w:tc>
      </w:tr>
      <w:tr w14:paraId="48557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14:paraId="246AA468">
            <w:pPr>
              <w:keepNext w:val="0"/>
              <w:keepLines w:val="0"/>
              <w:pageBreakBefore w:val="0"/>
              <w:widowControl/>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提供的耗材、配件与设备匹配，设备运行顺畅（</w:t>
            </w:r>
            <w:r>
              <w:rPr>
                <w:rFonts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rPr>
              <w:t>分）</w:t>
            </w:r>
          </w:p>
        </w:tc>
        <w:tc>
          <w:tcPr>
            <w:tcW w:w="4536" w:type="dxa"/>
            <w:vMerge w:val="restart"/>
            <w:vAlign w:val="center"/>
          </w:tcPr>
          <w:p w14:paraId="038F5B0E">
            <w:pPr>
              <w:keepNext w:val="0"/>
              <w:keepLines w:val="0"/>
              <w:pageBreakBefore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一处不符合扣1分，一处严重不符合扣2分及以上。</w:t>
            </w:r>
          </w:p>
        </w:tc>
      </w:tr>
      <w:tr w14:paraId="05B51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14:paraId="5AF88FB4">
            <w:pPr>
              <w:keepNext w:val="0"/>
              <w:keepLines w:val="0"/>
              <w:pageBreakBefore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运维人员准时出勤，不得无故迟到早退</w:t>
            </w:r>
            <w:r>
              <w:rPr>
                <w:rFonts w:hint="eastAsia" w:ascii="新宋体" w:hAnsi="新宋体" w:eastAsia="新宋体" w:cs="新宋体"/>
                <w:color w:val="auto"/>
                <w:sz w:val="22"/>
                <w:szCs w:val="22"/>
                <w:highlight w:val="none"/>
              </w:rPr>
              <w:t>（</w:t>
            </w:r>
            <w:r>
              <w:rPr>
                <w:rFonts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rPr>
              <w:t>分）</w:t>
            </w:r>
          </w:p>
        </w:tc>
        <w:tc>
          <w:tcPr>
            <w:tcW w:w="4536" w:type="dxa"/>
            <w:vMerge w:val="continue"/>
            <w:vAlign w:val="center"/>
          </w:tcPr>
          <w:p w14:paraId="7C1451FC">
            <w:pPr>
              <w:keepNext w:val="0"/>
              <w:keepLines w:val="0"/>
              <w:pageBreakBefore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p>
        </w:tc>
      </w:tr>
      <w:tr w14:paraId="73F00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14:paraId="0149E25C">
            <w:pPr>
              <w:keepNext w:val="0"/>
              <w:keepLines w:val="0"/>
              <w:pageBreakBefore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运维人员按时完成巡检任务，并有巡检签字单（</w:t>
            </w:r>
            <w:r>
              <w:rPr>
                <w:rFonts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rPr>
              <w:t>分）</w:t>
            </w:r>
          </w:p>
        </w:tc>
        <w:tc>
          <w:tcPr>
            <w:tcW w:w="4536" w:type="dxa"/>
            <w:vMerge w:val="continue"/>
            <w:vAlign w:val="center"/>
          </w:tcPr>
          <w:p w14:paraId="3F3EB706">
            <w:pPr>
              <w:keepNext w:val="0"/>
              <w:keepLines w:val="0"/>
              <w:pageBreakBefore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p>
        </w:tc>
      </w:tr>
      <w:tr w14:paraId="41664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14:paraId="12D5BF3F">
            <w:pPr>
              <w:keepNext w:val="0"/>
              <w:keepLines w:val="0"/>
              <w:pageBreakBefore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运维人员仪态自然，着装整洁，待人和谐，文明礼貌</w:t>
            </w:r>
          </w:p>
          <w:p w14:paraId="1C76B512">
            <w:pPr>
              <w:keepNext w:val="0"/>
              <w:keepLines w:val="0"/>
              <w:pageBreakBefore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rPr>
              <w:t>分）</w:t>
            </w:r>
          </w:p>
        </w:tc>
        <w:tc>
          <w:tcPr>
            <w:tcW w:w="4536" w:type="dxa"/>
            <w:vMerge w:val="continue"/>
            <w:vAlign w:val="center"/>
          </w:tcPr>
          <w:p w14:paraId="34E204DB">
            <w:pPr>
              <w:keepNext w:val="0"/>
              <w:keepLines w:val="0"/>
              <w:pageBreakBefore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p>
        </w:tc>
      </w:tr>
      <w:tr w14:paraId="4BFE3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14:paraId="175317CA">
            <w:pPr>
              <w:keepNext w:val="0"/>
              <w:keepLines w:val="0"/>
              <w:pageBreakBefore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运维人员不以任何理由与</w:t>
            </w:r>
            <w:r>
              <w:rPr>
                <w:rFonts w:hint="eastAsia" w:ascii="新宋体" w:hAnsi="新宋体" w:eastAsia="新宋体" w:cs="新宋体"/>
                <w:color w:val="auto"/>
                <w:sz w:val="22"/>
                <w:szCs w:val="22"/>
                <w:highlight w:val="none"/>
              </w:rPr>
              <w:t>职工、患者及其家属</w:t>
            </w:r>
            <w:r>
              <w:rPr>
                <w:rFonts w:hint="eastAsia" w:ascii="新宋体" w:hAnsi="新宋体" w:eastAsia="新宋体" w:cs="新宋体"/>
                <w:color w:val="auto"/>
                <w:kern w:val="0"/>
                <w:sz w:val="22"/>
                <w:szCs w:val="22"/>
                <w:highlight w:val="none"/>
              </w:rPr>
              <w:t>发生争吵、打架</w:t>
            </w:r>
            <w:r>
              <w:rPr>
                <w:rFonts w:hint="eastAsia" w:ascii="新宋体" w:hAnsi="新宋体" w:eastAsia="新宋体" w:cs="新宋体"/>
                <w:color w:val="auto"/>
                <w:sz w:val="22"/>
                <w:szCs w:val="22"/>
                <w:highlight w:val="none"/>
              </w:rPr>
              <w:t>（</w:t>
            </w:r>
            <w:r>
              <w:rPr>
                <w:rFonts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rPr>
              <w:t>分）</w:t>
            </w:r>
          </w:p>
        </w:tc>
        <w:tc>
          <w:tcPr>
            <w:tcW w:w="4536" w:type="dxa"/>
            <w:vMerge w:val="continue"/>
            <w:vAlign w:val="center"/>
          </w:tcPr>
          <w:p w14:paraId="134F8889">
            <w:pPr>
              <w:keepNext w:val="0"/>
              <w:keepLines w:val="0"/>
              <w:pageBreakBefore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p>
        </w:tc>
      </w:tr>
      <w:tr w14:paraId="087A6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14:paraId="1312B612">
            <w:pPr>
              <w:keepNext w:val="0"/>
              <w:keepLines w:val="0"/>
              <w:pageBreakBefore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运维人员能及时有效地与采购人方的联系人交流工作，不得隐瞒重要故障和信息（</w:t>
            </w:r>
            <w:r>
              <w:rPr>
                <w:rFonts w:ascii="新宋体" w:hAnsi="新宋体" w:eastAsia="新宋体" w:cs="新宋体"/>
                <w:color w:val="auto"/>
                <w:sz w:val="22"/>
                <w:szCs w:val="22"/>
                <w:highlight w:val="none"/>
              </w:rPr>
              <w:t>5</w:t>
            </w:r>
            <w:r>
              <w:rPr>
                <w:rFonts w:hint="eastAsia" w:ascii="新宋体" w:hAnsi="新宋体" w:eastAsia="新宋体" w:cs="新宋体"/>
                <w:color w:val="auto"/>
                <w:sz w:val="22"/>
                <w:szCs w:val="22"/>
                <w:highlight w:val="none"/>
              </w:rPr>
              <w:t>分）</w:t>
            </w:r>
          </w:p>
        </w:tc>
        <w:tc>
          <w:tcPr>
            <w:tcW w:w="4536" w:type="dxa"/>
            <w:vMerge w:val="continue"/>
            <w:vAlign w:val="center"/>
          </w:tcPr>
          <w:p w14:paraId="6FA91D87">
            <w:pPr>
              <w:keepNext w:val="0"/>
              <w:keepLines w:val="0"/>
              <w:pageBreakBefore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p>
        </w:tc>
      </w:tr>
      <w:tr w14:paraId="0BF3F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14:paraId="02ABCEC0">
            <w:pPr>
              <w:keepNext w:val="0"/>
              <w:keepLines w:val="0"/>
              <w:pageBreakBefore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运维人员积极参与采购人方组织的业务培训（</w:t>
            </w:r>
            <w:r>
              <w:rPr>
                <w:rFonts w:ascii="新宋体" w:hAnsi="新宋体" w:eastAsia="新宋体" w:cs="新宋体"/>
                <w:color w:val="auto"/>
                <w:sz w:val="22"/>
                <w:szCs w:val="22"/>
                <w:highlight w:val="none"/>
              </w:rPr>
              <w:t>5</w:t>
            </w:r>
            <w:r>
              <w:rPr>
                <w:rFonts w:hint="eastAsia" w:ascii="新宋体" w:hAnsi="新宋体" w:eastAsia="新宋体" w:cs="新宋体"/>
                <w:color w:val="auto"/>
                <w:sz w:val="22"/>
                <w:szCs w:val="22"/>
                <w:highlight w:val="none"/>
              </w:rPr>
              <w:t>分）</w:t>
            </w:r>
          </w:p>
        </w:tc>
        <w:tc>
          <w:tcPr>
            <w:tcW w:w="4536" w:type="dxa"/>
            <w:vMerge w:val="continue"/>
            <w:vAlign w:val="center"/>
          </w:tcPr>
          <w:p w14:paraId="6C778F0D">
            <w:pPr>
              <w:keepNext w:val="0"/>
              <w:keepLines w:val="0"/>
              <w:pageBreakBefore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p>
        </w:tc>
      </w:tr>
      <w:tr w14:paraId="243CF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14:paraId="41E289F4">
            <w:pPr>
              <w:keepNext w:val="0"/>
              <w:keepLines w:val="0"/>
              <w:pageBreakBefore w:val="0"/>
              <w:widowControl/>
              <w:kinsoku/>
              <w:wordWrap/>
              <w:overflowPunct/>
              <w:topLinePunct w:val="0"/>
              <w:autoSpaceDE/>
              <w:autoSpaceDN/>
              <w:bidi w:val="0"/>
              <w:adjustRightInd/>
              <w:snapToGrid/>
              <w:spacing w:line="460" w:lineRule="exact"/>
              <w:textAlignment w:val="auto"/>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工作态度、工作质量方面的投诉（</w:t>
            </w:r>
            <w:r>
              <w:rPr>
                <w:rFonts w:ascii="新宋体" w:hAnsi="新宋体" w:eastAsia="新宋体" w:cs="新宋体"/>
                <w:color w:val="auto"/>
                <w:sz w:val="22"/>
                <w:szCs w:val="22"/>
                <w:highlight w:val="none"/>
              </w:rPr>
              <w:t>12</w:t>
            </w:r>
            <w:r>
              <w:rPr>
                <w:rFonts w:hint="eastAsia" w:ascii="新宋体" w:hAnsi="新宋体" w:eastAsia="新宋体" w:cs="新宋体"/>
                <w:color w:val="auto"/>
                <w:sz w:val="22"/>
                <w:szCs w:val="22"/>
                <w:highlight w:val="none"/>
              </w:rPr>
              <w:t>分）</w:t>
            </w:r>
          </w:p>
        </w:tc>
        <w:tc>
          <w:tcPr>
            <w:tcW w:w="4536" w:type="dxa"/>
            <w:vAlign w:val="center"/>
          </w:tcPr>
          <w:p w14:paraId="56B8D39B">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性质一般的，扣分1</w:t>
            </w:r>
            <w:r>
              <w:rPr>
                <w:rFonts w:hint="eastAsia" w:ascii="新宋体" w:hAnsi="新宋体" w:eastAsia="新宋体" w:cs="新宋体"/>
                <w:color w:val="auto"/>
                <w:kern w:val="0"/>
                <w:sz w:val="22"/>
                <w:szCs w:val="22"/>
                <w:highlight w:val="none"/>
              </w:rPr>
              <w:t>分</w:t>
            </w:r>
            <w:r>
              <w:rPr>
                <w:rFonts w:hint="eastAsia" w:ascii="新宋体" w:hAnsi="新宋体" w:eastAsia="新宋体" w:cs="新宋体"/>
                <w:color w:val="auto"/>
                <w:sz w:val="22"/>
                <w:szCs w:val="22"/>
                <w:highlight w:val="none"/>
              </w:rPr>
              <w:t>/起</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季度内</w:t>
            </w:r>
            <w:r>
              <w:rPr>
                <w:rFonts w:hint="eastAsia" w:ascii="新宋体" w:hAnsi="新宋体" w:eastAsia="新宋体" w:cs="新宋体"/>
                <w:color w:val="auto"/>
                <w:kern w:val="0"/>
                <w:sz w:val="22"/>
                <w:szCs w:val="22"/>
                <w:highlight w:val="none"/>
              </w:rPr>
              <w:t>超过</w:t>
            </w: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kern w:val="0"/>
                <w:sz w:val="22"/>
                <w:szCs w:val="22"/>
                <w:highlight w:val="none"/>
              </w:rPr>
              <w:t>起，每起扣</w:t>
            </w: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kern w:val="0"/>
                <w:sz w:val="22"/>
                <w:szCs w:val="22"/>
                <w:highlight w:val="none"/>
              </w:rPr>
              <w:t>分；</w:t>
            </w:r>
          </w:p>
          <w:p w14:paraId="70990635">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性质恶劣且影响差的，扣分</w:t>
            </w:r>
            <w:r>
              <w:rPr>
                <w:rFonts w:hint="eastAsia" w:ascii="新宋体" w:hAnsi="新宋体" w:eastAsia="新宋体" w:cs="新宋体"/>
                <w:color w:val="auto"/>
                <w:kern w:val="0"/>
                <w:sz w:val="22"/>
                <w:szCs w:val="22"/>
                <w:highlight w:val="none"/>
              </w:rPr>
              <w:t>3分</w:t>
            </w:r>
            <w:r>
              <w:rPr>
                <w:rFonts w:hint="eastAsia" w:ascii="新宋体" w:hAnsi="新宋体" w:eastAsia="新宋体" w:cs="新宋体"/>
                <w:color w:val="auto"/>
                <w:sz w:val="22"/>
                <w:szCs w:val="22"/>
                <w:highlight w:val="none"/>
              </w:rPr>
              <w:t>/起</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季度内</w:t>
            </w:r>
            <w:r>
              <w:rPr>
                <w:rFonts w:hint="eastAsia" w:ascii="新宋体" w:hAnsi="新宋体" w:eastAsia="新宋体" w:cs="新宋体"/>
                <w:color w:val="auto"/>
                <w:kern w:val="0"/>
                <w:sz w:val="22"/>
                <w:szCs w:val="22"/>
                <w:highlight w:val="none"/>
              </w:rPr>
              <w:t>超过</w:t>
            </w: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kern w:val="0"/>
                <w:sz w:val="22"/>
                <w:szCs w:val="22"/>
                <w:highlight w:val="none"/>
              </w:rPr>
              <w:t>起的,每起扣</w:t>
            </w:r>
            <w:r>
              <w:rPr>
                <w:rFonts w:ascii="新宋体" w:hAnsi="新宋体" w:eastAsia="新宋体" w:cs="新宋体"/>
                <w:color w:val="auto"/>
                <w:kern w:val="0"/>
                <w:sz w:val="22"/>
                <w:szCs w:val="22"/>
                <w:highlight w:val="none"/>
              </w:rPr>
              <w:t>3</w:t>
            </w:r>
            <w:r>
              <w:rPr>
                <w:rFonts w:hint="eastAsia" w:ascii="新宋体" w:hAnsi="新宋体" w:eastAsia="新宋体" w:cs="新宋体"/>
                <w:color w:val="auto"/>
                <w:kern w:val="0"/>
                <w:sz w:val="22"/>
                <w:szCs w:val="22"/>
                <w:highlight w:val="none"/>
              </w:rPr>
              <w:t>分</w:t>
            </w:r>
            <w:r>
              <w:rPr>
                <w:rFonts w:hint="eastAsia" w:ascii="新宋体" w:hAnsi="新宋体" w:eastAsia="新宋体" w:cs="新宋体"/>
                <w:color w:val="auto"/>
                <w:sz w:val="22"/>
                <w:szCs w:val="22"/>
                <w:highlight w:val="none"/>
              </w:rPr>
              <w:t>。</w:t>
            </w:r>
          </w:p>
        </w:tc>
      </w:tr>
      <w:tr w14:paraId="0069E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14:paraId="451B6D20">
            <w:pPr>
              <w:keepNext w:val="0"/>
              <w:keepLines w:val="0"/>
              <w:pageBreakBefore w:val="0"/>
              <w:kinsoku/>
              <w:wordWrap/>
              <w:overflowPunct/>
              <w:topLinePunct w:val="0"/>
              <w:autoSpaceDE/>
              <w:autoSpaceDN/>
              <w:bidi w:val="0"/>
              <w:adjustRightInd/>
              <w:snapToGrid/>
              <w:spacing w:line="460" w:lineRule="exact"/>
              <w:textAlignment w:val="auto"/>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触犯</w:t>
            </w:r>
            <w:r>
              <w:rPr>
                <w:rFonts w:hint="eastAsia" w:ascii="新宋体" w:hAnsi="新宋体" w:eastAsia="新宋体" w:cs="新宋体"/>
                <w:color w:val="auto"/>
                <w:kern w:val="0"/>
                <w:sz w:val="22"/>
                <w:szCs w:val="22"/>
                <w:highlight w:val="none"/>
              </w:rPr>
              <w:t>法律法规</w:t>
            </w:r>
            <w:r>
              <w:rPr>
                <w:rFonts w:hint="eastAsia" w:ascii="新宋体" w:hAnsi="新宋体" w:eastAsia="新宋体" w:cs="新宋体"/>
                <w:color w:val="auto"/>
                <w:sz w:val="22"/>
                <w:szCs w:val="22"/>
                <w:highlight w:val="none"/>
              </w:rPr>
              <w:t>或违反采购人内部</w:t>
            </w:r>
            <w:r>
              <w:rPr>
                <w:rFonts w:hint="eastAsia" w:ascii="新宋体" w:hAnsi="新宋体" w:eastAsia="新宋体" w:cs="新宋体"/>
                <w:color w:val="auto"/>
                <w:kern w:val="0"/>
                <w:sz w:val="22"/>
                <w:szCs w:val="22"/>
                <w:highlight w:val="none"/>
              </w:rPr>
              <w:t>制度</w:t>
            </w:r>
            <w:r>
              <w:rPr>
                <w:rFonts w:hint="eastAsia" w:ascii="新宋体" w:hAnsi="新宋体" w:eastAsia="新宋体" w:cs="新宋体"/>
                <w:color w:val="auto"/>
                <w:sz w:val="22"/>
                <w:szCs w:val="22"/>
                <w:highlight w:val="none"/>
              </w:rPr>
              <w:t>方面</w:t>
            </w:r>
            <w:r>
              <w:rPr>
                <w:rFonts w:hint="eastAsia" w:ascii="新宋体" w:hAnsi="新宋体" w:eastAsia="新宋体" w:cs="新宋体"/>
                <w:color w:val="auto"/>
                <w:kern w:val="0"/>
                <w:sz w:val="22"/>
                <w:szCs w:val="22"/>
                <w:highlight w:val="none"/>
              </w:rPr>
              <w:t>的投诉（</w:t>
            </w:r>
            <w:r>
              <w:rPr>
                <w:rFonts w:ascii="新宋体" w:hAnsi="新宋体" w:eastAsia="新宋体" w:cs="新宋体"/>
                <w:color w:val="auto"/>
                <w:kern w:val="0"/>
                <w:sz w:val="22"/>
                <w:szCs w:val="22"/>
                <w:highlight w:val="none"/>
              </w:rPr>
              <w:t>8</w:t>
            </w:r>
            <w:r>
              <w:rPr>
                <w:rFonts w:hint="eastAsia" w:ascii="新宋体" w:hAnsi="新宋体" w:eastAsia="新宋体" w:cs="新宋体"/>
                <w:color w:val="auto"/>
                <w:kern w:val="0"/>
                <w:sz w:val="22"/>
                <w:szCs w:val="22"/>
                <w:highlight w:val="none"/>
              </w:rPr>
              <w:t>分）</w:t>
            </w:r>
          </w:p>
        </w:tc>
        <w:tc>
          <w:tcPr>
            <w:tcW w:w="4536" w:type="dxa"/>
            <w:vAlign w:val="center"/>
          </w:tcPr>
          <w:p w14:paraId="1BF67954">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性质一般的，</w:t>
            </w:r>
            <w:r>
              <w:rPr>
                <w:rFonts w:hint="eastAsia" w:ascii="新宋体" w:hAnsi="新宋体" w:eastAsia="新宋体" w:cs="新宋体"/>
                <w:color w:val="auto"/>
                <w:sz w:val="22"/>
                <w:szCs w:val="22"/>
                <w:highlight w:val="none"/>
              </w:rPr>
              <w:t>扣分3</w:t>
            </w:r>
            <w:r>
              <w:rPr>
                <w:rFonts w:hint="eastAsia" w:ascii="新宋体" w:hAnsi="新宋体" w:eastAsia="新宋体" w:cs="新宋体"/>
                <w:color w:val="auto"/>
                <w:kern w:val="0"/>
                <w:sz w:val="22"/>
                <w:szCs w:val="22"/>
                <w:highlight w:val="none"/>
              </w:rPr>
              <w:t>分</w:t>
            </w:r>
            <w:r>
              <w:rPr>
                <w:rFonts w:hint="eastAsia" w:ascii="新宋体" w:hAnsi="新宋体" w:eastAsia="新宋体" w:cs="新宋体"/>
                <w:color w:val="auto"/>
                <w:sz w:val="22"/>
                <w:szCs w:val="22"/>
                <w:highlight w:val="none"/>
              </w:rPr>
              <w:t>/起；</w:t>
            </w:r>
          </w:p>
          <w:p w14:paraId="6FC4CE24">
            <w:pPr>
              <w:keepNext w:val="0"/>
              <w:keepLines w:val="0"/>
              <w:pageBreakBefore w:val="0"/>
              <w:widowControl/>
              <w:kinsoku/>
              <w:wordWrap/>
              <w:overflowPunct/>
              <w:topLinePunct w:val="0"/>
              <w:autoSpaceDE/>
              <w:autoSpaceDN/>
              <w:bidi w:val="0"/>
              <w:adjustRightInd/>
              <w:snapToGrid/>
              <w:spacing w:line="460" w:lineRule="exact"/>
              <w:jc w:val="left"/>
              <w:textAlignment w:val="auto"/>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性质恶劣且影响极坏的，</w:t>
            </w:r>
            <w:r>
              <w:rPr>
                <w:rFonts w:hint="eastAsia" w:ascii="新宋体" w:hAnsi="新宋体" w:eastAsia="新宋体" w:cs="新宋体"/>
                <w:color w:val="auto"/>
                <w:sz w:val="22"/>
                <w:szCs w:val="22"/>
                <w:highlight w:val="none"/>
              </w:rPr>
              <w:t>扣分5</w:t>
            </w:r>
            <w:r>
              <w:rPr>
                <w:rFonts w:hint="eastAsia" w:ascii="新宋体" w:hAnsi="新宋体" w:eastAsia="新宋体" w:cs="新宋体"/>
                <w:color w:val="auto"/>
                <w:kern w:val="0"/>
                <w:sz w:val="22"/>
                <w:szCs w:val="22"/>
                <w:highlight w:val="none"/>
              </w:rPr>
              <w:t>分</w:t>
            </w:r>
            <w:r>
              <w:rPr>
                <w:rFonts w:hint="eastAsia" w:ascii="新宋体" w:hAnsi="新宋体" w:eastAsia="新宋体" w:cs="新宋体"/>
                <w:color w:val="auto"/>
                <w:sz w:val="22"/>
                <w:szCs w:val="22"/>
                <w:highlight w:val="none"/>
              </w:rPr>
              <w:t>/起及以上，或者更换人员。</w:t>
            </w:r>
          </w:p>
        </w:tc>
      </w:tr>
    </w:tbl>
    <w:p w14:paraId="3EE8D267">
      <w:pPr>
        <w:rPr>
          <w:color w:val="auto"/>
          <w:highlight w:val="none"/>
        </w:rPr>
      </w:pPr>
    </w:p>
    <w:p w14:paraId="4EA3DD40">
      <w:pPr>
        <w:rPr>
          <w:rFonts w:hint="eastAsia" w:ascii="新宋体" w:hAnsi="新宋体" w:eastAsia="新宋体" w:cs="新宋体"/>
          <w:b/>
          <w:color w:val="auto"/>
          <w:sz w:val="30"/>
          <w:highlight w:val="none"/>
        </w:rPr>
      </w:pPr>
      <w:bookmarkStart w:id="83" w:name="_Toc17657"/>
      <w:bookmarkStart w:id="84" w:name="_Toc2238"/>
      <w:r>
        <w:rPr>
          <w:rFonts w:hint="eastAsia" w:ascii="新宋体" w:hAnsi="新宋体" w:eastAsia="新宋体" w:cs="新宋体"/>
          <w:b/>
          <w:color w:val="auto"/>
          <w:sz w:val="30"/>
          <w:highlight w:val="none"/>
        </w:rPr>
        <w:br w:type="page"/>
      </w:r>
    </w:p>
    <w:p w14:paraId="7F050D7E">
      <w:pPr>
        <w:tabs>
          <w:tab w:val="left" w:pos="360"/>
        </w:tabs>
        <w:spacing w:line="460" w:lineRule="exact"/>
        <w:jc w:val="center"/>
        <w:outlineLvl w:val="0"/>
        <w:rPr>
          <w:rFonts w:hint="eastAsia" w:ascii="新宋体" w:hAnsi="新宋体" w:eastAsia="新宋体" w:cs="新宋体"/>
          <w:b/>
          <w:color w:val="auto"/>
          <w:sz w:val="30"/>
          <w:highlight w:val="none"/>
        </w:rPr>
      </w:pPr>
      <w:bookmarkStart w:id="85" w:name="_Toc31941"/>
      <w:r>
        <w:rPr>
          <w:rFonts w:hint="eastAsia" w:ascii="新宋体" w:hAnsi="新宋体" w:eastAsia="新宋体" w:cs="新宋体"/>
          <w:b/>
          <w:color w:val="auto"/>
          <w:sz w:val="30"/>
          <w:highlight w:val="none"/>
        </w:rPr>
        <w:t>第五部分  评标原则及方法</w:t>
      </w:r>
      <w:bookmarkEnd w:id="83"/>
      <w:bookmarkEnd w:id="84"/>
      <w:bookmarkEnd w:id="85"/>
    </w:p>
    <w:p w14:paraId="46C31CA7">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参照《中华人民共和国政府采购法》、《政府采购货物和服务招标投标管理办法》、《中华人民共和国政府采购法实施条例》和《关于进一步规范政府采购活动的若干意见》等相关法规特制定以下评标办法。</w:t>
      </w:r>
    </w:p>
    <w:p w14:paraId="101CFDA8">
      <w:pPr>
        <w:spacing w:line="460" w:lineRule="exact"/>
        <w:ind w:firstLine="442" w:firstLineChars="200"/>
        <w:outlineLvl w:val="1"/>
        <w:rPr>
          <w:rFonts w:hint="eastAsia" w:ascii="新宋体" w:hAnsi="新宋体" w:eastAsia="新宋体" w:cs="新宋体"/>
          <w:b/>
          <w:color w:val="auto"/>
          <w:sz w:val="22"/>
          <w:szCs w:val="22"/>
          <w:highlight w:val="none"/>
        </w:rPr>
      </w:pPr>
      <w:bookmarkStart w:id="86" w:name="_Toc20545"/>
      <w:bookmarkStart w:id="87" w:name="_Toc13001"/>
      <w:bookmarkStart w:id="88" w:name="_Toc21458"/>
      <w:r>
        <w:rPr>
          <w:rFonts w:hint="eastAsia" w:ascii="新宋体" w:hAnsi="新宋体" w:eastAsia="新宋体" w:cs="新宋体"/>
          <w:b/>
          <w:color w:val="auto"/>
          <w:sz w:val="22"/>
          <w:szCs w:val="22"/>
          <w:highlight w:val="none"/>
        </w:rPr>
        <w:t>一、总 则</w:t>
      </w:r>
      <w:bookmarkEnd w:id="86"/>
      <w:bookmarkEnd w:id="87"/>
      <w:bookmarkEnd w:id="88"/>
    </w:p>
    <w:p w14:paraId="13910CC9">
      <w:pPr>
        <w:spacing w:line="460" w:lineRule="exact"/>
        <w:ind w:firstLine="440" w:firstLineChars="200"/>
        <w:rPr>
          <w:rFonts w:hint="eastAsia" w:ascii="新宋体" w:hAnsi="新宋体" w:eastAsia="新宋体" w:cs="新宋体"/>
          <w:b/>
          <w:color w:val="auto"/>
          <w:sz w:val="22"/>
          <w:highlight w:val="none"/>
        </w:rPr>
      </w:pPr>
      <w:r>
        <w:rPr>
          <w:rFonts w:hint="eastAsia" w:ascii="新宋体" w:hAnsi="新宋体" w:eastAsia="新宋体" w:cs="新宋体"/>
          <w:color w:val="auto"/>
          <w:sz w:val="22"/>
          <w:szCs w:val="22"/>
          <w:highlight w:val="none"/>
        </w:rPr>
        <w:t>评标工作遵循公平、公正、科学、择优原则和诚实、信誉、效率的服务原则。本着科学、严谨的态度，认真进行评标。择优选用，推进技术进步，确保质量、交货期，节约投资，最大限度的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14:paraId="45AD4B12">
      <w:pPr>
        <w:spacing w:line="460" w:lineRule="exact"/>
        <w:ind w:firstLine="442" w:firstLineChars="200"/>
        <w:outlineLvl w:val="1"/>
        <w:rPr>
          <w:rFonts w:hint="eastAsia" w:ascii="新宋体" w:hAnsi="新宋体" w:eastAsia="新宋体" w:cs="新宋体"/>
          <w:b/>
          <w:color w:val="auto"/>
          <w:sz w:val="22"/>
          <w:szCs w:val="22"/>
          <w:highlight w:val="none"/>
        </w:rPr>
      </w:pPr>
      <w:bookmarkStart w:id="89" w:name="_Toc32117"/>
      <w:bookmarkStart w:id="90" w:name="_Toc13804"/>
      <w:bookmarkStart w:id="91" w:name="_Toc19564"/>
      <w:r>
        <w:rPr>
          <w:rFonts w:hint="eastAsia" w:ascii="新宋体" w:hAnsi="新宋体" w:eastAsia="新宋体" w:cs="新宋体"/>
          <w:b/>
          <w:color w:val="auto"/>
          <w:sz w:val="22"/>
          <w:szCs w:val="22"/>
          <w:highlight w:val="none"/>
        </w:rPr>
        <w:t>二、评标组织</w:t>
      </w:r>
      <w:bookmarkEnd w:id="89"/>
      <w:bookmarkEnd w:id="90"/>
      <w:bookmarkEnd w:id="91"/>
    </w:p>
    <w:p w14:paraId="65D58390">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评标工作由招标人组建的评标委员会负责，评标全过程由有关部门指导监督。</w:t>
      </w:r>
    </w:p>
    <w:p w14:paraId="287DCAE1">
      <w:pPr>
        <w:spacing w:line="460" w:lineRule="exact"/>
        <w:ind w:firstLine="442" w:firstLineChars="200"/>
        <w:outlineLvl w:val="1"/>
        <w:rPr>
          <w:rFonts w:hint="eastAsia" w:ascii="新宋体" w:hAnsi="新宋体" w:eastAsia="新宋体" w:cs="新宋体"/>
          <w:b/>
          <w:color w:val="auto"/>
          <w:sz w:val="22"/>
          <w:szCs w:val="22"/>
          <w:highlight w:val="none"/>
        </w:rPr>
      </w:pPr>
      <w:bookmarkStart w:id="92" w:name="_Toc6111"/>
      <w:bookmarkStart w:id="93" w:name="_Toc4304"/>
      <w:bookmarkStart w:id="94" w:name="_Toc23954"/>
      <w:r>
        <w:rPr>
          <w:rFonts w:hint="eastAsia" w:ascii="新宋体" w:hAnsi="新宋体" w:eastAsia="新宋体" w:cs="新宋体"/>
          <w:b/>
          <w:color w:val="auto"/>
          <w:sz w:val="22"/>
          <w:szCs w:val="22"/>
          <w:highlight w:val="none"/>
        </w:rPr>
        <w:t>三、评标程序</w:t>
      </w:r>
      <w:bookmarkEnd w:id="92"/>
      <w:bookmarkEnd w:id="93"/>
      <w:bookmarkEnd w:id="94"/>
    </w:p>
    <w:p w14:paraId="1ACE12CD">
      <w:pPr>
        <w:spacing w:line="460" w:lineRule="exact"/>
        <w:ind w:firstLine="440" w:firstLineChars="200"/>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评标委员</w:t>
      </w:r>
      <w:r>
        <w:rPr>
          <w:rFonts w:hint="eastAsia" w:ascii="新宋体" w:hAnsi="新宋体" w:eastAsia="新宋体" w:cs="新宋体"/>
          <w:bCs/>
          <w:color w:val="auto"/>
          <w:sz w:val="22"/>
          <w:szCs w:val="22"/>
          <w:highlight w:val="none"/>
          <w:lang w:val="en-US" w:eastAsia="zh-CN"/>
        </w:rPr>
        <w:t>会</w:t>
      </w:r>
      <w:r>
        <w:rPr>
          <w:rFonts w:hint="eastAsia" w:ascii="新宋体" w:hAnsi="新宋体" w:eastAsia="新宋体" w:cs="新宋体"/>
          <w:bCs/>
          <w:color w:val="auto"/>
          <w:sz w:val="22"/>
          <w:szCs w:val="22"/>
          <w:highlight w:val="none"/>
        </w:rPr>
        <w:t>按照招标文件中规定的评标方法和标准，对投标文件进行商务和技术评估，综合比较与评价</w:t>
      </w:r>
      <w:r>
        <w:rPr>
          <w:rFonts w:hint="eastAsia" w:ascii="新宋体" w:hAnsi="新宋体" w:eastAsia="新宋体" w:cs="新宋体"/>
          <w:color w:val="auto"/>
          <w:sz w:val="22"/>
          <w:szCs w:val="22"/>
          <w:highlight w:val="none"/>
        </w:rPr>
        <w:t>，根据综合评审结果，提交评审报告。</w:t>
      </w:r>
    </w:p>
    <w:p w14:paraId="5D74325B">
      <w:pPr>
        <w:spacing w:line="460" w:lineRule="exact"/>
        <w:ind w:firstLine="442" w:firstLineChars="200"/>
        <w:outlineLvl w:val="1"/>
        <w:rPr>
          <w:rFonts w:hint="eastAsia" w:ascii="新宋体" w:hAnsi="新宋体" w:eastAsia="新宋体" w:cs="新宋体"/>
          <w:b/>
          <w:color w:val="auto"/>
          <w:sz w:val="22"/>
          <w:szCs w:val="22"/>
          <w:highlight w:val="none"/>
        </w:rPr>
      </w:pPr>
      <w:bookmarkStart w:id="95" w:name="_Toc25708"/>
      <w:bookmarkStart w:id="96" w:name="_Toc10754"/>
      <w:bookmarkStart w:id="97" w:name="_Toc2159"/>
      <w:r>
        <w:rPr>
          <w:rFonts w:hint="eastAsia" w:ascii="新宋体" w:hAnsi="新宋体" w:eastAsia="新宋体" w:cs="新宋体"/>
          <w:b/>
          <w:color w:val="auto"/>
          <w:sz w:val="22"/>
          <w:szCs w:val="22"/>
          <w:highlight w:val="none"/>
        </w:rPr>
        <w:t>四、评标办法</w:t>
      </w:r>
      <w:bookmarkEnd w:id="95"/>
      <w:bookmarkEnd w:id="96"/>
      <w:bookmarkEnd w:id="97"/>
    </w:p>
    <w:p w14:paraId="2C152339">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本次采购采用百分制综合评分法，即投标人最大限度地满足招标文件实质性要求的基础上，按照招标文件的各项因素进行综合评审后，以评标总得分最高的投标人和次高的投标人作为第一和第二排序的中标候选人的评标方法。根据采购要求，</w:t>
      </w:r>
      <w:r>
        <w:rPr>
          <w:rFonts w:hint="eastAsia" w:ascii="新宋体" w:hAnsi="新宋体" w:eastAsia="新宋体" w:cs="新宋体"/>
          <w:b/>
          <w:color w:val="auto"/>
          <w:sz w:val="22"/>
          <w:szCs w:val="22"/>
          <w:highlight w:val="none"/>
        </w:rPr>
        <w:t>总分设定为100分：技术标</w:t>
      </w:r>
      <w:r>
        <w:rPr>
          <w:rFonts w:hint="eastAsia" w:ascii="新宋体" w:hAnsi="新宋体" w:eastAsia="新宋体" w:cs="新宋体"/>
          <w:b/>
          <w:color w:val="auto"/>
          <w:sz w:val="22"/>
          <w:szCs w:val="22"/>
          <w:highlight w:val="none"/>
          <w:lang w:val="en-US" w:eastAsia="zh-CN"/>
        </w:rPr>
        <w:t>70</w:t>
      </w:r>
      <w:r>
        <w:rPr>
          <w:rFonts w:hint="eastAsia" w:ascii="新宋体" w:hAnsi="新宋体" w:eastAsia="新宋体" w:cs="新宋体"/>
          <w:b/>
          <w:color w:val="auto"/>
          <w:sz w:val="22"/>
          <w:szCs w:val="22"/>
          <w:highlight w:val="none"/>
        </w:rPr>
        <w:t>分（权值</w:t>
      </w:r>
      <w:r>
        <w:rPr>
          <w:rFonts w:hint="eastAsia" w:ascii="新宋体" w:hAnsi="新宋体" w:eastAsia="新宋体" w:cs="新宋体"/>
          <w:b/>
          <w:color w:val="auto"/>
          <w:sz w:val="22"/>
          <w:szCs w:val="22"/>
          <w:highlight w:val="none"/>
          <w:lang w:val="en-US" w:eastAsia="zh-CN"/>
        </w:rPr>
        <w:t>70</w:t>
      </w:r>
      <w:r>
        <w:rPr>
          <w:rFonts w:hint="eastAsia" w:ascii="新宋体" w:hAnsi="新宋体" w:eastAsia="新宋体" w:cs="新宋体"/>
          <w:b/>
          <w:color w:val="auto"/>
          <w:sz w:val="22"/>
          <w:szCs w:val="22"/>
          <w:highlight w:val="none"/>
        </w:rPr>
        <w:t>%），商务标（报价）3</w:t>
      </w:r>
      <w:r>
        <w:rPr>
          <w:rFonts w:hint="eastAsia" w:ascii="新宋体" w:hAnsi="新宋体" w:eastAsia="新宋体" w:cs="新宋体"/>
          <w:b/>
          <w:color w:val="auto"/>
          <w:sz w:val="22"/>
          <w:szCs w:val="22"/>
          <w:highlight w:val="none"/>
          <w:lang w:val="en-US" w:eastAsia="zh-CN"/>
        </w:rPr>
        <w:t>0</w:t>
      </w:r>
      <w:r>
        <w:rPr>
          <w:rFonts w:hint="eastAsia" w:ascii="新宋体" w:hAnsi="新宋体" w:eastAsia="新宋体" w:cs="新宋体"/>
          <w:b/>
          <w:color w:val="auto"/>
          <w:sz w:val="22"/>
          <w:szCs w:val="22"/>
          <w:highlight w:val="none"/>
        </w:rPr>
        <w:t>分（权值3</w:t>
      </w:r>
      <w:r>
        <w:rPr>
          <w:rFonts w:hint="eastAsia" w:ascii="新宋体" w:hAnsi="新宋体" w:eastAsia="新宋体" w:cs="新宋体"/>
          <w:b/>
          <w:color w:val="auto"/>
          <w:sz w:val="22"/>
          <w:szCs w:val="22"/>
          <w:highlight w:val="none"/>
          <w:lang w:val="en-US" w:eastAsia="zh-CN"/>
        </w:rPr>
        <w:t>0</w:t>
      </w:r>
      <w:r>
        <w:rPr>
          <w:rFonts w:hint="eastAsia" w:ascii="新宋体" w:hAnsi="新宋体" w:eastAsia="新宋体" w:cs="新宋体"/>
          <w:b/>
          <w:color w:val="auto"/>
          <w:sz w:val="22"/>
          <w:szCs w:val="22"/>
          <w:highlight w:val="none"/>
        </w:rPr>
        <w:t>%）。</w:t>
      </w:r>
    </w:p>
    <w:p w14:paraId="1B9D76A4">
      <w:pPr>
        <w:spacing w:line="460" w:lineRule="exact"/>
        <w:ind w:firstLine="442" w:firstLineChars="200"/>
        <w:outlineLvl w:val="1"/>
        <w:rPr>
          <w:rFonts w:hint="eastAsia" w:ascii="新宋体" w:hAnsi="新宋体" w:eastAsia="新宋体" w:cs="新宋体"/>
          <w:b/>
          <w:color w:val="auto"/>
          <w:sz w:val="22"/>
          <w:szCs w:val="22"/>
          <w:highlight w:val="none"/>
        </w:rPr>
      </w:pPr>
      <w:bookmarkStart w:id="98" w:name="_Toc9715"/>
      <w:bookmarkStart w:id="99" w:name="_Toc18735"/>
      <w:bookmarkStart w:id="100" w:name="_Toc21132"/>
      <w:r>
        <w:rPr>
          <w:rFonts w:hint="eastAsia" w:ascii="新宋体" w:hAnsi="新宋体" w:eastAsia="新宋体" w:cs="新宋体"/>
          <w:b/>
          <w:color w:val="auto"/>
          <w:sz w:val="22"/>
          <w:szCs w:val="22"/>
          <w:highlight w:val="none"/>
        </w:rPr>
        <w:t>五、评分细则</w:t>
      </w:r>
      <w:bookmarkEnd w:id="98"/>
      <w:bookmarkEnd w:id="99"/>
      <w:bookmarkEnd w:id="100"/>
    </w:p>
    <w:p w14:paraId="316A1C8B">
      <w:pPr>
        <w:spacing w:line="460" w:lineRule="exact"/>
        <w:ind w:firstLine="442" w:firstLineChars="200"/>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1、技术分的评定（</w:t>
      </w:r>
      <w:r>
        <w:rPr>
          <w:rFonts w:hint="eastAsia" w:ascii="新宋体" w:hAnsi="新宋体" w:eastAsia="新宋体" w:cs="新宋体"/>
          <w:b/>
          <w:color w:val="auto"/>
          <w:sz w:val="22"/>
          <w:szCs w:val="22"/>
          <w:highlight w:val="none"/>
          <w:lang w:val="en-US" w:eastAsia="zh-CN"/>
        </w:rPr>
        <w:t>70</w:t>
      </w:r>
      <w:r>
        <w:rPr>
          <w:rFonts w:hint="eastAsia" w:ascii="新宋体" w:hAnsi="新宋体" w:eastAsia="新宋体" w:cs="新宋体"/>
          <w:b/>
          <w:color w:val="auto"/>
          <w:sz w:val="22"/>
          <w:szCs w:val="22"/>
          <w:highlight w:val="none"/>
        </w:rPr>
        <w:t>分）（权值</w:t>
      </w:r>
      <w:r>
        <w:rPr>
          <w:rFonts w:hint="eastAsia" w:ascii="新宋体" w:hAnsi="新宋体" w:eastAsia="新宋体" w:cs="新宋体"/>
          <w:b/>
          <w:color w:val="auto"/>
          <w:sz w:val="22"/>
          <w:szCs w:val="22"/>
          <w:highlight w:val="none"/>
          <w:lang w:val="en-US" w:eastAsia="zh-CN"/>
        </w:rPr>
        <w:t>70</w:t>
      </w:r>
      <w:r>
        <w:rPr>
          <w:rFonts w:hint="eastAsia" w:ascii="新宋体" w:hAnsi="新宋体" w:eastAsia="新宋体" w:cs="新宋体"/>
          <w:b/>
          <w:color w:val="auto"/>
          <w:sz w:val="22"/>
          <w:szCs w:val="22"/>
          <w:highlight w:val="none"/>
        </w:rPr>
        <w:t>%）</w:t>
      </w:r>
    </w:p>
    <w:p w14:paraId="0E3A25B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各评委成员按下列评分项目进行评判，每人一张评分计算票，并记名。投标文件各项评分内容由评标委员会成员各自评分，如某张票的一个因素项目超过规定的范围，则该张票无效。</w:t>
      </w:r>
      <w:r>
        <w:rPr>
          <w:rFonts w:hint="eastAsia" w:ascii="新宋体" w:hAnsi="新宋体" w:eastAsia="新宋体" w:cs="新宋体"/>
          <w:color w:val="auto"/>
          <w:sz w:val="22"/>
          <w:highlight w:val="none"/>
        </w:rPr>
        <w:t>各评标委员会成员</w:t>
      </w:r>
      <w:r>
        <w:rPr>
          <w:rFonts w:hint="eastAsia" w:ascii="新宋体" w:hAnsi="新宋体" w:eastAsia="新宋体" w:cs="新宋体"/>
          <w:color w:val="auto"/>
          <w:sz w:val="22"/>
          <w:szCs w:val="22"/>
          <w:highlight w:val="none"/>
        </w:rPr>
        <w:t>对各投标人的各项评分内容评分的算术平均值为各投标人技术分得分（小数点后按四舍五入保留2位）。</w:t>
      </w:r>
    </w:p>
    <w:tbl>
      <w:tblPr>
        <w:tblStyle w:val="55"/>
        <w:tblW w:w="9431" w:type="dxa"/>
        <w:tblInd w:w="198"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90"/>
        <w:gridCol w:w="1896"/>
        <w:gridCol w:w="817"/>
        <w:gridCol w:w="5928"/>
      </w:tblGrid>
      <w:tr w14:paraId="39BB8F7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90" w:type="dxa"/>
            <w:vAlign w:val="center"/>
          </w:tcPr>
          <w:p w14:paraId="678FAB91">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1896" w:type="dxa"/>
            <w:vAlign w:val="center"/>
          </w:tcPr>
          <w:p w14:paraId="6FB0CF2E">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评分内容</w:t>
            </w:r>
          </w:p>
        </w:tc>
        <w:tc>
          <w:tcPr>
            <w:tcW w:w="817" w:type="dxa"/>
            <w:vAlign w:val="center"/>
          </w:tcPr>
          <w:p w14:paraId="30F66ED4">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分数</w:t>
            </w:r>
          </w:p>
        </w:tc>
        <w:tc>
          <w:tcPr>
            <w:tcW w:w="5928" w:type="dxa"/>
            <w:vAlign w:val="center"/>
          </w:tcPr>
          <w:p w14:paraId="6154A257">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评分细则</w:t>
            </w:r>
          </w:p>
        </w:tc>
      </w:tr>
      <w:tr w14:paraId="6D97889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90" w:type="dxa"/>
            <w:vAlign w:val="center"/>
          </w:tcPr>
          <w:p w14:paraId="6119CD56">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1896" w:type="dxa"/>
            <w:vAlign w:val="center"/>
          </w:tcPr>
          <w:p w14:paraId="66A9B77F">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投标人情况</w:t>
            </w:r>
          </w:p>
        </w:tc>
        <w:tc>
          <w:tcPr>
            <w:tcW w:w="817" w:type="dxa"/>
            <w:vAlign w:val="center"/>
          </w:tcPr>
          <w:p w14:paraId="62AA5AC6">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6分</w:t>
            </w:r>
          </w:p>
        </w:tc>
        <w:tc>
          <w:tcPr>
            <w:tcW w:w="5928" w:type="dxa"/>
            <w:vAlign w:val="center"/>
          </w:tcPr>
          <w:p w14:paraId="29860267">
            <w:pPr>
              <w:widowControl/>
              <w:spacing w:line="460" w:lineRule="exact"/>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具有质量管理体系认证证书得2分。</w:t>
            </w:r>
          </w:p>
          <w:p w14:paraId="6DC310EB">
            <w:pPr>
              <w:widowControl/>
              <w:spacing w:line="460" w:lineRule="exact"/>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具有环境管理体系认证证书得2分。</w:t>
            </w:r>
          </w:p>
          <w:p w14:paraId="57A6B344">
            <w:pPr>
              <w:widowControl/>
              <w:spacing w:line="460" w:lineRule="exact"/>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具有职业健康安全管理体系认证证书得2分。</w:t>
            </w:r>
          </w:p>
          <w:p w14:paraId="5EFDF17C">
            <w:pPr>
              <w:spacing w:line="460" w:lineRule="exact"/>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提供证书复印件（须在有效期内）加盖投标人公章。</w:t>
            </w:r>
          </w:p>
        </w:tc>
      </w:tr>
      <w:tr w14:paraId="5C2743D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90" w:type="dxa"/>
            <w:vAlign w:val="center"/>
          </w:tcPr>
          <w:p w14:paraId="3F5AA9FB">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1896" w:type="dxa"/>
            <w:vAlign w:val="center"/>
          </w:tcPr>
          <w:p w14:paraId="40DD580B">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服务响应偏离</w:t>
            </w:r>
          </w:p>
        </w:tc>
        <w:tc>
          <w:tcPr>
            <w:tcW w:w="817" w:type="dxa"/>
            <w:vAlign w:val="center"/>
          </w:tcPr>
          <w:p w14:paraId="1B961BC6">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30分</w:t>
            </w:r>
          </w:p>
        </w:tc>
        <w:tc>
          <w:tcPr>
            <w:tcW w:w="5928" w:type="dxa"/>
            <w:vAlign w:val="center"/>
          </w:tcPr>
          <w:p w14:paraId="346DDD81">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根据技术指标中服务要求和打印机参数，</w:t>
            </w:r>
            <w:r>
              <w:rPr>
                <w:rFonts w:hint="eastAsia" w:ascii="新宋体" w:hAnsi="新宋体" w:eastAsia="新宋体" w:cs="新宋体"/>
                <w:color w:val="auto"/>
                <w:sz w:val="22"/>
                <w:szCs w:val="22"/>
                <w:highlight w:val="none"/>
                <w:lang w:val="zh-CN"/>
              </w:rPr>
              <w:t>有一项</w:t>
            </w:r>
            <w:r>
              <w:rPr>
                <w:rFonts w:hint="eastAsia" w:ascii="新宋体" w:hAnsi="新宋体" w:eastAsia="新宋体" w:cs="新宋体"/>
                <w:color w:val="auto"/>
                <w:sz w:val="22"/>
                <w:szCs w:val="22"/>
                <w:highlight w:val="none"/>
              </w:rPr>
              <w:t>内容或功能</w:t>
            </w:r>
            <w:r>
              <w:rPr>
                <w:rFonts w:hint="eastAsia" w:ascii="新宋体" w:hAnsi="新宋体" w:eastAsia="新宋体" w:cs="新宋体"/>
                <w:color w:val="auto"/>
                <w:sz w:val="22"/>
                <w:szCs w:val="22"/>
                <w:highlight w:val="none"/>
                <w:lang w:val="zh-CN"/>
              </w:rPr>
              <w:t>不能满足招标文件的要求扣1分，扣完为止。</w:t>
            </w:r>
          </w:p>
        </w:tc>
      </w:tr>
      <w:tr w14:paraId="05D4631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90" w:type="dxa"/>
            <w:vAlign w:val="center"/>
          </w:tcPr>
          <w:p w14:paraId="3ADE9FEC">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p>
        </w:tc>
        <w:tc>
          <w:tcPr>
            <w:tcW w:w="1896" w:type="dxa"/>
            <w:vAlign w:val="center"/>
          </w:tcPr>
          <w:p w14:paraId="32796355">
            <w:pPr>
              <w:spacing w:line="460" w:lineRule="exact"/>
              <w:jc w:val="center"/>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rPr>
              <w:t>打印机配置与性能</w:t>
            </w:r>
          </w:p>
        </w:tc>
        <w:tc>
          <w:tcPr>
            <w:tcW w:w="817" w:type="dxa"/>
            <w:vAlign w:val="center"/>
          </w:tcPr>
          <w:p w14:paraId="55A6CCE0">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6分</w:t>
            </w:r>
          </w:p>
        </w:tc>
        <w:tc>
          <w:tcPr>
            <w:tcW w:w="5928" w:type="dxa"/>
            <w:vAlign w:val="center"/>
          </w:tcPr>
          <w:p w14:paraId="4E8D4E9E">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根据技术指标中打印机配置与性能</w:t>
            </w:r>
            <w:r>
              <w:rPr>
                <w:rFonts w:hint="eastAsia" w:ascii="新宋体" w:hAnsi="新宋体" w:eastAsia="新宋体" w:cs="新宋体"/>
                <w:color w:val="auto"/>
                <w:sz w:val="22"/>
                <w:szCs w:val="22"/>
                <w:highlight w:val="none"/>
                <w:lang w:val="en-US" w:eastAsia="zh-CN"/>
              </w:rPr>
              <w:t>综合评分</w:t>
            </w:r>
            <w:r>
              <w:rPr>
                <w:rFonts w:hint="eastAsia" w:ascii="新宋体" w:hAnsi="新宋体" w:eastAsia="新宋体" w:cs="新宋体"/>
                <w:color w:val="auto"/>
                <w:sz w:val="22"/>
                <w:szCs w:val="22"/>
                <w:highlight w:val="none"/>
              </w:rPr>
              <w:t>。（评分范围</w:t>
            </w:r>
            <w:r>
              <w:rPr>
                <w:rFonts w:hint="eastAsia" w:ascii="新宋体" w:hAnsi="新宋体" w:eastAsia="新宋体" w:cs="新宋体"/>
                <w:color w:val="auto"/>
                <w:sz w:val="22"/>
                <w:szCs w:val="22"/>
                <w:highlight w:val="none"/>
                <w:lang w:val="en-US" w:eastAsia="zh-CN"/>
              </w:rPr>
              <w:t>6</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，0）</w:t>
            </w:r>
          </w:p>
        </w:tc>
      </w:tr>
      <w:tr w14:paraId="1FB8414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36" w:hRule="atLeast"/>
        </w:trPr>
        <w:tc>
          <w:tcPr>
            <w:tcW w:w="790" w:type="dxa"/>
            <w:vAlign w:val="center"/>
          </w:tcPr>
          <w:p w14:paraId="787CBFEF">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w:t>
            </w:r>
          </w:p>
        </w:tc>
        <w:tc>
          <w:tcPr>
            <w:tcW w:w="1896" w:type="dxa"/>
            <w:vAlign w:val="center"/>
          </w:tcPr>
          <w:p w14:paraId="79C1634D">
            <w:pPr>
              <w:spacing w:line="460" w:lineRule="exact"/>
              <w:jc w:val="center"/>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服务响应方案</w:t>
            </w:r>
          </w:p>
        </w:tc>
        <w:tc>
          <w:tcPr>
            <w:tcW w:w="817" w:type="dxa"/>
            <w:vAlign w:val="center"/>
          </w:tcPr>
          <w:p w14:paraId="3745C7C7">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分</w:t>
            </w:r>
          </w:p>
        </w:tc>
        <w:tc>
          <w:tcPr>
            <w:tcW w:w="5928" w:type="dxa"/>
            <w:vAlign w:val="center"/>
          </w:tcPr>
          <w:p w14:paraId="69BD36A8">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对投标人的服务响应方案内容完善性、实用性，便捷性</w:t>
            </w:r>
            <w:r>
              <w:rPr>
                <w:rFonts w:hint="eastAsia" w:ascii="新宋体" w:hAnsi="新宋体" w:eastAsia="新宋体" w:cs="新宋体"/>
                <w:color w:val="auto"/>
                <w:sz w:val="22"/>
                <w:szCs w:val="22"/>
                <w:highlight w:val="none"/>
                <w:lang w:val="en-US" w:eastAsia="zh-CN"/>
              </w:rPr>
              <w:t>综合评分，未提供不得分</w:t>
            </w:r>
            <w:r>
              <w:rPr>
                <w:rFonts w:hint="eastAsia" w:ascii="新宋体" w:hAnsi="新宋体" w:eastAsia="新宋体" w:cs="新宋体"/>
                <w:color w:val="auto"/>
                <w:sz w:val="22"/>
                <w:szCs w:val="22"/>
                <w:highlight w:val="none"/>
                <w:lang w:val="zh-CN"/>
              </w:rPr>
              <w:t>。（评分范围</w:t>
            </w:r>
            <w:r>
              <w:rPr>
                <w:rFonts w:hint="eastAsia" w:ascii="新宋体" w:hAnsi="新宋体" w:eastAsia="新宋体" w:cs="新宋体"/>
                <w:color w:val="auto"/>
                <w:sz w:val="22"/>
                <w:szCs w:val="22"/>
                <w:highlight w:val="none"/>
                <w:lang w:val="en-US" w:eastAsia="zh-CN"/>
              </w:rPr>
              <w:t>5，3</w:t>
            </w:r>
            <w:r>
              <w:rPr>
                <w:rFonts w:hint="eastAsia" w:ascii="新宋体" w:hAnsi="新宋体" w:eastAsia="新宋体" w:cs="新宋体"/>
                <w:color w:val="auto"/>
                <w:sz w:val="22"/>
                <w:szCs w:val="22"/>
                <w:highlight w:val="none"/>
                <w:lang w:val="zh-CN"/>
              </w:rPr>
              <w:t>，1，0）</w:t>
            </w:r>
          </w:p>
        </w:tc>
      </w:tr>
      <w:tr w14:paraId="567B95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90" w:type="dxa"/>
            <w:vAlign w:val="center"/>
          </w:tcPr>
          <w:p w14:paraId="1F759BB8">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w:t>
            </w:r>
          </w:p>
        </w:tc>
        <w:tc>
          <w:tcPr>
            <w:tcW w:w="1896" w:type="dxa"/>
            <w:vAlign w:val="center"/>
          </w:tcPr>
          <w:p w14:paraId="63A2CC46">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维护维修巡检方案</w:t>
            </w:r>
          </w:p>
        </w:tc>
        <w:tc>
          <w:tcPr>
            <w:tcW w:w="817" w:type="dxa"/>
            <w:vAlign w:val="center"/>
          </w:tcPr>
          <w:p w14:paraId="26BE826F">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分</w:t>
            </w:r>
          </w:p>
        </w:tc>
        <w:tc>
          <w:tcPr>
            <w:tcW w:w="5928" w:type="dxa"/>
            <w:vAlign w:val="center"/>
          </w:tcPr>
          <w:p w14:paraId="2F800005">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评标委员会根据维护维修巡检方案的及时性、实用性、可行性</w:t>
            </w:r>
            <w:r>
              <w:rPr>
                <w:rFonts w:hint="eastAsia" w:ascii="新宋体" w:hAnsi="新宋体" w:eastAsia="新宋体" w:cs="新宋体"/>
                <w:color w:val="auto"/>
                <w:sz w:val="22"/>
                <w:szCs w:val="22"/>
                <w:highlight w:val="none"/>
                <w:lang w:val="en-US" w:eastAsia="zh-CN"/>
              </w:rPr>
              <w:t>综合评分，未提供不得分</w:t>
            </w:r>
            <w:r>
              <w:rPr>
                <w:rFonts w:hint="eastAsia" w:ascii="新宋体" w:hAnsi="新宋体" w:eastAsia="新宋体" w:cs="新宋体"/>
                <w:color w:val="auto"/>
                <w:sz w:val="22"/>
                <w:szCs w:val="22"/>
                <w:highlight w:val="none"/>
                <w:lang w:val="zh-CN"/>
              </w:rPr>
              <w:t>。（评分范围</w:t>
            </w:r>
            <w:r>
              <w:rPr>
                <w:rFonts w:hint="eastAsia" w:ascii="新宋体" w:hAnsi="新宋体" w:eastAsia="新宋体" w:cs="新宋体"/>
                <w:color w:val="auto"/>
                <w:sz w:val="22"/>
                <w:szCs w:val="22"/>
                <w:highlight w:val="none"/>
                <w:lang w:val="en-US" w:eastAsia="zh-CN"/>
              </w:rPr>
              <w:t>5，3</w:t>
            </w:r>
            <w:r>
              <w:rPr>
                <w:rFonts w:hint="eastAsia" w:ascii="新宋体" w:hAnsi="新宋体" w:eastAsia="新宋体" w:cs="新宋体"/>
                <w:color w:val="auto"/>
                <w:sz w:val="22"/>
                <w:szCs w:val="22"/>
                <w:highlight w:val="none"/>
                <w:lang w:val="zh-CN"/>
              </w:rPr>
              <w:t>，1，0）</w:t>
            </w:r>
          </w:p>
        </w:tc>
      </w:tr>
      <w:tr w14:paraId="7BE72D1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58" w:hRule="atLeast"/>
        </w:trPr>
        <w:tc>
          <w:tcPr>
            <w:tcW w:w="790" w:type="dxa"/>
            <w:vAlign w:val="center"/>
          </w:tcPr>
          <w:p w14:paraId="7C106850">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w:t>
            </w:r>
          </w:p>
        </w:tc>
        <w:tc>
          <w:tcPr>
            <w:tcW w:w="1896" w:type="dxa"/>
            <w:vAlign w:val="center"/>
          </w:tcPr>
          <w:p w14:paraId="6468F217">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耗材性能及配送方案</w:t>
            </w:r>
          </w:p>
        </w:tc>
        <w:tc>
          <w:tcPr>
            <w:tcW w:w="817" w:type="dxa"/>
            <w:vAlign w:val="center"/>
          </w:tcPr>
          <w:p w14:paraId="75F4A4C0">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分</w:t>
            </w:r>
          </w:p>
        </w:tc>
        <w:tc>
          <w:tcPr>
            <w:tcW w:w="5928" w:type="dxa"/>
            <w:vAlign w:val="center"/>
          </w:tcPr>
          <w:p w14:paraId="037A13DF">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评标委员会根据耗材品质性能、配送方案的及时性、准确性</w:t>
            </w:r>
            <w:r>
              <w:rPr>
                <w:rFonts w:hint="eastAsia" w:ascii="新宋体" w:hAnsi="新宋体" w:eastAsia="新宋体" w:cs="新宋体"/>
                <w:color w:val="auto"/>
                <w:sz w:val="22"/>
                <w:szCs w:val="22"/>
                <w:highlight w:val="none"/>
                <w:lang w:val="en-US" w:eastAsia="zh-CN"/>
              </w:rPr>
              <w:t>综合评分，未提供不得分</w:t>
            </w:r>
            <w:r>
              <w:rPr>
                <w:rFonts w:hint="eastAsia" w:ascii="新宋体" w:hAnsi="新宋体" w:eastAsia="新宋体" w:cs="新宋体"/>
                <w:color w:val="auto"/>
                <w:sz w:val="22"/>
                <w:szCs w:val="22"/>
                <w:highlight w:val="none"/>
                <w:lang w:val="zh-CN"/>
              </w:rPr>
              <w:t>。（评分范围</w:t>
            </w:r>
            <w:r>
              <w:rPr>
                <w:rFonts w:hint="eastAsia" w:ascii="新宋体" w:hAnsi="新宋体" w:eastAsia="新宋体" w:cs="新宋体"/>
                <w:color w:val="auto"/>
                <w:sz w:val="22"/>
                <w:szCs w:val="22"/>
                <w:highlight w:val="none"/>
                <w:lang w:val="en-US" w:eastAsia="zh-CN"/>
              </w:rPr>
              <w:t>5，3</w:t>
            </w:r>
            <w:r>
              <w:rPr>
                <w:rFonts w:hint="eastAsia" w:ascii="新宋体" w:hAnsi="新宋体" w:eastAsia="新宋体" w:cs="新宋体"/>
                <w:color w:val="auto"/>
                <w:sz w:val="22"/>
                <w:szCs w:val="22"/>
                <w:highlight w:val="none"/>
                <w:lang w:val="zh-CN"/>
              </w:rPr>
              <w:t>，1，0）</w:t>
            </w:r>
          </w:p>
        </w:tc>
      </w:tr>
      <w:tr w14:paraId="4872DBE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90" w:type="dxa"/>
            <w:vAlign w:val="center"/>
          </w:tcPr>
          <w:p w14:paraId="4C46DB15">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w:t>
            </w:r>
          </w:p>
        </w:tc>
        <w:tc>
          <w:tcPr>
            <w:tcW w:w="1896" w:type="dxa"/>
            <w:vAlign w:val="center"/>
          </w:tcPr>
          <w:p w14:paraId="383257FC">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应急预案</w:t>
            </w:r>
          </w:p>
        </w:tc>
        <w:tc>
          <w:tcPr>
            <w:tcW w:w="817" w:type="dxa"/>
            <w:vAlign w:val="center"/>
          </w:tcPr>
          <w:p w14:paraId="1C7C3389">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分</w:t>
            </w:r>
          </w:p>
        </w:tc>
        <w:tc>
          <w:tcPr>
            <w:tcW w:w="5928" w:type="dxa"/>
            <w:vAlign w:val="center"/>
          </w:tcPr>
          <w:p w14:paraId="17F3D522">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供应商提供的针对本项目可能出现突发事件的应急预案</w:t>
            </w:r>
            <w:r>
              <w:rPr>
                <w:rFonts w:hint="eastAsia" w:ascii="新宋体" w:hAnsi="新宋体" w:eastAsia="新宋体" w:cs="新宋体"/>
                <w:color w:val="auto"/>
                <w:sz w:val="22"/>
                <w:szCs w:val="22"/>
                <w:highlight w:val="none"/>
                <w:lang w:val="en-US" w:eastAsia="zh-CN"/>
              </w:rPr>
              <w:t>可行性、</w:t>
            </w:r>
            <w:r>
              <w:rPr>
                <w:rFonts w:hint="eastAsia" w:ascii="新宋体" w:hAnsi="新宋体" w:eastAsia="新宋体" w:cs="新宋体"/>
                <w:color w:val="auto"/>
                <w:sz w:val="22"/>
                <w:szCs w:val="22"/>
                <w:highlight w:val="none"/>
                <w:lang w:val="zh-CN"/>
              </w:rPr>
              <w:t>合理</w:t>
            </w:r>
            <w:r>
              <w:rPr>
                <w:rFonts w:hint="eastAsia" w:ascii="新宋体" w:hAnsi="新宋体" w:eastAsia="新宋体" w:cs="新宋体"/>
                <w:color w:val="auto"/>
                <w:sz w:val="22"/>
                <w:szCs w:val="22"/>
                <w:highlight w:val="none"/>
                <w:lang w:val="en-US" w:eastAsia="zh-CN"/>
              </w:rPr>
              <w:t>性综合评分，未提供不得分</w:t>
            </w:r>
            <w:r>
              <w:rPr>
                <w:rFonts w:hint="eastAsia" w:ascii="新宋体" w:hAnsi="新宋体" w:eastAsia="新宋体" w:cs="新宋体"/>
                <w:color w:val="auto"/>
                <w:sz w:val="22"/>
                <w:szCs w:val="22"/>
                <w:highlight w:val="none"/>
                <w:lang w:val="zh-CN"/>
              </w:rPr>
              <w:t>。（评分范围</w:t>
            </w:r>
            <w:r>
              <w:rPr>
                <w:rFonts w:hint="eastAsia" w:ascii="新宋体" w:hAnsi="新宋体" w:eastAsia="新宋体" w:cs="新宋体"/>
                <w:color w:val="auto"/>
                <w:sz w:val="22"/>
                <w:szCs w:val="22"/>
                <w:highlight w:val="none"/>
                <w:lang w:val="en-US" w:eastAsia="zh-CN"/>
              </w:rPr>
              <w:t>5，3</w:t>
            </w:r>
            <w:r>
              <w:rPr>
                <w:rFonts w:hint="eastAsia" w:ascii="新宋体" w:hAnsi="新宋体" w:eastAsia="新宋体" w:cs="新宋体"/>
                <w:color w:val="auto"/>
                <w:sz w:val="22"/>
                <w:szCs w:val="22"/>
                <w:highlight w:val="none"/>
                <w:lang w:val="zh-CN"/>
              </w:rPr>
              <w:t>，1，0）</w:t>
            </w:r>
          </w:p>
        </w:tc>
      </w:tr>
      <w:tr w14:paraId="17C0E14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90" w:type="dxa"/>
            <w:vAlign w:val="center"/>
          </w:tcPr>
          <w:p w14:paraId="56B7FF8D">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w:t>
            </w:r>
          </w:p>
        </w:tc>
        <w:tc>
          <w:tcPr>
            <w:tcW w:w="1896" w:type="dxa"/>
            <w:vAlign w:val="center"/>
          </w:tcPr>
          <w:p w14:paraId="1500D3BC">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售后服务</w:t>
            </w:r>
          </w:p>
        </w:tc>
        <w:tc>
          <w:tcPr>
            <w:tcW w:w="817" w:type="dxa"/>
            <w:vAlign w:val="center"/>
          </w:tcPr>
          <w:p w14:paraId="4765393B">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分</w:t>
            </w:r>
          </w:p>
        </w:tc>
        <w:tc>
          <w:tcPr>
            <w:tcW w:w="5928" w:type="dxa"/>
            <w:vAlign w:val="center"/>
          </w:tcPr>
          <w:p w14:paraId="1BC59E12">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售后服务的具体措施</w:t>
            </w:r>
            <w:r>
              <w:rPr>
                <w:rFonts w:hint="eastAsia" w:ascii="新宋体" w:hAnsi="新宋体" w:eastAsia="新宋体" w:cs="新宋体"/>
                <w:color w:val="auto"/>
                <w:sz w:val="22"/>
                <w:szCs w:val="22"/>
                <w:highlight w:val="none"/>
                <w:lang w:val="en-US" w:eastAsia="zh-CN"/>
              </w:rPr>
              <w:t>综合评分，未提供不得分</w:t>
            </w:r>
            <w:r>
              <w:rPr>
                <w:rFonts w:hint="eastAsia" w:ascii="新宋体" w:hAnsi="新宋体" w:eastAsia="新宋体" w:cs="新宋体"/>
                <w:color w:val="auto"/>
                <w:sz w:val="22"/>
                <w:szCs w:val="22"/>
                <w:highlight w:val="none"/>
              </w:rPr>
              <w:t>。（评分范围</w:t>
            </w:r>
            <w:r>
              <w:rPr>
                <w:rFonts w:hint="eastAsia" w:ascii="新宋体" w:hAnsi="新宋体" w:eastAsia="新宋体" w:cs="新宋体"/>
                <w:color w:val="auto"/>
                <w:sz w:val="22"/>
                <w:szCs w:val="22"/>
                <w:highlight w:val="none"/>
                <w:lang w:val="en-US" w:eastAsia="zh-CN"/>
              </w:rPr>
              <w:t>5，3</w:t>
            </w:r>
            <w:r>
              <w:rPr>
                <w:rFonts w:hint="eastAsia" w:ascii="新宋体" w:hAnsi="新宋体" w:eastAsia="新宋体" w:cs="新宋体"/>
                <w:color w:val="auto"/>
                <w:sz w:val="22"/>
                <w:szCs w:val="22"/>
                <w:highlight w:val="none"/>
                <w:lang w:val="zh-CN"/>
              </w:rPr>
              <w:t>，1，0</w:t>
            </w:r>
            <w:r>
              <w:rPr>
                <w:rFonts w:hint="eastAsia" w:ascii="新宋体" w:hAnsi="新宋体" w:eastAsia="新宋体" w:cs="新宋体"/>
                <w:color w:val="auto"/>
                <w:sz w:val="22"/>
                <w:szCs w:val="22"/>
                <w:highlight w:val="none"/>
              </w:rPr>
              <w:t>）</w:t>
            </w:r>
          </w:p>
        </w:tc>
      </w:tr>
      <w:tr w14:paraId="15502C3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70" w:hRule="atLeast"/>
        </w:trPr>
        <w:tc>
          <w:tcPr>
            <w:tcW w:w="790" w:type="dxa"/>
            <w:vAlign w:val="center"/>
          </w:tcPr>
          <w:p w14:paraId="52E1080C">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9</w:t>
            </w:r>
          </w:p>
        </w:tc>
        <w:tc>
          <w:tcPr>
            <w:tcW w:w="1896" w:type="dxa"/>
            <w:vAlign w:val="center"/>
          </w:tcPr>
          <w:p w14:paraId="5EA9C797">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业绩</w:t>
            </w:r>
          </w:p>
        </w:tc>
        <w:tc>
          <w:tcPr>
            <w:tcW w:w="817" w:type="dxa"/>
            <w:vAlign w:val="center"/>
          </w:tcPr>
          <w:p w14:paraId="2907F298">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928" w:type="dxa"/>
            <w:vAlign w:val="center"/>
          </w:tcPr>
          <w:p w14:paraId="25AC8F45">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提供投标人202</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年1月1日以来签署医疗打印外包项目业绩，以合同复印件为准，每提供一份得1分，最高得3分（提供合同复印件，加盖公章）。</w:t>
            </w:r>
          </w:p>
        </w:tc>
      </w:tr>
    </w:tbl>
    <w:p w14:paraId="778FD539">
      <w:pPr>
        <w:pStyle w:val="24"/>
        <w:keepNext w:val="0"/>
        <w:keepLines w:val="0"/>
        <w:pageBreakBefore w:val="0"/>
        <w:widowControl w:val="0"/>
        <w:kinsoku/>
        <w:wordWrap/>
        <w:overflowPunct/>
        <w:topLinePunct w:val="0"/>
        <w:autoSpaceDE/>
        <w:autoSpaceDN/>
        <w:bidi w:val="0"/>
        <w:adjustRightInd/>
        <w:snapToGrid/>
        <w:spacing w:line="460" w:lineRule="exact"/>
        <w:ind w:left="0" w:firstLine="442" w:firstLineChars="200"/>
        <w:textAlignment w:val="auto"/>
        <w:rPr>
          <w:rFonts w:ascii="宋体" w:hAnsi="宋体" w:cs="宋体"/>
          <w:b/>
          <w:color w:val="auto"/>
          <w:sz w:val="22"/>
          <w:szCs w:val="22"/>
          <w:highlight w:val="none"/>
        </w:rPr>
      </w:pPr>
      <w:r>
        <w:rPr>
          <w:rFonts w:hint="eastAsia" w:ascii="宋体" w:hAnsi="宋体" w:cs="宋体"/>
          <w:b/>
          <w:color w:val="auto"/>
          <w:sz w:val="22"/>
          <w:szCs w:val="22"/>
          <w:highlight w:val="none"/>
        </w:rPr>
        <w:t>2、报价评分30分（权值30%；其中A分为25%，B分为5%）</w:t>
      </w:r>
    </w:p>
    <w:p w14:paraId="34973FD0">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2.1</w:t>
      </w:r>
      <w:r>
        <w:rPr>
          <w:rFonts w:hint="eastAsia" w:ascii="新宋体" w:hAnsi="新宋体" w:eastAsia="新宋体" w:cs="新宋体"/>
          <w:b/>
          <w:color w:val="auto"/>
          <w:sz w:val="22"/>
          <w:szCs w:val="22"/>
          <w:highlight w:val="none"/>
          <w:lang w:eastAsia="zh-CN"/>
        </w:rPr>
        <w:t>、</w:t>
      </w:r>
      <w:r>
        <w:rPr>
          <w:rFonts w:hint="eastAsia" w:ascii="新宋体" w:hAnsi="新宋体" w:eastAsia="新宋体" w:cs="新宋体"/>
          <w:b/>
          <w:color w:val="auto"/>
          <w:sz w:val="22"/>
          <w:szCs w:val="22"/>
          <w:highlight w:val="none"/>
        </w:rPr>
        <w:t>A分（医院文印设备硬件维护、硬件投放、耗材费用（常规打印机外包服务费））（权值25%）</w:t>
      </w:r>
    </w:p>
    <w:p w14:paraId="01FE96E9">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1）满足招标文件要求且报价最低的报价为评标基准价，其余投标人投标报价与该基准价对比，计算出各</w:t>
      </w:r>
      <w:r>
        <w:rPr>
          <w:rFonts w:hint="eastAsia" w:ascii="宋体" w:hAnsi="宋体" w:cs="宋体"/>
          <w:color w:val="auto"/>
          <w:kern w:val="0"/>
          <w:sz w:val="22"/>
          <w:szCs w:val="22"/>
          <w:highlight w:val="none"/>
        </w:rPr>
        <w:t>物品</w:t>
      </w:r>
      <w:r>
        <w:rPr>
          <w:rFonts w:hint="eastAsia" w:ascii="新宋体" w:hAnsi="新宋体" w:eastAsia="新宋体"/>
          <w:color w:val="auto"/>
          <w:sz w:val="22"/>
          <w:szCs w:val="22"/>
          <w:highlight w:val="none"/>
        </w:rPr>
        <w:t>报价评分值。</w:t>
      </w:r>
    </w:p>
    <w:p w14:paraId="3633FAA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2）各投标人投标报价得分按下按以下公式计算：</w:t>
      </w:r>
    </w:p>
    <w:p w14:paraId="3F1C5EEF">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宋体" w:hAnsi="宋体" w:cs="宋体"/>
          <w:color w:val="auto"/>
          <w:sz w:val="22"/>
          <w:szCs w:val="22"/>
          <w:highlight w:val="none"/>
        </w:rPr>
      </w:pPr>
      <w:r>
        <w:rPr>
          <w:rFonts w:hint="eastAsia" w:ascii="宋体" w:hAnsi="宋体" w:cs="宋体"/>
          <w:color w:val="auto"/>
          <w:sz w:val="22"/>
          <w:szCs w:val="22"/>
          <w:highlight w:val="none"/>
        </w:rPr>
        <w:t>有效投标人的投标报价等于评标基准价时其报价分为满分25分；</w:t>
      </w:r>
    </w:p>
    <w:p w14:paraId="41481A9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宋体" w:hAnsi="宋体" w:cs="宋体"/>
          <w:color w:val="auto"/>
          <w:sz w:val="22"/>
          <w:szCs w:val="22"/>
          <w:highlight w:val="none"/>
        </w:rPr>
      </w:pPr>
      <w:r>
        <w:rPr>
          <w:rFonts w:hint="eastAsia" w:ascii="宋体" w:hAnsi="宋体" w:cs="宋体"/>
          <w:color w:val="auto"/>
          <w:sz w:val="22"/>
          <w:szCs w:val="22"/>
          <w:highlight w:val="none"/>
        </w:rPr>
        <w:t>其他投标人的价格分按以下公式计算：</w:t>
      </w:r>
    </w:p>
    <w:p w14:paraId="5A220DD1">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olor w:val="auto"/>
          <w:sz w:val="22"/>
          <w:szCs w:val="22"/>
          <w:highlight w:val="none"/>
        </w:rPr>
      </w:pPr>
      <w:r>
        <w:rPr>
          <w:rFonts w:hint="eastAsia" w:ascii="宋体" w:hAnsi="宋体" w:cs="宋体"/>
          <w:color w:val="auto"/>
          <w:sz w:val="22"/>
          <w:szCs w:val="22"/>
          <w:highlight w:val="none"/>
        </w:rPr>
        <w:t>投标报价得分=（评分基准价/投标人投标报价）× 价格权值 ×100（保留小数2位）</w:t>
      </w:r>
    </w:p>
    <w:p w14:paraId="0064B61F">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2.2</w:t>
      </w:r>
      <w:r>
        <w:rPr>
          <w:rFonts w:hint="eastAsia" w:ascii="新宋体" w:hAnsi="新宋体" w:eastAsia="新宋体" w:cs="新宋体"/>
          <w:b/>
          <w:bCs/>
          <w:color w:val="auto"/>
          <w:sz w:val="22"/>
          <w:szCs w:val="22"/>
          <w:highlight w:val="none"/>
          <w:lang w:eastAsia="zh-CN"/>
        </w:rPr>
        <w:t>、</w:t>
      </w:r>
      <w:r>
        <w:rPr>
          <w:rFonts w:hint="eastAsia" w:ascii="新宋体" w:hAnsi="新宋体" w:eastAsia="新宋体" w:cs="新宋体"/>
          <w:b/>
          <w:bCs/>
          <w:color w:val="auto"/>
          <w:sz w:val="22"/>
          <w:szCs w:val="22"/>
          <w:highlight w:val="none"/>
        </w:rPr>
        <w:t>B分（黑白打印机（打印量需求较小的）、黑白打印机（打印量需求大的）、彩色打印机、复合打印机各单价之和）</w:t>
      </w:r>
      <w:r>
        <w:rPr>
          <w:rFonts w:hint="eastAsia" w:ascii="新宋体" w:hAnsi="新宋体" w:eastAsia="新宋体" w:cs="新宋体"/>
          <w:b/>
          <w:color w:val="auto"/>
          <w:sz w:val="22"/>
          <w:szCs w:val="22"/>
          <w:highlight w:val="none"/>
        </w:rPr>
        <w:t>（权值：5%）</w:t>
      </w:r>
    </w:p>
    <w:p w14:paraId="210687C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满足招标文件要求且最低报价为评标基准值，其余投标人报价与该基准值对比，计算出商务报价评分值（保留小数2位）：</w:t>
      </w:r>
    </w:p>
    <w:p w14:paraId="28F74BE5">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1）有效投标人的投标报价等于评标基准值时其报价分为满分5分；</w:t>
      </w:r>
    </w:p>
    <w:p w14:paraId="1F112A73">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2）其他投标人的价格分按以下公式计算：</w:t>
      </w:r>
    </w:p>
    <w:p w14:paraId="1B78F23A">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投标报价得分=（评标基准值/投标人报价）× 价格权值 （保留小数2位）</w:t>
      </w:r>
    </w:p>
    <w:p w14:paraId="1372EBE3">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ascii="宋体" w:hAnsi="宋体" w:cs="宋体"/>
          <w:b/>
          <w:bCs/>
          <w:color w:val="auto"/>
          <w:sz w:val="22"/>
          <w:szCs w:val="22"/>
          <w:highlight w:val="none"/>
        </w:rPr>
      </w:pPr>
      <w:r>
        <w:rPr>
          <w:rFonts w:hint="eastAsia" w:ascii="新宋体" w:hAnsi="新宋体" w:eastAsia="新宋体" w:cs="新宋体"/>
          <w:b/>
          <w:bCs/>
          <w:color w:val="auto"/>
          <w:sz w:val="22"/>
          <w:szCs w:val="22"/>
          <w:highlight w:val="none"/>
        </w:rPr>
        <w:t>2.3</w:t>
      </w:r>
      <w:r>
        <w:rPr>
          <w:rFonts w:hint="eastAsia" w:ascii="新宋体" w:hAnsi="新宋体" w:eastAsia="新宋体" w:cs="新宋体"/>
          <w:b/>
          <w:bCs/>
          <w:color w:val="auto"/>
          <w:sz w:val="22"/>
          <w:szCs w:val="22"/>
          <w:highlight w:val="none"/>
          <w:lang w:eastAsia="zh-CN"/>
        </w:rPr>
        <w:t>、</w:t>
      </w:r>
      <w:r>
        <w:rPr>
          <w:rFonts w:hint="eastAsia" w:ascii="新宋体" w:hAnsi="新宋体" w:eastAsia="新宋体"/>
          <w:b/>
          <w:bCs/>
          <w:color w:val="auto"/>
          <w:sz w:val="22"/>
          <w:szCs w:val="22"/>
          <w:highlight w:val="none"/>
        </w:rPr>
        <w:t>各投标人的商务（报价）分为A分与B分之和。</w:t>
      </w:r>
    </w:p>
    <w:p w14:paraId="7DF4EA1F">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3、有效投标人的综合得分为技术分和商务（报价）分的总和。</w:t>
      </w:r>
    </w:p>
    <w:p w14:paraId="336E1410">
      <w:pPr>
        <w:spacing w:line="460" w:lineRule="exact"/>
        <w:ind w:firstLine="442" w:firstLineChars="200"/>
        <w:rPr>
          <w:rFonts w:hint="eastAsia"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4、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6B9C2F3B">
      <w:pPr>
        <w:spacing w:line="460" w:lineRule="exact"/>
        <w:ind w:firstLine="442" w:firstLineChars="200"/>
        <w:outlineLvl w:val="1"/>
        <w:rPr>
          <w:rFonts w:hint="eastAsia" w:ascii="新宋体" w:hAnsi="新宋体" w:eastAsia="新宋体" w:cs="新宋体"/>
          <w:b/>
          <w:bCs/>
          <w:color w:val="auto"/>
          <w:sz w:val="22"/>
          <w:szCs w:val="22"/>
          <w:highlight w:val="none"/>
        </w:rPr>
      </w:pPr>
      <w:bookmarkStart w:id="101" w:name="_Toc10367"/>
      <w:bookmarkStart w:id="102" w:name="_Toc29392"/>
      <w:bookmarkStart w:id="103" w:name="_Toc30284"/>
      <w:r>
        <w:rPr>
          <w:rFonts w:hint="eastAsia" w:ascii="新宋体" w:hAnsi="新宋体" w:eastAsia="新宋体" w:cs="新宋体"/>
          <w:b/>
          <w:bCs/>
          <w:color w:val="auto"/>
          <w:sz w:val="22"/>
          <w:szCs w:val="22"/>
          <w:highlight w:val="none"/>
        </w:rPr>
        <w:t>六、定标办法</w:t>
      </w:r>
      <w:bookmarkEnd w:id="101"/>
      <w:bookmarkEnd w:id="102"/>
      <w:bookmarkEnd w:id="103"/>
    </w:p>
    <w:p w14:paraId="58568631">
      <w:pPr>
        <w:spacing w:line="460" w:lineRule="exact"/>
        <w:ind w:firstLine="440" w:firstLineChars="200"/>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确定中标候选人</w:t>
      </w:r>
    </w:p>
    <w:p w14:paraId="71D0553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1.1由评标委员会确定中标候选人。</w:t>
      </w:r>
    </w:p>
    <w:p w14:paraId="7714FB7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1.2评标委员会依据法律、法规及招标文件有关规定按评审后得分（即技术分与商务分之和）由高到低顺序排序，得分前二名的投标人确定为该项目的第一和第二中标候选人（得分相同的，按投标报价由低到高顺序排列。得分且投标报价相同的并列。）向招标人推荐。</w:t>
      </w:r>
    </w:p>
    <w:p w14:paraId="719F2709">
      <w:pPr>
        <w:spacing w:line="460" w:lineRule="exact"/>
        <w:ind w:firstLine="442" w:firstLineChars="200"/>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2、确定中标人</w:t>
      </w:r>
    </w:p>
    <w:p w14:paraId="6494FA89">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2.1招标人按照书面评标报告中推荐的中标候选供应商顺序确定中标人；也可以事先授权评标委员会按照推荐的中标候选供应商顺序直接确定中标人。中标候选人并列的，由评标委员会全体成员记名投票按少数服从多数的原则确定排名。</w:t>
      </w:r>
    </w:p>
    <w:p w14:paraId="25AFC58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2.2如中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中标人或重新组织招标。</w:t>
      </w:r>
    </w:p>
    <w:p w14:paraId="6923182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中标人确定后，招标人将在政府指定媒体公告中标结果，招标人向中标人发出中标通知书。</w:t>
      </w:r>
    </w:p>
    <w:p w14:paraId="5339CB49">
      <w:pPr>
        <w:spacing w:line="460" w:lineRule="exact"/>
        <w:ind w:firstLine="442" w:firstLineChars="200"/>
        <w:outlineLvl w:val="1"/>
        <w:rPr>
          <w:rFonts w:hint="eastAsia" w:ascii="新宋体" w:hAnsi="新宋体" w:eastAsia="新宋体" w:cs="新宋体"/>
          <w:b/>
          <w:color w:val="auto"/>
          <w:sz w:val="22"/>
          <w:szCs w:val="22"/>
          <w:highlight w:val="none"/>
        </w:rPr>
      </w:pPr>
      <w:bookmarkStart w:id="104" w:name="_Toc11829"/>
      <w:bookmarkStart w:id="105" w:name="_Toc21888"/>
      <w:bookmarkStart w:id="106" w:name="_Toc14862"/>
      <w:r>
        <w:rPr>
          <w:rFonts w:hint="eastAsia" w:ascii="新宋体" w:hAnsi="新宋体" w:eastAsia="新宋体" w:cs="新宋体"/>
          <w:b/>
          <w:color w:val="auto"/>
          <w:sz w:val="22"/>
          <w:szCs w:val="22"/>
          <w:highlight w:val="none"/>
        </w:rPr>
        <w:t>七、投标人义务</w:t>
      </w:r>
      <w:bookmarkEnd w:id="104"/>
      <w:bookmarkEnd w:id="105"/>
      <w:bookmarkEnd w:id="106"/>
    </w:p>
    <w:p w14:paraId="104EB785">
      <w:pPr>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rPr>
        <w:t>投标人应随时接受评标委员会的询标，解答包括有关的商务、技术问题等。评标结束，所有评标资料存招标机构备查。</w:t>
      </w:r>
    </w:p>
    <w:p w14:paraId="57AAEA73">
      <w:pPr>
        <w:spacing w:line="460" w:lineRule="exact"/>
        <w:ind w:firstLine="442" w:firstLineChars="200"/>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2、项目开评标结束后，投标供应商须提供纸质投标响应文件并加盖单位公章一份，送至代理公司。</w:t>
      </w:r>
    </w:p>
    <w:bookmarkEnd w:id="107"/>
    <w:sectPr>
      <w:headerReference r:id="rId9" w:type="default"/>
      <w:footerReference r:id="rId10" w:type="default"/>
      <w:pgSz w:w="11906" w:h="16838"/>
      <w:pgMar w:top="1134" w:right="1134" w:bottom="1134" w:left="1134" w:header="850"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auto"/>
    <w:pitch w:val="default"/>
    <w:sig w:usb0="0000020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Wingdings 2">
    <w:panose1 w:val="05020102010507070707"/>
    <w:charset w:val="02"/>
    <w:family w:val="roman"/>
    <w:pitch w:val="default"/>
    <w:sig w:usb0="00000000" w:usb1="00000000" w:usb2="00000000" w:usb3="00000000" w:csb0="80000000" w:csb1="0000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entury Gothic">
    <w:panose1 w:val="020B0502020202020204"/>
    <w:charset w:val="00"/>
    <w:family w:val="swiss"/>
    <w:pitch w:val="default"/>
    <w:sig w:usb0="00000287" w:usb1="00000000" w:usb2="00000000" w:usb3="00000000" w:csb0="2000009F" w:csb1="DFD70000"/>
  </w:font>
  <w:font w:name="Verdana">
    <w:panose1 w:val="020B0604030504040204"/>
    <w:charset w:val="00"/>
    <w:family w:val="swiss"/>
    <w:pitch w:val="default"/>
    <w:sig w:usb0="A00006FF" w:usb1="4000205B" w:usb2="0000001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Helvetica">
    <w:altName w:val="Arial"/>
    <w:panose1 w:val="020B0604020202020204"/>
    <w:charset w:val="00"/>
    <w:family w:val="swiss"/>
    <w:pitch w:val="default"/>
    <w:sig w:usb0="00000000" w:usb1="00000000" w:usb2="00000000" w:usb3="00000000" w:csb0="00000000" w:csb1="00000000"/>
  </w:font>
  <w:font w:name="Noto Sans CJK JP Regular">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Arial Narrow">
    <w:panose1 w:val="020B0606020202030204"/>
    <w:charset w:val="00"/>
    <w:family w:val="swiss"/>
    <w:pitch w:val="default"/>
    <w:sig w:usb0="00000287" w:usb1="00000800" w:usb2="00000000" w:usb3="00000000" w:csb0="2000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C8661F">
    <w:pPr>
      <w:pStyle w:val="37"/>
      <w:ind w:right="360" w:firstLine="4500" w:firstLineChars="250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FD0742">
                          <w:pPr>
                            <w:pStyle w:val="3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CFD0742">
                    <w:pPr>
                      <w:pStyle w:val="37"/>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956A9B">
    <w:pPr>
      <w:pStyle w:val="3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495457">
                          <w:pPr>
                            <w:pStyle w:val="3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4495457">
                    <w:pPr>
                      <w:pStyle w:val="3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AFCA75">
    <w:pPr>
      <w:pStyle w:val="37"/>
      <w:ind w:right="360" w:firstLine="4500" w:firstLineChars="2500"/>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CC436E">
                          <w:pPr>
                            <w:pStyle w:val="37"/>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5BCC436E">
                    <w:pPr>
                      <w:pStyle w:val="37"/>
                    </w:pPr>
                    <w:r>
                      <w:fldChar w:fldCharType="begin"/>
                    </w:r>
                    <w:r>
                      <w:instrText xml:space="preserve"> PAGE  \* MERGEFORMAT </w:instrText>
                    </w:r>
                    <w:r>
                      <w:fldChar w:fldCharType="separate"/>
                    </w:r>
                    <w:r>
                      <w:t>42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D4A2D7">
    <w:pPr>
      <w:pStyle w:val="39"/>
      <w:pBdr>
        <w:bottom w:val="single" w:color="auto" w:sz="4" w:space="1"/>
      </w:pBdr>
      <w:jc w:val="left"/>
      <w:rPr>
        <w:rFonts w:hint="eastAsia" w:ascii="新宋体" w:hAnsi="新宋体" w:eastAsia="新宋体" w:cs="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WZLCZB（L）-2025-04097</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2A014F">
    <w:pPr>
      <w:pStyle w:val="39"/>
      <w:pBdr>
        <w:bottom w:val="none" w:color="auto" w:sz="0" w:space="1"/>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F22682">
    <w:pPr>
      <w:pStyle w:val="39"/>
      <w:pBdr>
        <w:bottom w:val="single" w:color="auto" w:sz="4" w:space="1"/>
      </w:pBdr>
      <w:jc w:val="left"/>
      <w:rPr>
        <w:rFonts w:hint="eastAsia" w:ascii="新宋体" w:hAnsi="新宋体" w:eastAsia="新宋体" w:cs="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WZLCZB（L）-2025-04097</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07642">
    <w:pPr>
      <w:pStyle w:val="39"/>
      <w:pBdr>
        <w:bottom w:val="single" w:color="auto" w:sz="4" w:space="1"/>
      </w:pBdr>
      <w:jc w:val="both"/>
      <w:rPr>
        <w:rFonts w:hint="eastAsia" w:ascii="新宋体" w:hAnsi="新宋体" w:eastAsia="新宋体" w:cs="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WZLCZB（L）-2025-04097</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62A8AD">
    <w:pPr>
      <w:pStyle w:val="39"/>
      <w:pBdr>
        <w:bottom w:val="single" w:color="auto" w:sz="4" w:space="0"/>
      </w:pBdr>
      <w:jc w:val="both"/>
      <w:rPr>
        <w:rFonts w:hint="eastAsia" w:ascii="新宋体" w:hAnsi="新宋体" w:eastAsia="新宋体" w:cs="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WZLCZB（L）-2025-04097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5702C2"/>
    <w:multiLevelType w:val="singleLevel"/>
    <w:tmpl w:val="A35702C2"/>
    <w:lvl w:ilvl="0" w:tentative="0">
      <w:start w:val="1"/>
      <w:numFmt w:val="decimal"/>
      <w:suff w:val="space"/>
      <w:lvlText w:val="%1."/>
      <w:lvlJc w:val="left"/>
      <w:pPr>
        <w:ind w:left="454" w:hanging="454"/>
      </w:pPr>
      <w:rPr>
        <w:rFonts w:hint="default"/>
      </w:rPr>
    </w:lvl>
  </w:abstractNum>
  <w:abstractNum w:abstractNumId="1">
    <w:nsid w:val="C7689706"/>
    <w:multiLevelType w:val="singleLevel"/>
    <w:tmpl w:val="C7689706"/>
    <w:lvl w:ilvl="0" w:tentative="0">
      <w:start w:val="1"/>
      <w:numFmt w:val="decimal"/>
      <w:suff w:val="space"/>
      <w:lvlText w:val="%1."/>
      <w:lvlJc w:val="left"/>
      <w:pPr>
        <w:ind w:left="420" w:hanging="420"/>
      </w:pPr>
      <w:rPr>
        <w:rFonts w:hint="default"/>
      </w:rPr>
    </w:lvl>
  </w:abstractNum>
  <w:abstractNum w:abstractNumId="2">
    <w:nsid w:val="D570A3CC"/>
    <w:multiLevelType w:val="singleLevel"/>
    <w:tmpl w:val="D570A3CC"/>
    <w:lvl w:ilvl="0" w:tentative="0">
      <w:start w:val="1"/>
      <w:numFmt w:val="decimal"/>
      <w:suff w:val="space"/>
      <w:lvlText w:val="%1."/>
      <w:lvlJc w:val="left"/>
      <w:pPr>
        <w:ind w:left="420" w:hanging="420"/>
      </w:pPr>
      <w:rPr>
        <w:rFonts w:hint="default"/>
      </w:rPr>
    </w:lvl>
  </w:abstractNum>
  <w:abstractNum w:abstractNumId="3">
    <w:nsid w:val="2062C1BC"/>
    <w:multiLevelType w:val="singleLevel"/>
    <w:tmpl w:val="2062C1BC"/>
    <w:lvl w:ilvl="0" w:tentative="0">
      <w:start w:val="1"/>
      <w:numFmt w:val="decimal"/>
      <w:suff w:val="space"/>
      <w:lvlText w:val="%1."/>
      <w:lvlJc w:val="left"/>
      <w:pPr>
        <w:ind w:left="420" w:hanging="420"/>
      </w:pPr>
      <w:rPr>
        <w:rFonts w:hint="default"/>
      </w:rPr>
    </w:lvl>
  </w:abstractNum>
  <w:abstractNum w:abstractNumId="4">
    <w:nsid w:val="2B6D63A8"/>
    <w:multiLevelType w:val="singleLevel"/>
    <w:tmpl w:val="2B6D63A8"/>
    <w:lvl w:ilvl="0" w:tentative="0">
      <w:start w:val="1"/>
      <w:numFmt w:val="decimal"/>
      <w:suff w:val="space"/>
      <w:lvlText w:val="%1."/>
      <w:lvlJc w:val="left"/>
      <w:pPr>
        <w:ind w:left="420" w:hanging="420"/>
      </w:pPr>
      <w:rPr>
        <w:rFonts w:hint="default"/>
      </w:rPr>
    </w:lvl>
  </w:abstractNum>
  <w:abstractNum w:abstractNumId="5">
    <w:nsid w:val="483CB49F"/>
    <w:multiLevelType w:val="singleLevel"/>
    <w:tmpl w:val="483CB49F"/>
    <w:lvl w:ilvl="0" w:tentative="0">
      <w:start w:val="1"/>
      <w:numFmt w:val="chineseCounting"/>
      <w:suff w:val="nothing"/>
      <w:lvlText w:val="%1、"/>
      <w:lvlJc w:val="left"/>
      <w:pPr>
        <w:ind w:left="0" w:firstLine="420"/>
      </w:pPr>
      <w:rPr>
        <w:rFonts w:hint="eastAsia"/>
      </w:rPr>
    </w:lvl>
  </w:abstractNum>
  <w:abstractNum w:abstractNumId="6">
    <w:nsid w:val="52D7A3B6"/>
    <w:multiLevelType w:val="singleLevel"/>
    <w:tmpl w:val="52D7A3B6"/>
    <w:lvl w:ilvl="0" w:tentative="0">
      <w:start w:val="1"/>
      <w:numFmt w:val="decimal"/>
      <w:suff w:val="nothing"/>
      <w:lvlText w:val="（%1）"/>
      <w:lvlJc w:val="left"/>
    </w:lvl>
  </w:abstractNum>
  <w:abstractNum w:abstractNumId="7">
    <w:nsid w:val="7F6C8F57"/>
    <w:multiLevelType w:val="singleLevel"/>
    <w:tmpl w:val="7F6C8F57"/>
    <w:lvl w:ilvl="0" w:tentative="0">
      <w:start w:val="1"/>
      <w:numFmt w:val="decimal"/>
      <w:suff w:val="space"/>
      <w:lvlText w:val="%1."/>
      <w:lvlJc w:val="left"/>
      <w:pPr>
        <w:ind w:left="420" w:hanging="420"/>
      </w:pPr>
      <w:rPr>
        <w:rFonts w:hint="default"/>
      </w:rPr>
    </w:lvl>
  </w:abstractNum>
  <w:num w:numId="1">
    <w:abstractNumId w:val="6"/>
  </w:num>
  <w:num w:numId="2">
    <w:abstractNumId w:val="5"/>
  </w:num>
  <w:num w:numId="3">
    <w:abstractNumId w:val="0"/>
  </w:num>
  <w:num w:numId="4">
    <w:abstractNumId w:val="1"/>
  </w:num>
  <w:num w:numId="5">
    <w:abstractNumId w:val="3"/>
  </w:num>
  <w:num w:numId="6">
    <w:abstractNumId w:val="7"/>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38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JlYTdlODVmOTJjYzM1ODE0M2M0ODc1YmU0ZTIyOWUifQ=="/>
  </w:docVars>
  <w:rsids>
    <w:rsidRoot w:val="00172A27"/>
    <w:rsid w:val="00002E80"/>
    <w:rsid w:val="00003ABD"/>
    <w:rsid w:val="000078AC"/>
    <w:rsid w:val="00010E76"/>
    <w:rsid w:val="00020693"/>
    <w:rsid w:val="0002157A"/>
    <w:rsid w:val="000217C7"/>
    <w:rsid w:val="00023C11"/>
    <w:rsid w:val="00031F49"/>
    <w:rsid w:val="0004056A"/>
    <w:rsid w:val="000474B4"/>
    <w:rsid w:val="00063600"/>
    <w:rsid w:val="00073764"/>
    <w:rsid w:val="00083DC8"/>
    <w:rsid w:val="000A2B02"/>
    <w:rsid w:val="000B69AE"/>
    <w:rsid w:val="000C74EF"/>
    <w:rsid w:val="000D4BC8"/>
    <w:rsid w:val="000E1D17"/>
    <w:rsid w:val="001018E6"/>
    <w:rsid w:val="0010260A"/>
    <w:rsid w:val="00105A24"/>
    <w:rsid w:val="00105E0F"/>
    <w:rsid w:val="00106E99"/>
    <w:rsid w:val="00107128"/>
    <w:rsid w:val="00115427"/>
    <w:rsid w:val="0013451B"/>
    <w:rsid w:val="00146E35"/>
    <w:rsid w:val="00150ACB"/>
    <w:rsid w:val="00152D27"/>
    <w:rsid w:val="0015582A"/>
    <w:rsid w:val="00167E2F"/>
    <w:rsid w:val="00167FA5"/>
    <w:rsid w:val="00172A27"/>
    <w:rsid w:val="00176791"/>
    <w:rsid w:val="00184867"/>
    <w:rsid w:val="0018600B"/>
    <w:rsid w:val="00186D2B"/>
    <w:rsid w:val="001923FE"/>
    <w:rsid w:val="00194BE8"/>
    <w:rsid w:val="0019644F"/>
    <w:rsid w:val="00197EC1"/>
    <w:rsid w:val="001A581E"/>
    <w:rsid w:val="001A6C90"/>
    <w:rsid w:val="001B0F17"/>
    <w:rsid w:val="001B1C55"/>
    <w:rsid w:val="001B2275"/>
    <w:rsid w:val="001B4F0B"/>
    <w:rsid w:val="001D4048"/>
    <w:rsid w:val="001D49A1"/>
    <w:rsid w:val="001D504A"/>
    <w:rsid w:val="001E1038"/>
    <w:rsid w:val="001E65CF"/>
    <w:rsid w:val="001F5D2B"/>
    <w:rsid w:val="00205B1C"/>
    <w:rsid w:val="00213404"/>
    <w:rsid w:val="002212E8"/>
    <w:rsid w:val="0022137B"/>
    <w:rsid w:val="00223CC1"/>
    <w:rsid w:val="00230913"/>
    <w:rsid w:val="00241110"/>
    <w:rsid w:val="00243D5B"/>
    <w:rsid w:val="002447E7"/>
    <w:rsid w:val="002457AE"/>
    <w:rsid w:val="002472BB"/>
    <w:rsid w:val="0025466D"/>
    <w:rsid w:val="00261F3C"/>
    <w:rsid w:val="00262582"/>
    <w:rsid w:val="002675F4"/>
    <w:rsid w:val="00271C2D"/>
    <w:rsid w:val="002801D5"/>
    <w:rsid w:val="002843F3"/>
    <w:rsid w:val="00296547"/>
    <w:rsid w:val="002A31D6"/>
    <w:rsid w:val="002B213D"/>
    <w:rsid w:val="002C08AE"/>
    <w:rsid w:val="002C09AD"/>
    <w:rsid w:val="002C248A"/>
    <w:rsid w:val="002D2C71"/>
    <w:rsid w:val="002D2D3D"/>
    <w:rsid w:val="002D5087"/>
    <w:rsid w:val="002E3467"/>
    <w:rsid w:val="002F096D"/>
    <w:rsid w:val="003058EA"/>
    <w:rsid w:val="003256C7"/>
    <w:rsid w:val="00327AB8"/>
    <w:rsid w:val="00330949"/>
    <w:rsid w:val="00331AF5"/>
    <w:rsid w:val="0033521C"/>
    <w:rsid w:val="00344F70"/>
    <w:rsid w:val="00351F86"/>
    <w:rsid w:val="00357A7B"/>
    <w:rsid w:val="00363F2D"/>
    <w:rsid w:val="003654EF"/>
    <w:rsid w:val="003675EB"/>
    <w:rsid w:val="00373BB2"/>
    <w:rsid w:val="00380760"/>
    <w:rsid w:val="00383B56"/>
    <w:rsid w:val="00383F1F"/>
    <w:rsid w:val="003B0A15"/>
    <w:rsid w:val="003B5050"/>
    <w:rsid w:val="003B6FDE"/>
    <w:rsid w:val="003C713C"/>
    <w:rsid w:val="003D2558"/>
    <w:rsid w:val="003E3E12"/>
    <w:rsid w:val="003E4AD4"/>
    <w:rsid w:val="003E606D"/>
    <w:rsid w:val="003F6B9E"/>
    <w:rsid w:val="00405F28"/>
    <w:rsid w:val="00411C62"/>
    <w:rsid w:val="00420EB5"/>
    <w:rsid w:val="00430AB9"/>
    <w:rsid w:val="00461389"/>
    <w:rsid w:val="0046542D"/>
    <w:rsid w:val="00467894"/>
    <w:rsid w:val="004753A5"/>
    <w:rsid w:val="00477F29"/>
    <w:rsid w:val="00496C91"/>
    <w:rsid w:val="004978F4"/>
    <w:rsid w:val="004B1069"/>
    <w:rsid w:val="004B6548"/>
    <w:rsid w:val="004B79F9"/>
    <w:rsid w:val="004C013A"/>
    <w:rsid w:val="004C4F19"/>
    <w:rsid w:val="004E16FB"/>
    <w:rsid w:val="004F4958"/>
    <w:rsid w:val="004F7FB6"/>
    <w:rsid w:val="00503797"/>
    <w:rsid w:val="00510F1A"/>
    <w:rsid w:val="0051171D"/>
    <w:rsid w:val="0051265E"/>
    <w:rsid w:val="00522EF2"/>
    <w:rsid w:val="005238A3"/>
    <w:rsid w:val="00523B90"/>
    <w:rsid w:val="0053243E"/>
    <w:rsid w:val="00532669"/>
    <w:rsid w:val="00533C40"/>
    <w:rsid w:val="00535AE7"/>
    <w:rsid w:val="00545459"/>
    <w:rsid w:val="005478DB"/>
    <w:rsid w:val="0055130D"/>
    <w:rsid w:val="00554AB1"/>
    <w:rsid w:val="00555FA3"/>
    <w:rsid w:val="00560E69"/>
    <w:rsid w:val="00561E5D"/>
    <w:rsid w:val="0056534C"/>
    <w:rsid w:val="00572B8A"/>
    <w:rsid w:val="0058145D"/>
    <w:rsid w:val="00582AEF"/>
    <w:rsid w:val="00585D9B"/>
    <w:rsid w:val="00586839"/>
    <w:rsid w:val="005A1DD3"/>
    <w:rsid w:val="005A3AA2"/>
    <w:rsid w:val="005A571A"/>
    <w:rsid w:val="005A65DF"/>
    <w:rsid w:val="005A69AF"/>
    <w:rsid w:val="005A6CC1"/>
    <w:rsid w:val="005A7086"/>
    <w:rsid w:val="005B0349"/>
    <w:rsid w:val="005B3595"/>
    <w:rsid w:val="005B6163"/>
    <w:rsid w:val="005B6F35"/>
    <w:rsid w:val="005C5DD3"/>
    <w:rsid w:val="005D4BC4"/>
    <w:rsid w:val="005F0DEA"/>
    <w:rsid w:val="005F1A5A"/>
    <w:rsid w:val="005F3BF8"/>
    <w:rsid w:val="005F4BED"/>
    <w:rsid w:val="00607685"/>
    <w:rsid w:val="00607A59"/>
    <w:rsid w:val="00607FE8"/>
    <w:rsid w:val="00612345"/>
    <w:rsid w:val="00623518"/>
    <w:rsid w:val="0063209D"/>
    <w:rsid w:val="00633387"/>
    <w:rsid w:val="0063496F"/>
    <w:rsid w:val="0064398C"/>
    <w:rsid w:val="00647AB1"/>
    <w:rsid w:val="00654A9F"/>
    <w:rsid w:val="006659A6"/>
    <w:rsid w:val="006729B3"/>
    <w:rsid w:val="0067641D"/>
    <w:rsid w:val="00682B15"/>
    <w:rsid w:val="00692D32"/>
    <w:rsid w:val="006A1188"/>
    <w:rsid w:val="006A4949"/>
    <w:rsid w:val="006B3E1C"/>
    <w:rsid w:val="006B7143"/>
    <w:rsid w:val="006B71D5"/>
    <w:rsid w:val="006C0464"/>
    <w:rsid w:val="006D5878"/>
    <w:rsid w:val="006D6C7C"/>
    <w:rsid w:val="00703B60"/>
    <w:rsid w:val="007068AC"/>
    <w:rsid w:val="00707BA3"/>
    <w:rsid w:val="00710830"/>
    <w:rsid w:val="00717367"/>
    <w:rsid w:val="00722BB3"/>
    <w:rsid w:val="00724303"/>
    <w:rsid w:val="00733606"/>
    <w:rsid w:val="00733DE3"/>
    <w:rsid w:val="00740BF1"/>
    <w:rsid w:val="00740E65"/>
    <w:rsid w:val="00742A19"/>
    <w:rsid w:val="00751F09"/>
    <w:rsid w:val="00753072"/>
    <w:rsid w:val="007546B0"/>
    <w:rsid w:val="007624E0"/>
    <w:rsid w:val="007671B7"/>
    <w:rsid w:val="00770B55"/>
    <w:rsid w:val="00774E3F"/>
    <w:rsid w:val="00776F48"/>
    <w:rsid w:val="00780CBF"/>
    <w:rsid w:val="00781B95"/>
    <w:rsid w:val="00790890"/>
    <w:rsid w:val="00792ABE"/>
    <w:rsid w:val="007A21E8"/>
    <w:rsid w:val="007A62BD"/>
    <w:rsid w:val="007A66E5"/>
    <w:rsid w:val="007E1E2E"/>
    <w:rsid w:val="007E29D6"/>
    <w:rsid w:val="007E2EDF"/>
    <w:rsid w:val="007E3E2D"/>
    <w:rsid w:val="007F2164"/>
    <w:rsid w:val="00800A72"/>
    <w:rsid w:val="00804ACD"/>
    <w:rsid w:val="00804AD8"/>
    <w:rsid w:val="0080543D"/>
    <w:rsid w:val="00817CE2"/>
    <w:rsid w:val="00832D9C"/>
    <w:rsid w:val="00836E00"/>
    <w:rsid w:val="00842531"/>
    <w:rsid w:val="00846CC5"/>
    <w:rsid w:val="00847E85"/>
    <w:rsid w:val="00850622"/>
    <w:rsid w:val="008571C1"/>
    <w:rsid w:val="0086745D"/>
    <w:rsid w:val="00870DFA"/>
    <w:rsid w:val="00871EBE"/>
    <w:rsid w:val="00872E2D"/>
    <w:rsid w:val="008732F3"/>
    <w:rsid w:val="00873949"/>
    <w:rsid w:val="00875629"/>
    <w:rsid w:val="00877499"/>
    <w:rsid w:val="00890471"/>
    <w:rsid w:val="00890DF0"/>
    <w:rsid w:val="00892732"/>
    <w:rsid w:val="00893202"/>
    <w:rsid w:val="0089599B"/>
    <w:rsid w:val="008A082B"/>
    <w:rsid w:val="008A127E"/>
    <w:rsid w:val="008B260F"/>
    <w:rsid w:val="008B2FA9"/>
    <w:rsid w:val="008B5F76"/>
    <w:rsid w:val="008C2D7B"/>
    <w:rsid w:val="008C31BC"/>
    <w:rsid w:val="008C4432"/>
    <w:rsid w:val="008E0B76"/>
    <w:rsid w:val="008E26D5"/>
    <w:rsid w:val="008E4C96"/>
    <w:rsid w:val="008E7539"/>
    <w:rsid w:val="008F0DCF"/>
    <w:rsid w:val="008F7D27"/>
    <w:rsid w:val="00902AA2"/>
    <w:rsid w:val="009254A6"/>
    <w:rsid w:val="00933974"/>
    <w:rsid w:val="00936127"/>
    <w:rsid w:val="00943489"/>
    <w:rsid w:val="00945DCB"/>
    <w:rsid w:val="00950EE3"/>
    <w:rsid w:val="009652E5"/>
    <w:rsid w:val="00973B15"/>
    <w:rsid w:val="00973F7A"/>
    <w:rsid w:val="0097671D"/>
    <w:rsid w:val="00996305"/>
    <w:rsid w:val="009967F0"/>
    <w:rsid w:val="009A7E17"/>
    <w:rsid w:val="009C435D"/>
    <w:rsid w:val="009C6CCE"/>
    <w:rsid w:val="009C748F"/>
    <w:rsid w:val="009D37BE"/>
    <w:rsid w:val="009E4BF8"/>
    <w:rsid w:val="009E4D45"/>
    <w:rsid w:val="009F3518"/>
    <w:rsid w:val="00A14039"/>
    <w:rsid w:val="00A21D21"/>
    <w:rsid w:val="00A24A5C"/>
    <w:rsid w:val="00A34798"/>
    <w:rsid w:val="00A45873"/>
    <w:rsid w:val="00A4736B"/>
    <w:rsid w:val="00A559C3"/>
    <w:rsid w:val="00A56074"/>
    <w:rsid w:val="00A60299"/>
    <w:rsid w:val="00A61909"/>
    <w:rsid w:val="00A64F47"/>
    <w:rsid w:val="00A710BB"/>
    <w:rsid w:val="00A76389"/>
    <w:rsid w:val="00A774F3"/>
    <w:rsid w:val="00A83584"/>
    <w:rsid w:val="00A92B83"/>
    <w:rsid w:val="00A957CF"/>
    <w:rsid w:val="00AA1FFB"/>
    <w:rsid w:val="00AA3DA6"/>
    <w:rsid w:val="00AA7C87"/>
    <w:rsid w:val="00AC5B73"/>
    <w:rsid w:val="00AD66E6"/>
    <w:rsid w:val="00AE41FD"/>
    <w:rsid w:val="00AE4B39"/>
    <w:rsid w:val="00AE4C53"/>
    <w:rsid w:val="00AE5FEC"/>
    <w:rsid w:val="00AF5D62"/>
    <w:rsid w:val="00B06E43"/>
    <w:rsid w:val="00B11B4C"/>
    <w:rsid w:val="00B24522"/>
    <w:rsid w:val="00B2584A"/>
    <w:rsid w:val="00B30927"/>
    <w:rsid w:val="00B31C22"/>
    <w:rsid w:val="00B334FA"/>
    <w:rsid w:val="00B43A9E"/>
    <w:rsid w:val="00B44537"/>
    <w:rsid w:val="00B524BF"/>
    <w:rsid w:val="00B550A5"/>
    <w:rsid w:val="00B5781E"/>
    <w:rsid w:val="00B677D8"/>
    <w:rsid w:val="00B74039"/>
    <w:rsid w:val="00B87E26"/>
    <w:rsid w:val="00B94665"/>
    <w:rsid w:val="00BA2AEB"/>
    <w:rsid w:val="00BA63A2"/>
    <w:rsid w:val="00BA78D1"/>
    <w:rsid w:val="00BB6A17"/>
    <w:rsid w:val="00BC0A13"/>
    <w:rsid w:val="00BC2B54"/>
    <w:rsid w:val="00BC316B"/>
    <w:rsid w:val="00BC4AC5"/>
    <w:rsid w:val="00BC66D1"/>
    <w:rsid w:val="00BC7535"/>
    <w:rsid w:val="00BD6FCB"/>
    <w:rsid w:val="00BF1399"/>
    <w:rsid w:val="00BF32BD"/>
    <w:rsid w:val="00C12358"/>
    <w:rsid w:val="00C232C8"/>
    <w:rsid w:val="00C37C94"/>
    <w:rsid w:val="00C468B7"/>
    <w:rsid w:val="00C67C97"/>
    <w:rsid w:val="00C70CE6"/>
    <w:rsid w:val="00C758F7"/>
    <w:rsid w:val="00C816DD"/>
    <w:rsid w:val="00C8615F"/>
    <w:rsid w:val="00C86B27"/>
    <w:rsid w:val="00CA5388"/>
    <w:rsid w:val="00CB41F8"/>
    <w:rsid w:val="00CB584C"/>
    <w:rsid w:val="00CC0551"/>
    <w:rsid w:val="00CC06DE"/>
    <w:rsid w:val="00CC3B91"/>
    <w:rsid w:val="00CE590D"/>
    <w:rsid w:val="00CF5C76"/>
    <w:rsid w:val="00D00FFE"/>
    <w:rsid w:val="00D13A1C"/>
    <w:rsid w:val="00D14915"/>
    <w:rsid w:val="00D224FF"/>
    <w:rsid w:val="00D27DB2"/>
    <w:rsid w:val="00D3078D"/>
    <w:rsid w:val="00D30E82"/>
    <w:rsid w:val="00D43DEF"/>
    <w:rsid w:val="00D56369"/>
    <w:rsid w:val="00D56ADD"/>
    <w:rsid w:val="00D56D61"/>
    <w:rsid w:val="00D57DBF"/>
    <w:rsid w:val="00D61B42"/>
    <w:rsid w:val="00D6418A"/>
    <w:rsid w:val="00D70EBE"/>
    <w:rsid w:val="00D71DB9"/>
    <w:rsid w:val="00D72C94"/>
    <w:rsid w:val="00D73718"/>
    <w:rsid w:val="00D74DE4"/>
    <w:rsid w:val="00D77160"/>
    <w:rsid w:val="00D7763D"/>
    <w:rsid w:val="00D81135"/>
    <w:rsid w:val="00D844F8"/>
    <w:rsid w:val="00D95598"/>
    <w:rsid w:val="00DA2FB6"/>
    <w:rsid w:val="00DB09B7"/>
    <w:rsid w:val="00DB17F3"/>
    <w:rsid w:val="00DB41D0"/>
    <w:rsid w:val="00DB5D3B"/>
    <w:rsid w:val="00DC765D"/>
    <w:rsid w:val="00DD2865"/>
    <w:rsid w:val="00DE3399"/>
    <w:rsid w:val="00DF073C"/>
    <w:rsid w:val="00DF0863"/>
    <w:rsid w:val="00DF0B3F"/>
    <w:rsid w:val="00DF0F96"/>
    <w:rsid w:val="00E02244"/>
    <w:rsid w:val="00E047B6"/>
    <w:rsid w:val="00E05AD1"/>
    <w:rsid w:val="00E1018B"/>
    <w:rsid w:val="00E11D98"/>
    <w:rsid w:val="00E173EC"/>
    <w:rsid w:val="00E22045"/>
    <w:rsid w:val="00E241DB"/>
    <w:rsid w:val="00E26AF5"/>
    <w:rsid w:val="00E300C7"/>
    <w:rsid w:val="00E36483"/>
    <w:rsid w:val="00E51FDE"/>
    <w:rsid w:val="00E53874"/>
    <w:rsid w:val="00E56BD4"/>
    <w:rsid w:val="00E57D1E"/>
    <w:rsid w:val="00E60753"/>
    <w:rsid w:val="00E62F0E"/>
    <w:rsid w:val="00E64428"/>
    <w:rsid w:val="00E72ABC"/>
    <w:rsid w:val="00E74A16"/>
    <w:rsid w:val="00E76842"/>
    <w:rsid w:val="00E76E5A"/>
    <w:rsid w:val="00E773AB"/>
    <w:rsid w:val="00E80479"/>
    <w:rsid w:val="00EA451B"/>
    <w:rsid w:val="00EB0F16"/>
    <w:rsid w:val="00EC182D"/>
    <w:rsid w:val="00EC1C21"/>
    <w:rsid w:val="00ED2873"/>
    <w:rsid w:val="00ED2D68"/>
    <w:rsid w:val="00ED4C1C"/>
    <w:rsid w:val="00EE214E"/>
    <w:rsid w:val="00EE45C7"/>
    <w:rsid w:val="00EE49F9"/>
    <w:rsid w:val="00EF0556"/>
    <w:rsid w:val="00EF207A"/>
    <w:rsid w:val="00EF26C5"/>
    <w:rsid w:val="00EF4A4C"/>
    <w:rsid w:val="00F03D32"/>
    <w:rsid w:val="00F0648A"/>
    <w:rsid w:val="00F0730B"/>
    <w:rsid w:val="00F22709"/>
    <w:rsid w:val="00F270F8"/>
    <w:rsid w:val="00F33ED3"/>
    <w:rsid w:val="00F36312"/>
    <w:rsid w:val="00F43D1A"/>
    <w:rsid w:val="00F4559A"/>
    <w:rsid w:val="00F52CCB"/>
    <w:rsid w:val="00F52CD3"/>
    <w:rsid w:val="00F52E99"/>
    <w:rsid w:val="00F60DCB"/>
    <w:rsid w:val="00F60E9A"/>
    <w:rsid w:val="00F65931"/>
    <w:rsid w:val="00F756D2"/>
    <w:rsid w:val="00F76B8E"/>
    <w:rsid w:val="00F80AAA"/>
    <w:rsid w:val="00F93625"/>
    <w:rsid w:val="00F93917"/>
    <w:rsid w:val="00F93BBA"/>
    <w:rsid w:val="00F95280"/>
    <w:rsid w:val="00FA662A"/>
    <w:rsid w:val="00FA73CB"/>
    <w:rsid w:val="00FB0CD7"/>
    <w:rsid w:val="00FB340B"/>
    <w:rsid w:val="00FB4301"/>
    <w:rsid w:val="00FB44DB"/>
    <w:rsid w:val="00FB52AA"/>
    <w:rsid w:val="00FC0BA8"/>
    <w:rsid w:val="00FD1A98"/>
    <w:rsid w:val="00FD4511"/>
    <w:rsid w:val="00FD52B1"/>
    <w:rsid w:val="00FD5E21"/>
    <w:rsid w:val="00FD75DC"/>
    <w:rsid w:val="00FD7EC8"/>
    <w:rsid w:val="00FE0342"/>
    <w:rsid w:val="00FF6E33"/>
    <w:rsid w:val="01054C65"/>
    <w:rsid w:val="01144DF4"/>
    <w:rsid w:val="01496C88"/>
    <w:rsid w:val="015E3166"/>
    <w:rsid w:val="01CF2EB7"/>
    <w:rsid w:val="01E2548E"/>
    <w:rsid w:val="01F06499"/>
    <w:rsid w:val="02122100"/>
    <w:rsid w:val="02241993"/>
    <w:rsid w:val="0224444B"/>
    <w:rsid w:val="02451328"/>
    <w:rsid w:val="025B3B7B"/>
    <w:rsid w:val="02621F94"/>
    <w:rsid w:val="027815C2"/>
    <w:rsid w:val="0292345C"/>
    <w:rsid w:val="02AD361F"/>
    <w:rsid w:val="02B3222E"/>
    <w:rsid w:val="02CF16A7"/>
    <w:rsid w:val="02E427A5"/>
    <w:rsid w:val="0301193A"/>
    <w:rsid w:val="030D36A9"/>
    <w:rsid w:val="03234A43"/>
    <w:rsid w:val="03267F07"/>
    <w:rsid w:val="032B5A4D"/>
    <w:rsid w:val="034124CD"/>
    <w:rsid w:val="03495A0A"/>
    <w:rsid w:val="035F488B"/>
    <w:rsid w:val="03625796"/>
    <w:rsid w:val="036356BD"/>
    <w:rsid w:val="0379136E"/>
    <w:rsid w:val="039714E5"/>
    <w:rsid w:val="03A0154E"/>
    <w:rsid w:val="03A7087B"/>
    <w:rsid w:val="03DC5BCA"/>
    <w:rsid w:val="03E207B7"/>
    <w:rsid w:val="03ED067A"/>
    <w:rsid w:val="03F05F0F"/>
    <w:rsid w:val="0406462D"/>
    <w:rsid w:val="043F2279"/>
    <w:rsid w:val="044D55FF"/>
    <w:rsid w:val="046B1F08"/>
    <w:rsid w:val="04781A0B"/>
    <w:rsid w:val="04860733"/>
    <w:rsid w:val="049F6B13"/>
    <w:rsid w:val="04C16F84"/>
    <w:rsid w:val="04C27070"/>
    <w:rsid w:val="04CB4231"/>
    <w:rsid w:val="04CC2D76"/>
    <w:rsid w:val="04D54EA0"/>
    <w:rsid w:val="04EF4877"/>
    <w:rsid w:val="04F96FF0"/>
    <w:rsid w:val="0510338B"/>
    <w:rsid w:val="053A30CA"/>
    <w:rsid w:val="05411D55"/>
    <w:rsid w:val="055C7C06"/>
    <w:rsid w:val="057D3749"/>
    <w:rsid w:val="057F4D4B"/>
    <w:rsid w:val="058141B2"/>
    <w:rsid w:val="059A7C7A"/>
    <w:rsid w:val="06121F4E"/>
    <w:rsid w:val="06173330"/>
    <w:rsid w:val="061E4834"/>
    <w:rsid w:val="063F4C9D"/>
    <w:rsid w:val="0650016B"/>
    <w:rsid w:val="066F2224"/>
    <w:rsid w:val="069514F1"/>
    <w:rsid w:val="06AB0764"/>
    <w:rsid w:val="06E45066"/>
    <w:rsid w:val="070240A9"/>
    <w:rsid w:val="07081502"/>
    <w:rsid w:val="072046E3"/>
    <w:rsid w:val="07284D40"/>
    <w:rsid w:val="072953F1"/>
    <w:rsid w:val="07442467"/>
    <w:rsid w:val="07456914"/>
    <w:rsid w:val="0747423F"/>
    <w:rsid w:val="0747552D"/>
    <w:rsid w:val="07592C30"/>
    <w:rsid w:val="078A5083"/>
    <w:rsid w:val="07AA0206"/>
    <w:rsid w:val="07D50CD0"/>
    <w:rsid w:val="07E44FB0"/>
    <w:rsid w:val="07F302A3"/>
    <w:rsid w:val="08165990"/>
    <w:rsid w:val="081A140D"/>
    <w:rsid w:val="082A6CC4"/>
    <w:rsid w:val="085A276B"/>
    <w:rsid w:val="08632E80"/>
    <w:rsid w:val="08734789"/>
    <w:rsid w:val="088765B1"/>
    <w:rsid w:val="08A47272"/>
    <w:rsid w:val="08CE6888"/>
    <w:rsid w:val="08D55009"/>
    <w:rsid w:val="09101BCD"/>
    <w:rsid w:val="091A03CE"/>
    <w:rsid w:val="091C3D02"/>
    <w:rsid w:val="09310ED6"/>
    <w:rsid w:val="09634830"/>
    <w:rsid w:val="09704A0C"/>
    <w:rsid w:val="09823E2D"/>
    <w:rsid w:val="099077F7"/>
    <w:rsid w:val="09A34824"/>
    <w:rsid w:val="09A554F7"/>
    <w:rsid w:val="09B94936"/>
    <w:rsid w:val="09D26DBF"/>
    <w:rsid w:val="09DB4F16"/>
    <w:rsid w:val="09F65854"/>
    <w:rsid w:val="0A1B49C1"/>
    <w:rsid w:val="0A2D11ED"/>
    <w:rsid w:val="0A502F89"/>
    <w:rsid w:val="0A5143BC"/>
    <w:rsid w:val="0A544320"/>
    <w:rsid w:val="0A6F66DD"/>
    <w:rsid w:val="0A8945EB"/>
    <w:rsid w:val="0A995DEB"/>
    <w:rsid w:val="0AA22634"/>
    <w:rsid w:val="0AC7754B"/>
    <w:rsid w:val="0AD72DEC"/>
    <w:rsid w:val="0ADF4A65"/>
    <w:rsid w:val="0AE10DE6"/>
    <w:rsid w:val="0B0C2950"/>
    <w:rsid w:val="0B310255"/>
    <w:rsid w:val="0B3D4B50"/>
    <w:rsid w:val="0B45438A"/>
    <w:rsid w:val="0B4A1846"/>
    <w:rsid w:val="0B6272DA"/>
    <w:rsid w:val="0B722F27"/>
    <w:rsid w:val="0B884ED4"/>
    <w:rsid w:val="0BA531DD"/>
    <w:rsid w:val="0BAD797E"/>
    <w:rsid w:val="0BCF4B50"/>
    <w:rsid w:val="0BD56C76"/>
    <w:rsid w:val="0BDA530A"/>
    <w:rsid w:val="0BDB7318"/>
    <w:rsid w:val="0BDE6348"/>
    <w:rsid w:val="0BE43B46"/>
    <w:rsid w:val="0BED7182"/>
    <w:rsid w:val="0C0247C0"/>
    <w:rsid w:val="0C1D48A1"/>
    <w:rsid w:val="0C216E2C"/>
    <w:rsid w:val="0C2809DD"/>
    <w:rsid w:val="0C364B13"/>
    <w:rsid w:val="0C475EF7"/>
    <w:rsid w:val="0CB352BB"/>
    <w:rsid w:val="0CD430A5"/>
    <w:rsid w:val="0CFB5E20"/>
    <w:rsid w:val="0D0E6A67"/>
    <w:rsid w:val="0D427F38"/>
    <w:rsid w:val="0D553525"/>
    <w:rsid w:val="0D571FCE"/>
    <w:rsid w:val="0D7A5362"/>
    <w:rsid w:val="0D7C2119"/>
    <w:rsid w:val="0D836D81"/>
    <w:rsid w:val="0DB8169D"/>
    <w:rsid w:val="0DE00B76"/>
    <w:rsid w:val="0DE63495"/>
    <w:rsid w:val="0DEB11E4"/>
    <w:rsid w:val="0DF44519"/>
    <w:rsid w:val="0E022677"/>
    <w:rsid w:val="0E221CEE"/>
    <w:rsid w:val="0E2A021A"/>
    <w:rsid w:val="0E3F7A64"/>
    <w:rsid w:val="0E5C2643"/>
    <w:rsid w:val="0E6537C4"/>
    <w:rsid w:val="0E71409B"/>
    <w:rsid w:val="0E810BCA"/>
    <w:rsid w:val="0E8E6882"/>
    <w:rsid w:val="0EA23D26"/>
    <w:rsid w:val="0EB1037D"/>
    <w:rsid w:val="0EE15EDE"/>
    <w:rsid w:val="0EE2603E"/>
    <w:rsid w:val="0F0E6EE3"/>
    <w:rsid w:val="0F201963"/>
    <w:rsid w:val="0F4C6821"/>
    <w:rsid w:val="0F594556"/>
    <w:rsid w:val="0F836720"/>
    <w:rsid w:val="0FA01C8E"/>
    <w:rsid w:val="0FA063F6"/>
    <w:rsid w:val="0FB029A1"/>
    <w:rsid w:val="0FBC62BC"/>
    <w:rsid w:val="0FCE5084"/>
    <w:rsid w:val="0FCE594D"/>
    <w:rsid w:val="0FD03A0D"/>
    <w:rsid w:val="0FE40039"/>
    <w:rsid w:val="0FF766FC"/>
    <w:rsid w:val="101969F5"/>
    <w:rsid w:val="101F5A7A"/>
    <w:rsid w:val="10227266"/>
    <w:rsid w:val="10381F40"/>
    <w:rsid w:val="10572E7F"/>
    <w:rsid w:val="10692DF4"/>
    <w:rsid w:val="107D10E4"/>
    <w:rsid w:val="10D714E2"/>
    <w:rsid w:val="1104198D"/>
    <w:rsid w:val="113B3327"/>
    <w:rsid w:val="115D3896"/>
    <w:rsid w:val="116747A5"/>
    <w:rsid w:val="11795669"/>
    <w:rsid w:val="117D4A8A"/>
    <w:rsid w:val="119A4D83"/>
    <w:rsid w:val="11B275BA"/>
    <w:rsid w:val="11B62E53"/>
    <w:rsid w:val="11C95AB8"/>
    <w:rsid w:val="11D55355"/>
    <w:rsid w:val="12010466"/>
    <w:rsid w:val="12103D4D"/>
    <w:rsid w:val="122C50B7"/>
    <w:rsid w:val="12352BEA"/>
    <w:rsid w:val="12671797"/>
    <w:rsid w:val="12E05DF5"/>
    <w:rsid w:val="12F4149A"/>
    <w:rsid w:val="13186875"/>
    <w:rsid w:val="131C7234"/>
    <w:rsid w:val="13210FE0"/>
    <w:rsid w:val="13D32467"/>
    <w:rsid w:val="13EC7D20"/>
    <w:rsid w:val="14192B6D"/>
    <w:rsid w:val="142116DC"/>
    <w:rsid w:val="142D2E1C"/>
    <w:rsid w:val="14360736"/>
    <w:rsid w:val="14C82908"/>
    <w:rsid w:val="14C83F0A"/>
    <w:rsid w:val="14CC22CC"/>
    <w:rsid w:val="14D263F3"/>
    <w:rsid w:val="14E146CE"/>
    <w:rsid w:val="14EE1618"/>
    <w:rsid w:val="14F15E1C"/>
    <w:rsid w:val="14F35518"/>
    <w:rsid w:val="15001500"/>
    <w:rsid w:val="15285E37"/>
    <w:rsid w:val="1553471D"/>
    <w:rsid w:val="15572B71"/>
    <w:rsid w:val="156F18DB"/>
    <w:rsid w:val="15886FAC"/>
    <w:rsid w:val="15BB3E4D"/>
    <w:rsid w:val="15C73C8A"/>
    <w:rsid w:val="15D92D6D"/>
    <w:rsid w:val="15F12DDD"/>
    <w:rsid w:val="15F82FED"/>
    <w:rsid w:val="1606794B"/>
    <w:rsid w:val="16123834"/>
    <w:rsid w:val="16251451"/>
    <w:rsid w:val="163004AD"/>
    <w:rsid w:val="16427F65"/>
    <w:rsid w:val="164356BB"/>
    <w:rsid w:val="165C1281"/>
    <w:rsid w:val="16787573"/>
    <w:rsid w:val="16A97E05"/>
    <w:rsid w:val="16BB60A4"/>
    <w:rsid w:val="16BD2B9E"/>
    <w:rsid w:val="16D41B15"/>
    <w:rsid w:val="16D604C4"/>
    <w:rsid w:val="16FB4825"/>
    <w:rsid w:val="171150F1"/>
    <w:rsid w:val="171D136E"/>
    <w:rsid w:val="175F3B15"/>
    <w:rsid w:val="17726965"/>
    <w:rsid w:val="17730E6F"/>
    <w:rsid w:val="17755246"/>
    <w:rsid w:val="17971FAD"/>
    <w:rsid w:val="17C23A02"/>
    <w:rsid w:val="17F302C2"/>
    <w:rsid w:val="18052780"/>
    <w:rsid w:val="187710D6"/>
    <w:rsid w:val="187D53EA"/>
    <w:rsid w:val="188B4950"/>
    <w:rsid w:val="18900437"/>
    <w:rsid w:val="18AA1D80"/>
    <w:rsid w:val="18CB6945"/>
    <w:rsid w:val="19233AEF"/>
    <w:rsid w:val="1974690A"/>
    <w:rsid w:val="198C18A3"/>
    <w:rsid w:val="19B218F7"/>
    <w:rsid w:val="19C03D49"/>
    <w:rsid w:val="19DE03E4"/>
    <w:rsid w:val="19FB75B6"/>
    <w:rsid w:val="1A2521DD"/>
    <w:rsid w:val="1A4F569D"/>
    <w:rsid w:val="1A6171B2"/>
    <w:rsid w:val="1AA666F2"/>
    <w:rsid w:val="1AA83233"/>
    <w:rsid w:val="1AB175CD"/>
    <w:rsid w:val="1AD65C32"/>
    <w:rsid w:val="1ADC340E"/>
    <w:rsid w:val="1ADF28C4"/>
    <w:rsid w:val="1AE010E6"/>
    <w:rsid w:val="1B124510"/>
    <w:rsid w:val="1B356551"/>
    <w:rsid w:val="1B421BFF"/>
    <w:rsid w:val="1B4A240A"/>
    <w:rsid w:val="1B953A1A"/>
    <w:rsid w:val="1BC00450"/>
    <w:rsid w:val="1BC66C88"/>
    <w:rsid w:val="1BC87D22"/>
    <w:rsid w:val="1BE61C24"/>
    <w:rsid w:val="1BE91714"/>
    <w:rsid w:val="1BF42AAB"/>
    <w:rsid w:val="1BF57F17"/>
    <w:rsid w:val="1C157BE5"/>
    <w:rsid w:val="1C162BF5"/>
    <w:rsid w:val="1C1F5136"/>
    <w:rsid w:val="1C2455FD"/>
    <w:rsid w:val="1C3065A1"/>
    <w:rsid w:val="1C3928E7"/>
    <w:rsid w:val="1C3D314E"/>
    <w:rsid w:val="1C442D32"/>
    <w:rsid w:val="1C5F10AE"/>
    <w:rsid w:val="1C7D1E5D"/>
    <w:rsid w:val="1C8449C2"/>
    <w:rsid w:val="1C9436C3"/>
    <w:rsid w:val="1C9D6AB7"/>
    <w:rsid w:val="1CA048A8"/>
    <w:rsid w:val="1CB475FC"/>
    <w:rsid w:val="1CBB047D"/>
    <w:rsid w:val="1CCD218E"/>
    <w:rsid w:val="1D0A50BD"/>
    <w:rsid w:val="1D176592"/>
    <w:rsid w:val="1D235D75"/>
    <w:rsid w:val="1D2971FB"/>
    <w:rsid w:val="1D2A3DAB"/>
    <w:rsid w:val="1D340A87"/>
    <w:rsid w:val="1D425221"/>
    <w:rsid w:val="1D7506BA"/>
    <w:rsid w:val="1DA90B3C"/>
    <w:rsid w:val="1DE061F0"/>
    <w:rsid w:val="1DE173AB"/>
    <w:rsid w:val="1DE21B2C"/>
    <w:rsid w:val="1E5E447C"/>
    <w:rsid w:val="1EA37227"/>
    <w:rsid w:val="1EEC341F"/>
    <w:rsid w:val="1F0115E6"/>
    <w:rsid w:val="1F036C9D"/>
    <w:rsid w:val="1F5B7C8A"/>
    <w:rsid w:val="1F6E22C5"/>
    <w:rsid w:val="1FD17519"/>
    <w:rsid w:val="1FDE37FF"/>
    <w:rsid w:val="1FDE5C7C"/>
    <w:rsid w:val="1FED72F9"/>
    <w:rsid w:val="200A7BC1"/>
    <w:rsid w:val="201765D1"/>
    <w:rsid w:val="20225F80"/>
    <w:rsid w:val="202875D1"/>
    <w:rsid w:val="205F1CB7"/>
    <w:rsid w:val="208E2CB0"/>
    <w:rsid w:val="20935CBD"/>
    <w:rsid w:val="20951473"/>
    <w:rsid w:val="20A200E4"/>
    <w:rsid w:val="20AB0B9C"/>
    <w:rsid w:val="20B346CB"/>
    <w:rsid w:val="20C7192F"/>
    <w:rsid w:val="20CF765C"/>
    <w:rsid w:val="211E105E"/>
    <w:rsid w:val="212A5D36"/>
    <w:rsid w:val="214D2349"/>
    <w:rsid w:val="215A6C10"/>
    <w:rsid w:val="217E2752"/>
    <w:rsid w:val="218F2648"/>
    <w:rsid w:val="21E938C1"/>
    <w:rsid w:val="221D30A5"/>
    <w:rsid w:val="221E4CC8"/>
    <w:rsid w:val="22575808"/>
    <w:rsid w:val="227C0C68"/>
    <w:rsid w:val="227D1F07"/>
    <w:rsid w:val="229D31C0"/>
    <w:rsid w:val="22AE5DFE"/>
    <w:rsid w:val="22DD0A31"/>
    <w:rsid w:val="23023AD3"/>
    <w:rsid w:val="230D45AE"/>
    <w:rsid w:val="231A6657"/>
    <w:rsid w:val="23254479"/>
    <w:rsid w:val="234936D3"/>
    <w:rsid w:val="236F647D"/>
    <w:rsid w:val="237E0D6D"/>
    <w:rsid w:val="23A84391"/>
    <w:rsid w:val="23B40DE2"/>
    <w:rsid w:val="23F211F9"/>
    <w:rsid w:val="24352815"/>
    <w:rsid w:val="243C533E"/>
    <w:rsid w:val="24617B41"/>
    <w:rsid w:val="24907DC4"/>
    <w:rsid w:val="24975A35"/>
    <w:rsid w:val="249C724B"/>
    <w:rsid w:val="24A451C8"/>
    <w:rsid w:val="24B80E3D"/>
    <w:rsid w:val="24CA1E34"/>
    <w:rsid w:val="24DB1DC1"/>
    <w:rsid w:val="24DE6B95"/>
    <w:rsid w:val="24F3145E"/>
    <w:rsid w:val="254579AD"/>
    <w:rsid w:val="255F0E34"/>
    <w:rsid w:val="256D061F"/>
    <w:rsid w:val="25707940"/>
    <w:rsid w:val="25767112"/>
    <w:rsid w:val="257C0392"/>
    <w:rsid w:val="257F62A9"/>
    <w:rsid w:val="258850C9"/>
    <w:rsid w:val="25C72EDE"/>
    <w:rsid w:val="25E00E85"/>
    <w:rsid w:val="25EB51B7"/>
    <w:rsid w:val="261954E5"/>
    <w:rsid w:val="263B2DAC"/>
    <w:rsid w:val="264A093D"/>
    <w:rsid w:val="2690134C"/>
    <w:rsid w:val="26967042"/>
    <w:rsid w:val="269A3E5F"/>
    <w:rsid w:val="26BA79DA"/>
    <w:rsid w:val="26C1721D"/>
    <w:rsid w:val="26F471BF"/>
    <w:rsid w:val="27354E79"/>
    <w:rsid w:val="273D1973"/>
    <w:rsid w:val="27664687"/>
    <w:rsid w:val="27804F25"/>
    <w:rsid w:val="278D3D61"/>
    <w:rsid w:val="27952750"/>
    <w:rsid w:val="27A03254"/>
    <w:rsid w:val="27AA7689"/>
    <w:rsid w:val="27CB4490"/>
    <w:rsid w:val="27F04A69"/>
    <w:rsid w:val="27FE3FA6"/>
    <w:rsid w:val="28082460"/>
    <w:rsid w:val="28261077"/>
    <w:rsid w:val="282D157B"/>
    <w:rsid w:val="28390E23"/>
    <w:rsid w:val="28557612"/>
    <w:rsid w:val="285D6885"/>
    <w:rsid w:val="285F589C"/>
    <w:rsid w:val="2860075F"/>
    <w:rsid w:val="288E7537"/>
    <w:rsid w:val="28A12981"/>
    <w:rsid w:val="28A15125"/>
    <w:rsid w:val="28C35E64"/>
    <w:rsid w:val="28E0382C"/>
    <w:rsid w:val="28EB3F10"/>
    <w:rsid w:val="28F07E88"/>
    <w:rsid w:val="28FB30CB"/>
    <w:rsid w:val="29116044"/>
    <w:rsid w:val="291D1EF9"/>
    <w:rsid w:val="292D1347"/>
    <w:rsid w:val="29337FB9"/>
    <w:rsid w:val="2935387C"/>
    <w:rsid w:val="294B5A99"/>
    <w:rsid w:val="298A0156"/>
    <w:rsid w:val="29A91EB5"/>
    <w:rsid w:val="29C07324"/>
    <w:rsid w:val="29C078C7"/>
    <w:rsid w:val="29C71B19"/>
    <w:rsid w:val="29C93688"/>
    <w:rsid w:val="29D51A3E"/>
    <w:rsid w:val="29E4565C"/>
    <w:rsid w:val="29F123B8"/>
    <w:rsid w:val="2A1A4CFA"/>
    <w:rsid w:val="2A370932"/>
    <w:rsid w:val="2ACD3FAF"/>
    <w:rsid w:val="2AF220C6"/>
    <w:rsid w:val="2AF87F55"/>
    <w:rsid w:val="2AF93F3E"/>
    <w:rsid w:val="2AFE2DB5"/>
    <w:rsid w:val="2AFE6BB2"/>
    <w:rsid w:val="2B04047B"/>
    <w:rsid w:val="2B0567E3"/>
    <w:rsid w:val="2B671080"/>
    <w:rsid w:val="2B8C79A3"/>
    <w:rsid w:val="2BB563D7"/>
    <w:rsid w:val="2BB71C92"/>
    <w:rsid w:val="2BB81073"/>
    <w:rsid w:val="2BB82208"/>
    <w:rsid w:val="2BCB055D"/>
    <w:rsid w:val="2BFE1CBD"/>
    <w:rsid w:val="2C2A1EC3"/>
    <w:rsid w:val="2C315D07"/>
    <w:rsid w:val="2C6B6B47"/>
    <w:rsid w:val="2C9B0AC6"/>
    <w:rsid w:val="2CA32FF9"/>
    <w:rsid w:val="2CCF0E9D"/>
    <w:rsid w:val="2CDC699B"/>
    <w:rsid w:val="2CF23348"/>
    <w:rsid w:val="2D0212AF"/>
    <w:rsid w:val="2D0E7FCD"/>
    <w:rsid w:val="2D1C6441"/>
    <w:rsid w:val="2D2029E3"/>
    <w:rsid w:val="2D4E56F2"/>
    <w:rsid w:val="2D5369A4"/>
    <w:rsid w:val="2D7657B0"/>
    <w:rsid w:val="2D944DB8"/>
    <w:rsid w:val="2D9F7351"/>
    <w:rsid w:val="2DF2018E"/>
    <w:rsid w:val="2E2D2913"/>
    <w:rsid w:val="2E39752A"/>
    <w:rsid w:val="2E4A2482"/>
    <w:rsid w:val="2E4D5773"/>
    <w:rsid w:val="2EA1780C"/>
    <w:rsid w:val="2EB97CA5"/>
    <w:rsid w:val="2EBD6E80"/>
    <w:rsid w:val="2EC47496"/>
    <w:rsid w:val="2EDE14B8"/>
    <w:rsid w:val="2F010DC6"/>
    <w:rsid w:val="2F1563DF"/>
    <w:rsid w:val="2F2C3B61"/>
    <w:rsid w:val="2F3D13BB"/>
    <w:rsid w:val="2F3E1697"/>
    <w:rsid w:val="2F4F7969"/>
    <w:rsid w:val="2F572844"/>
    <w:rsid w:val="2F6A7E35"/>
    <w:rsid w:val="2F6D1BB1"/>
    <w:rsid w:val="2F7E0652"/>
    <w:rsid w:val="2FAF734F"/>
    <w:rsid w:val="2FB24EDB"/>
    <w:rsid w:val="2FD40931"/>
    <w:rsid w:val="2FD7142C"/>
    <w:rsid w:val="2FF47957"/>
    <w:rsid w:val="300544EB"/>
    <w:rsid w:val="301567C9"/>
    <w:rsid w:val="3029439E"/>
    <w:rsid w:val="302B58AB"/>
    <w:rsid w:val="30455A79"/>
    <w:rsid w:val="305B0C4B"/>
    <w:rsid w:val="30607776"/>
    <w:rsid w:val="30961FE0"/>
    <w:rsid w:val="30977DA2"/>
    <w:rsid w:val="309A3BB5"/>
    <w:rsid w:val="30C879A6"/>
    <w:rsid w:val="30CF1767"/>
    <w:rsid w:val="30D50E7D"/>
    <w:rsid w:val="30F76578"/>
    <w:rsid w:val="30FD4AC0"/>
    <w:rsid w:val="310C5E64"/>
    <w:rsid w:val="31420D58"/>
    <w:rsid w:val="315F350D"/>
    <w:rsid w:val="316C164E"/>
    <w:rsid w:val="317F4B51"/>
    <w:rsid w:val="318A6D0C"/>
    <w:rsid w:val="318D443D"/>
    <w:rsid w:val="31AC33EA"/>
    <w:rsid w:val="31E7618F"/>
    <w:rsid w:val="31ED01F7"/>
    <w:rsid w:val="321D24DE"/>
    <w:rsid w:val="32554DA1"/>
    <w:rsid w:val="325C2B64"/>
    <w:rsid w:val="32622031"/>
    <w:rsid w:val="326D3B31"/>
    <w:rsid w:val="326E4CBA"/>
    <w:rsid w:val="327021FA"/>
    <w:rsid w:val="327640A8"/>
    <w:rsid w:val="328303DD"/>
    <w:rsid w:val="329C4013"/>
    <w:rsid w:val="32B52BB1"/>
    <w:rsid w:val="32CE7126"/>
    <w:rsid w:val="331F27FB"/>
    <w:rsid w:val="33275D76"/>
    <w:rsid w:val="334110A1"/>
    <w:rsid w:val="335A0B41"/>
    <w:rsid w:val="33716487"/>
    <w:rsid w:val="337F1F07"/>
    <w:rsid w:val="33843679"/>
    <w:rsid w:val="33BC66DB"/>
    <w:rsid w:val="33D559F4"/>
    <w:rsid w:val="33ED6094"/>
    <w:rsid w:val="33ED762F"/>
    <w:rsid w:val="340C3EDD"/>
    <w:rsid w:val="34122475"/>
    <w:rsid w:val="343C1893"/>
    <w:rsid w:val="34580241"/>
    <w:rsid w:val="34664FD8"/>
    <w:rsid w:val="34743517"/>
    <w:rsid w:val="34835402"/>
    <w:rsid w:val="348D78AC"/>
    <w:rsid w:val="34D61ED1"/>
    <w:rsid w:val="34D717AF"/>
    <w:rsid w:val="3516140C"/>
    <w:rsid w:val="35710A59"/>
    <w:rsid w:val="35727EDD"/>
    <w:rsid w:val="358526AE"/>
    <w:rsid w:val="35AB5441"/>
    <w:rsid w:val="35C51C67"/>
    <w:rsid w:val="35FA79D5"/>
    <w:rsid w:val="360453EB"/>
    <w:rsid w:val="361409B0"/>
    <w:rsid w:val="363D4937"/>
    <w:rsid w:val="364C66D0"/>
    <w:rsid w:val="367D4B5E"/>
    <w:rsid w:val="36983FF9"/>
    <w:rsid w:val="36A63DAC"/>
    <w:rsid w:val="36D847F7"/>
    <w:rsid w:val="36E517AD"/>
    <w:rsid w:val="370355CD"/>
    <w:rsid w:val="370B263B"/>
    <w:rsid w:val="371041B6"/>
    <w:rsid w:val="3726507B"/>
    <w:rsid w:val="37441EC5"/>
    <w:rsid w:val="37625DAE"/>
    <w:rsid w:val="379C7FAC"/>
    <w:rsid w:val="379D7A74"/>
    <w:rsid w:val="37AB3682"/>
    <w:rsid w:val="37B56A61"/>
    <w:rsid w:val="37DC389E"/>
    <w:rsid w:val="37E41DF1"/>
    <w:rsid w:val="37FA21C3"/>
    <w:rsid w:val="37FA5791"/>
    <w:rsid w:val="37FB73F0"/>
    <w:rsid w:val="381E0023"/>
    <w:rsid w:val="3821753B"/>
    <w:rsid w:val="3882116E"/>
    <w:rsid w:val="388234B9"/>
    <w:rsid w:val="389223B1"/>
    <w:rsid w:val="38A82F3C"/>
    <w:rsid w:val="38BC5A4E"/>
    <w:rsid w:val="39057F61"/>
    <w:rsid w:val="39171CC0"/>
    <w:rsid w:val="393407FD"/>
    <w:rsid w:val="395212E1"/>
    <w:rsid w:val="39535108"/>
    <w:rsid w:val="39621785"/>
    <w:rsid w:val="397427AB"/>
    <w:rsid w:val="397A0384"/>
    <w:rsid w:val="398E1A49"/>
    <w:rsid w:val="39921E55"/>
    <w:rsid w:val="39976574"/>
    <w:rsid w:val="399E442C"/>
    <w:rsid w:val="39BC3257"/>
    <w:rsid w:val="39D8634C"/>
    <w:rsid w:val="3A0E548D"/>
    <w:rsid w:val="3A11620A"/>
    <w:rsid w:val="3A2942E0"/>
    <w:rsid w:val="3A3457E8"/>
    <w:rsid w:val="3A3F5329"/>
    <w:rsid w:val="3A411518"/>
    <w:rsid w:val="3A565A98"/>
    <w:rsid w:val="3A5D2048"/>
    <w:rsid w:val="3A756F24"/>
    <w:rsid w:val="3A824081"/>
    <w:rsid w:val="3A871F8A"/>
    <w:rsid w:val="3A896A19"/>
    <w:rsid w:val="3AA31206"/>
    <w:rsid w:val="3AA90857"/>
    <w:rsid w:val="3AB6680E"/>
    <w:rsid w:val="3AF92BF7"/>
    <w:rsid w:val="3B0337F4"/>
    <w:rsid w:val="3B296C44"/>
    <w:rsid w:val="3B36320B"/>
    <w:rsid w:val="3B713350"/>
    <w:rsid w:val="3B7F1B00"/>
    <w:rsid w:val="3BAA7331"/>
    <w:rsid w:val="3BBB6C23"/>
    <w:rsid w:val="3BCF42E2"/>
    <w:rsid w:val="3BD60AF4"/>
    <w:rsid w:val="3BE767A5"/>
    <w:rsid w:val="3C1701DB"/>
    <w:rsid w:val="3C2123AD"/>
    <w:rsid w:val="3C41291B"/>
    <w:rsid w:val="3C4E3440"/>
    <w:rsid w:val="3C5C19F6"/>
    <w:rsid w:val="3CA32DC2"/>
    <w:rsid w:val="3CB829F0"/>
    <w:rsid w:val="3CF50ACF"/>
    <w:rsid w:val="3D29776B"/>
    <w:rsid w:val="3D2F6841"/>
    <w:rsid w:val="3D39758E"/>
    <w:rsid w:val="3D4F4104"/>
    <w:rsid w:val="3D5901E4"/>
    <w:rsid w:val="3D6B302F"/>
    <w:rsid w:val="3DAD102B"/>
    <w:rsid w:val="3DE7087F"/>
    <w:rsid w:val="3E037EF1"/>
    <w:rsid w:val="3E1209DC"/>
    <w:rsid w:val="3E223C97"/>
    <w:rsid w:val="3E2C0698"/>
    <w:rsid w:val="3E4C1CD8"/>
    <w:rsid w:val="3E7115FE"/>
    <w:rsid w:val="3E763568"/>
    <w:rsid w:val="3E87466D"/>
    <w:rsid w:val="3EB001E2"/>
    <w:rsid w:val="3EB13344"/>
    <w:rsid w:val="3EBC5F32"/>
    <w:rsid w:val="3EC20226"/>
    <w:rsid w:val="3EC47F80"/>
    <w:rsid w:val="3ED35FD4"/>
    <w:rsid w:val="3F2226EC"/>
    <w:rsid w:val="3F222ACC"/>
    <w:rsid w:val="3F4C0D81"/>
    <w:rsid w:val="3F54519D"/>
    <w:rsid w:val="3F601C75"/>
    <w:rsid w:val="3F6C10DB"/>
    <w:rsid w:val="3F815325"/>
    <w:rsid w:val="3F9D4347"/>
    <w:rsid w:val="3F9F0462"/>
    <w:rsid w:val="3FA6313B"/>
    <w:rsid w:val="3FC50EE1"/>
    <w:rsid w:val="3FC7606E"/>
    <w:rsid w:val="3FCA5E55"/>
    <w:rsid w:val="3FD12164"/>
    <w:rsid w:val="3FDA48AC"/>
    <w:rsid w:val="3FE50424"/>
    <w:rsid w:val="3FFE13B0"/>
    <w:rsid w:val="400B401F"/>
    <w:rsid w:val="402E363B"/>
    <w:rsid w:val="403A7A13"/>
    <w:rsid w:val="405D1A2A"/>
    <w:rsid w:val="405F6F3B"/>
    <w:rsid w:val="40A6403B"/>
    <w:rsid w:val="40C17CBA"/>
    <w:rsid w:val="4138316E"/>
    <w:rsid w:val="413F338F"/>
    <w:rsid w:val="416D047E"/>
    <w:rsid w:val="41716191"/>
    <w:rsid w:val="41A505FB"/>
    <w:rsid w:val="41B04C50"/>
    <w:rsid w:val="41F30F0E"/>
    <w:rsid w:val="41FE79DF"/>
    <w:rsid w:val="42025E0E"/>
    <w:rsid w:val="420569A4"/>
    <w:rsid w:val="42174BFC"/>
    <w:rsid w:val="42252EFF"/>
    <w:rsid w:val="4234138D"/>
    <w:rsid w:val="423B3BCD"/>
    <w:rsid w:val="4246080B"/>
    <w:rsid w:val="428867E0"/>
    <w:rsid w:val="42912D43"/>
    <w:rsid w:val="42CE24FD"/>
    <w:rsid w:val="42E94097"/>
    <w:rsid w:val="42F302DD"/>
    <w:rsid w:val="42F77B29"/>
    <w:rsid w:val="43133EC9"/>
    <w:rsid w:val="436E7457"/>
    <w:rsid w:val="4373220F"/>
    <w:rsid w:val="437F0DB0"/>
    <w:rsid w:val="439066DA"/>
    <w:rsid w:val="43C31417"/>
    <w:rsid w:val="43D30430"/>
    <w:rsid w:val="43EA35F8"/>
    <w:rsid w:val="44147493"/>
    <w:rsid w:val="441A6144"/>
    <w:rsid w:val="441D02D7"/>
    <w:rsid w:val="44531998"/>
    <w:rsid w:val="44580C76"/>
    <w:rsid w:val="44691EC0"/>
    <w:rsid w:val="4490480B"/>
    <w:rsid w:val="449428DA"/>
    <w:rsid w:val="44AD60D0"/>
    <w:rsid w:val="45004CD9"/>
    <w:rsid w:val="451731FA"/>
    <w:rsid w:val="45217362"/>
    <w:rsid w:val="454015A1"/>
    <w:rsid w:val="45587C84"/>
    <w:rsid w:val="45685A54"/>
    <w:rsid w:val="457053EC"/>
    <w:rsid w:val="45A5729D"/>
    <w:rsid w:val="45D110A0"/>
    <w:rsid w:val="45EC3B9E"/>
    <w:rsid w:val="45FD1538"/>
    <w:rsid w:val="461E7989"/>
    <w:rsid w:val="46286CB8"/>
    <w:rsid w:val="46321BCF"/>
    <w:rsid w:val="4651148B"/>
    <w:rsid w:val="465A58CC"/>
    <w:rsid w:val="466D3ABC"/>
    <w:rsid w:val="46756F2D"/>
    <w:rsid w:val="46762F93"/>
    <w:rsid w:val="46CB0D6C"/>
    <w:rsid w:val="46D45EE5"/>
    <w:rsid w:val="46FD2CBF"/>
    <w:rsid w:val="47894C0D"/>
    <w:rsid w:val="478B7E95"/>
    <w:rsid w:val="479B20C5"/>
    <w:rsid w:val="47BC4CCB"/>
    <w:rsid w:val="47CA2F97"/>
    <w:rsid w:val="47D57431"/>
    <w:rsid w:val="47E17B3A"/>
    <w:rsid w:val="481379C4"/>
    <w:rsid w:val="4825725E"/>
    <w:rsid w:val="482A694E"/>
    <w:rsid w:val="48980ED1"/>
    <w:rsid w:val="48A24875"/>
    <w:rsid w:val="48B4381D"/>
    <w:rsid w:val="48BE0E89"/>
    <w:rsid w:val="48C448CD"/>
    <w:rsid w:val="48DE38F4"/>
    <w:rsid w:val="48E14C7F"/>
    <w:rsid w:val="48E55F03"/>
    <w:rsid w:val="498221AF"/>
    <w:rsid w:val="49910059"/>
    <w:rsid w:val="499441BE"/>
    <w:rsid w:val="499C539A"/>
    <w:rsid w:val="499D371C"/>
    <w:rsid w:val="49C50849"/>
    <w:rsid w:val="49CB2D67"/>
    <w:rsid w:val="49E05427"/>
    <w:rsid w:val="49E42FB6"/>
    <w:rsid w:val="49EA64D4"/>
    <w:rsid w:val="4A1A02B4"/>
    <w:rsid w:val="4AB91B9E"/>
    <w:rsid w:val="4AEF07E9"/>
    <w:rsid w:val="4B1571B1"/>
    <w:rsid w:val="4B180E1F"/>
    <w:rsid w:val="4B326B4E"/>
    <w:rsid w:val="4B3D651A"/>
    <w:rsid w:val="4B542C00"/>
    <w:rsid w:val="4B576AAE"/>
    <w:rsid w:val="4B6870F9"/>
    <w:rsid w:val="4B8C6752"/>
    <w:rsid w:val="4BA44460"/>
    <w:rsid w:val="4BD06B38"/>
    <w:rsid w:val="4BD50075"/>
    <w:rsid w:val="4BDF321A"/>
    <w:rsid w:val="4BE0068A"/>
    <w:rsid w:val="4C227943"/>
    <w:rsid w:val="4C2E524B"/>
    <w:rsid w:val="4C3A0781"/>
    <w:rsid w:val="4C3A6101"/>
    <w:rsid w:val="4C5E0AB3"/>
    <w:rsid w:val="4C6248F3"/>
    <w:rsid w:val="4CB93638"/>
    <w:rsid w:val="4CC237FD"/>
    <w:rsid w:val="4CCF3B2C"/>
    <w:rsid w:val="4CEF6947"/>
    <w:rsid w:val="4D0F12E0"/>
    <w:rsid w:val="4D1A2C2C"/>
    <w:rsid w:val="4D33758A"/>
    <w:rsid w:val="4D37664A"/>
    <w:rsid w:val="4D463372"/>
    <w:rsid w:val="4D4B392C"/>
    <w:rsid w:val="4D693B48"/>
    <w:rsid w:val="4D6C7659"/>
    <w:rsid w:val="4DA81276"/>
    <w:rsid w:val="4DC62D33"/>
    <w:rsid w:val="4DD50B91"/>
    <w:rsid w:val="4DDE2E32"/>
    <w:rsid w:val="4E255D2C"/>
    <w:rsid w:val="4E670FA8"/>
    <w:rsid w:val="4E941E47"/>
    <w:rsid w:val="4EAC3D58"/>
    <w:rsid w:val="4EB44C03"/>
    <w:rsid w:val="4ECA7C08"/>
    <w:rsid w:val="4EE843F8"/>
    <w:rsid w:val="4EF95395"/>
    <w:rsid w:val="4F006A7B"/>
    <w:rsid w:val="4F0E38FB"/>
    <w:rsid w:val="4F5A06C6"/>
    <w:rsid w:val="4FA04D8B"/>
    <w:rsid w:val="4FBD41CA"/>
    <w:rsid w:val="4FD32EEF"/>
    <w:rsid w:val="5013218C"/>
    <w:rsid w:val="504E7096"/>
    <w:rsid w:val="50580308"/>
    <w:rsid w:val="506843F8"/>
    <w:rsid w:val="507C3387"/>
    <w:rsid w:val="50822C5D"/>
    <w:rsid w:val="50831BFE"/>
    <w:rsid w:val="50A56CB1"/>
    <w:rsid w:val="50AA1E42"/>
    <w:rsid w:val="50F96C59"/>
    <w:rsid w:val="510C2D80"/>
    <w:rsid w:val="51240056"/>
    <w:rsid w:val="51390BE4"/>
    <w:rsid w:val="514A73EF"/>
    <w:rsid w:val="515661FD"/>
    <w:rsid w:val="516A08FD"/>
    <w:rsid w:val="519C4277"/>
    <w:rsid w:val="519F35DD"/>
    <w:rsid w:val="51E33826"/>
    <w:rsid w:val="52050CBB"/>
    <w:rsid w:val="522E62F3"/>
    <w:rsid w:val="52412A09"/>
    <w:rsid w:val="524F1D11"/>
    <w:rsid w:val="52577C32"/>
    <w:rsid w:val="525F19A5"/>
    <w:rsid w:val="527F1D2A"/>
    <w:rsid w:val="52856AC3"/>
    <w:rsid w:val="528D66A5"/>
    <w:rsid w:val="52971DE9"/>
    <w:rsid w:val="52D55BD7"/>
    <w:rsid w:val="52DB0951"/>
    <w:rsid w:val="52FF73E8"/>
    <w:rsid w:val="53013280"/>
    <w:rsid w:val="53192F96"/>
    <w:rsid w:val="53634385"/>
    <w:rsid w:val="539873E7"/>
    <w:rsid w:val="53E11B7C"/>
    <w:rsid w:val="54197E9E"/>
    <w:rsid w:val="5448347C"/>
    <w:rsid w:val="54593262"/>
    <w:rsid w:val="54675CA1"/>
    <w:rsid w:val="54755209"/>
    <w:rsid w:val="547A3F40"/>
    <w:rsid w:val="549661B6"/>
    <w:rsid w:val="54994BFA"/>
    <w:rsid w:val="549D58B2"/>
    <w:rsid w:val="54A11E85"/>
    <w:rsid w:val="54B971CF"/>
    <w:rsid w:val="54EC75A4"/>
    <w:rsid w:val="550D0AF4"/>
    <w:rsid w:val="55172147"/>
    <w:rsid w:val="554B0FDD"/>
    <w:rsid w:val="554F2E51"/>
    <w:rsid w:val="555135A0"/>
    <w:rsid w:val="55551A9D"/>
    <w:rsid w:val="55835412"/>
    <w:rsid w:val="5592247C"/>
    <w:rsid w:val="55A5225D"/>
    <w:rsid w:val="55D8316C"/>
    <w:rsid w:val="55DA39CA"/>
    <w:rsid w:val="55DE5BE3"/>
    <w:rsid w:val="55E729FB"/>
    <w:rsid w:val="560A50C5"/>
    <w:rsid w:val="560D448B"/>
    <w:rsid w:val="56176A8B"/>
    <w:rsid w:val="56583D5E"/>
    <w:rsid w:val="56621AE9"/>
    <w:rsid w:val="56A722CD"/>
    <w:rsid w:val="56A751E3"/>
    <w:rsid w:val="56B1181A"/>
    <w:rsid w:val="56BB007B"/>
    <w:rsid w:val="56D57743"/>
    <w:rsid w:val="56F22471"/>
    <w:rsid w:val="56FD2E64"/>
    <w:rsid w:val="56FE3F1E"/>
    <w:rsid w:val="570144B3"/>
    <w:rsid w:val="575A3C99"/>
    <w:rsid w:val="575D20CF"/>
    <w:rsid w:val="577D5EA0"/>
    <w:rsid w:val="5788494D"/>
    <w:rsid w:val="57B34E87"/>
    <w:rsid w:val="57B51CC3"/>
    <w:rsid w:val="57E220AF"/>
    <w:rsid w:val="57F26F3B"/>
    <w:rsid w:val="57F96DE5"/>
    <w:rsid w:val="5807406E"/>
    <w:rsid w:val="582C3384"/>
    <w:rsid w:val="58450B74"/>
    <w:rsid w:val="58522A6C"/>
    <w:rsid w:val="586071A6"/>
    <w:rsid w:val="587A1FC0"/>
    <w:rsid w:val="58967422"/>
    <w:rsid w:val="58C6404E"/>
    <w:rsid w:val="58D16C3B"/>
    <w:rsid w:val="58E0394D"/>
    <w:rsid w:val="58EA3103"/>
    <w:rsid w:val="590C747B"/>
    <w:rsid w:val="59163203"/>
    <w:rsid w:val="59216A89"/>
    <w:rsid w:val="59400450"/>
    <w:rsid w:val="594A2485"/>
    <w:rsid w:val="5963686D"/>
    <w:rsid w:val="59942C1D"/>
    <w:rsid w:val="599D4A82"/>
    <w:rsid w:val="59A175DF"/>
    <w:rsid w:val="59B819C2"/>
    <w:rsid w:val="59B843E7"/>
    <w:rsid w:val="5A0307CF"/>
    <w:rsid w:val="5A197F85"/>
    <w:rsid w:val="5A667234"/>
    <w:rsid w:val="5A844FF0"/>
    <w:rsid w:val="5AA12CBD"/>
    <w:rsid w:val="5AC95C92"/>
    <w:rsid w:val="5AE77B90"/>
    <w:rsid w:val="5B04050B"/>
    <w:rsid w:val="5B0C3DE3"/>
    <w:rsid w:val="5B28121E"/>
    <w:rsid w:val="5B411AB5"/>
    <w:rsid w:val="5B4624AD"/>
    <w:rsid w:val="5B6B529B"/>
    <w:rsid w:val="5B7C5991"/>
    <w:rsid w:val="5B833245"/>
    <w:rsid w:val="5BAF5719"/>
    <w:rsid w:val="5BB250E2"/>
    <w:rsid w:val="5BC31A45"/>
    <w:rsid w:val="5C2058DC"/>
    <w:rsid w:val="5CA63A4E"/>
    <w:rsid w:val="5CB512A4"/>
    <w:rsid w:val="5CD61355"/>
    <w:rsid w:val="5CEF4070"/>
    <w:rsid w:val="5CFA559F"/>
    <w:rsid w:val="5D0829A5"/>
    <w:rsid w:val="5D0B433F"/>
    <w:rsid w:val="5D11130C"/>
    <w:rsid w:val="5D246FFC"/>
    <w:rsid w:val="5D3F7F00"/>
    <w:rsid w:val="5D526412"/>
    <w:rsid w:val="5D56170A"/>
    <w:rsid w:val="5D5D0725"/>
    <w:rsid w:val="5D8E5F10"/>
    <w:rsid w:val="5DAC33C6"/>
    <w:rsid w:val="5DC11822"/>
    <w:rsid w:val="5DC74A4B"/>
    <w:rsid w:val="5DDA696A"/>
    <w:rsid w:val="5DE155EF"/>
    <w:rsid w:val="5DFD27EF"/>
    <w:rsid w:val="5E045A1C"/>
    <w:rsid w:val="5E2F0501"/>
    <w:rsid w:val="5E41478E"/>
    <w:rsid w:val="5E6724D3"/>
    <w:rsid w:val="5E8E05EA"/>
    <w:rsid w:val="5E9B0BD2"/>
    <w:rsid w:val="5E9F571E"/>
    <w:rsid w:val="5EF13CFF"/>
    <w:rsid w:val="5EF6014A"/>
    <w:rsid w:val="5EF66166"/>
    <w:rsid w:val="5F05353F"/>
    <w:rsid w:val="5F2D77C5"/>
    <w:rsid w:val="5F310EB1"/>
    <w:rsid w:val="5F436E91"/>
    <w:rsid w:val="5F536516"/>
    <w:rsid w:val="5F537307"/>
    <w:rsid w:val="5F5E0AA9"/>
    <w:rsid w:val="5F7C55B1"/>
    <w:rsid w:val="5F8F7D8A"/>
    <w:rsid w:val="5F970C3A"/>
    <w:rsid w:val="600769A2"/>
    <w:rsid w:val="60190EE3"/>
    <w:rsid w:val="601A6E3B"/>
    <w:rsid w:val="603F673E"/>
    <w:rsid w:val="60401039"/>
    <w:rsid w:val="60562F37"/>
    <w:rsid w:val="60875911"/>
    <w:rsid w:val="60891323"/>
    <w:rsid w:val="60973BF6"/>
    <w:rsid w:val="60A03FE9"/>
    <w:rsid w:val="60D11885"/>
    <w:rsid w:val="60F80620"/>
    <w:rsid w:val="611D6613"/>
    <w:rsid w:val="61214300"/>
    <w:rsid w:val="615A41ED"/>
    <w:rsid w:val="61896BF6"/>
    <w:rsid w:val="61911B88"/>
    <w:rsid w:val="619218D7"/>
    <w:rsid w:val="619B683B"/>
    <w:rsid w:val="61A61690"/>
    <w:rsid w:val="61C32B70"/>
    <w:rsid w:val="61C67728"/>
    <w:rsid w:val="61D37569"/>
    <w:rsid w:val="61DB1911"/>
    <w:rsid w:val="61DC4224"/>
    <w:rsid w:val="61E045CD"/>
    <w:rsid w:val="61F433C5"/>
    <w:rsid w:val="61FC109B"/>
    <w:rsid w:val="62031782"/>
    <w:rsid w:val="621C6169"/>
    <w:rsid w:val="62234A13"/>
    <w:rsid w:val="624E26C5"/>
    <w:rsid w:val="62516C98"/>
    <w:rsid w:val="62615005"/>
    <w:rsid w:val="62783F09"/>
    <w:rsid w:val="62B743AF"/>
    <w:rsid w:val="62C97640"/>
    <w:rsid w:val="62E13066"/>
    <w:rsid w:val="62F6740B"/>
    <w:rsid w:val="62F94AE8"/>
    <w:rsid w:val="63272ABB"/>
    <w:rsid w:val="633A2C15"/>
    <w:rsid w:val="634A366B"/>
    <w:rsid w:val="63532B0B"/>
    <w:rsid w:val="6356208C"/>
    <w:rsid w:val="63562FA9"/>
    <w:rsid w:val="63896AF5"/>
    <w:rsid w:val="63B40D8F"/>
    <w:rsid w:val="63D33A7B"/>
    <w:rsid w:val="63D3640F"/>
    <w:rsid w:val="63FF6C27"/>
    <w:rsid w:val="6405263C"/>
    <w:rsid w:val="64065C81"/>
    <w:rsid w:val="640B08A2"/>
    <w:rsid w:val="642454D9"/>
    <w:rsid w:val="643609FB"/>
    <w:rsid w:val="64476CED"/>
    <w:rsid w:val="6464336B"/>
    <w:rsid w:val="64BA6015"/>
    <w:rsid w:val="64BB4A6A"/>
    <w:rsid w:val="64D63485"/>
    <w:rsid w:val="64EA5055"/>
    <w:rsid w:val="650A312E"/>
    <w:rsid w:val="65236829"/>
    <w:rsid w:val="65303F9E"/>
    <w:rsid w:val="653A3486"/>
    <w:rsid w:val="653B3985"/>
    <w:rsid w:val="655C7828"/>
    <w:rsid w:val="659853ED"/>
    <w:rsid w:val="65DD4DDA"/>
    <w:rsid w:val="65DD4E16"/>
    <w:rsid w:val="65DE5E45"/>
    <w:rsid w:val="660761E5"/>
    <w:rsid w:val="66330E7B"/>
    <w:rsid w:val="664221BE"/>
    <w:rsid w:val="665F7409"/>
    <w:rsid w:val="66682803"/>
    <w:rsid w:val="66824A76"/>
    <w:rsid w:val="668D1FDB"/>
    <w:rsid w:val="6697409A"/>
    <w:rsid w:val="669C6349"/>
    <w:rsid w:val="66A31998"/>
    <w:rsid w:val="66CA638C"/>
    <w:rsid w:val="66DD6EF1"/>
    <w:rsid w:val="66F40CF9"/>
    <w:rsid w:val="67002D35"/>
    <w:rsid w:val="67061481"/>
    <w:rsid w:val="67084D92"/>
    <w:rsid w:val="67102D7A"/>
    <w:rsid w:val="67320192"/>
    <w:rsid w:val="67377D3B"/>
    <w:rsid w:val="674E19F8"/>
    <w:rsid w:val="675369AC"/>
    <w:rsid w:val="678855DB"/>
    <w:rsid w:val="679A54D6"/>
    <w:rsid w:val="67B856FE"/>
    <w:rsid w:val="67BA2B1B"/>
    <w:rsid w:val="67E333DD"/>
    <w:rsid w:val="68024DD3"/>
    <w:rsid w:val="682C160E"/>
    <w:rsid w:val="68322B07"/>
    <w:rsid w:val="68464D12"/>
    <w:rsid w:val="688320F1"/>
    <w:rsid w:val="68902798"/>
    <w:rsid w:val="689339E1"/>
    <w:rsid w:val="68C553BE"/>
    <w:rsid w:val="68CB62E9"/>
    <w:rsid w:val="690305C1"/>
    <w:rsid w:val="69412846"/>
    <w:rsid w:val="694442E5"/>
    <w:rsid w:val="695907E9"/>
    <w:rsid w:val="695C3D4C"/>
    <w:rsid w:val="699A7E54"/>
    <w:rsid w:val="69B10F4F"/>
    <w:rsid w:val="69B416E1"/>
    <w:rsid w:val="69BA6060"/>
    <w:rsid w:val="69BE2698"/>
    <w:rsid w:val="6A043D20"/>
    <w:rsid w:val="6A0A316C"/>
    <w:rsid w:val="6A223F21"/>
    <w:rsid w:val="6A4771F0"/>
    <w:rsid w:val="6A526235"/>
    <w:rsid w:val="6A5267B2"/>
    <w:rsid w:val="6A577259"/>
    <w:rsid w:val="6A5836D0"/>
    <w:rsid w:val="6A627569"/>
    <w:rsid w:val="6A641277"/>
    <w:rsid w:val="6A7C062B"/>
    <w:rsid w:val="6A870508"/>
    <w:rsid w:val="6A920A9F"/>
    <w:rsid w:val="6AA31B50"/>
    <w:rsid w:val="6ABF3790"/>
    <w:rsid w:val="6AC97604"/>
    <w:rsid w:val="6AD20423"/>
    <w:rsid w:val="6ADD7397"/>
    <w:rsid w:val="6B537B3B"/>
    <w:rsid w:val="6B5C31D0"/>
    <w:rsid w:val="6B6C1D6A"/>
    <w:rsid w:val="6B7B7F92"/>
    <w:rsid w:val="6B961780"/>
    <w:rsid w:val="6BA5208B"/>
    <w:rsid w:val="6BB64940"/>
    <w:rsid w:val="6BB66A8E"/>
    <w:rsid w:val="6BC325B3"/>
    <w:rsid w:val="6BD82A45"/>
    <w:rsid w:val="6BE15970"/>
    <w:rsid w:val="6C17370D"/>
    <w:rsid w:val="6C3A69EF"/>
    <w:rsid w:val="6C3B7E43"/>
    <w:rsid w:val="6C462B15"/>
    <w:rsid w:val="6C52384A"/>
    <w:rsid w:val="6C5F577B"/>
    <w:rsid w:val="6C655BD3"/>
    <w:rsid w:val="6C655EDF"/>
    <w:rsid w:val="6C756EE7"/>
    <w:rsid w:val="6C8079C0"/>
    <w:rsid w:val="6C831486"/>
    <w:rsid w:val="6C92289E"/>
    <w:rsid w:val="6C92595F"/>
    <w:rsid w:val="6C9B464B"/>
    <w:rsid w:val="6CB31385"/>
    <w:rsid w:val="6CC63554"/>
    <w:rsid w:val="6CEE595E"/>
    <w:rsid w:val="6D0363DE"/>
    <w:rsid w:val="6D0A4598"/>
    <w:rsid w:val="6D1E1129"/>
    <w:rsid w:val="6D2418EF"/>
    <w:rsid w:val="6D524D35"/>
    <w:rsid w:val="6D5660C2"/>
    <w:rsid w:val="6D5C7E3D"/>
    <w:rsid w:val="6D64414C"/>
    <w:rsid w:val="6D6F186E"/>
    <w:rsid w:val="6DA45721"/>
    <w:rsid w:val="6DE1743E"/>
    <w:rsid w:val="6DEF5724"/>
    <w:rsid w:val="6DF365C0"/>
    <w:rsid w:val="6E0F35F1"/>
    <w:rsid w:val="6E3664DA"/>
    <w:rsid w:val="6E3F42D3"/>
    <w:rsid w:val="6E65238E"/>
    <w:rsid w:val="6E7F1A4C"/>
    <w:rsid w:val="6EB12BAF"/>
    <w:rsid w:val="6EB8665D"/>
    <w:rsid w:val="6EBD2266"/>
    <w:rsid w:val="6EC232C3"/>
    <w:rsid w:val="6EEB3FD1"/>
    <w:rsid w:val="6EF13BC4"/>
    <w:rsid w:val="6F221983"/>
    <w:rsid w:val="6F291508"/>
    <w:rsid w:val="6F4475D4"/>
    <w:rsid w:val="6F7502BE"/>
    <w:rsid w:val="6F8E346E"/>
    <w:rsid w:val="6F922D77"/>
    <w:rsid w:val="6FEA2DEF"/>
    <w:rsid w:val="7000794E"/>
    <w:rsid w:val="70205EFC"/>
    <w:rsid w:val="70213B1D"/>
    <w:rsid w:val="70240E90"/>
    <w:rsid w:val="70390D6C"/>
    <w:rsid w:val="705A32FB"/>
    <w:rsid w:val="708648F9"/>
    <w:rsid w:val="70947CC4"/>
    <w:rsid w:val="70A034C9"/>
    <w:rsid w:val="70A03947"/>
    <w:rsid w:val="70B01D16"/>
    <w:rsid w:val="70B46C7A"/>
    <w:rsid w:val="70EC15F1"/>
    <w:rsid w:val="713120E1"/>
    <w:rsid w:val="713927A1"/>
    <w:rsid w:val="71426CAF"/>
    <w:rsid w:val="715313D6"/>
    <w:rsid w:val="717634EB"/>
    <w:rsid w:val="71F268A7"/>
    <w:rsid w:val="71FD0496"/>
    <w:rsid w:val="720F2390"/>
    <w:rsid w:val="72153DD4"/>
    <w:rsid w:val="721D701F"/>
    <w:rsid w:val="721E132B"/>
    <w:rsid w:val="7223696F"/>
    <w:rsid w:val="72273F08"/>
    <w:rsid w:val="72563FB1"/>
    <w:rsid w:val="72644C9B"/>
    <w:rsid w:val="72676EAC"/>
    <w:rsid w:val="726A6739"/>
    <w:rsid w:val="726E28BC"/>
    <w:rsid w:val="726F476F"/>
    <w:rsid w:val="727803BA"/>
    <w:rsid w:val="7289495C"/>
    <w:rsid w:val="729130E1"/>
    <w:rsid w:val="729701F7"/>
    <w:rsid w:val="7297362A"/>
    <w:rsid w:val="72B70300"/>
    <w:rsid w:val="72C13435"/>
    <w:rsid w:val="72D074EC"/>
    <w:rsid w:val="72DE2A9D"/>
    <w:rsid w:val="73060056"/>
    <w:rsid w:val="7332304C"/>
    <w:rsid w:val="73460DCF"/>
    <w:rsid w:val="73765DF7"/>
    <w:rsid w:val="739002D0"/>
    <w:rsid w:val="739C093C"/>
    <w:rsid w:val="73CF3EC1"/>
    <w:rsid w:val="73CF46C4"/>
    <w:rsid w:val="73E82232"/>
    <w:rsid w:val="73F456D6"/>
    <w:rsid w:val="73F96E45"/>
    <w:rsid w:val="73FF0BAF"/>
    <w:rsid w:val="740166CA"/>
    <w:rsid w:val="74050AB5"/>
    <w:rsid w:val="74196CE4"/>
    <w:rsid w:val="74207673"/>
    <w:rsid w:val="74241D57"/>
    <w:rsid w:val="743D5AC3"/>
    <w:rsid w:val="745D14CD"/>
    <w:rsid w:val="7463545B"/>
    <w:rsid w:val="74663F03"/>
    <w:rsid w:val="746B4618"/>
    <w:rsid w:val="74833744"/>
    <w:rsid w:val="7487654A"/>
    <w:rsid w:val="748E187D"/>
    <w:rsid w:val="74B10AEA"/>
    <w:rsid w:val="74CD5912"/>
    <w:rsid w:val="74DA1E6E"/>
    <w:rsid w:val="74E76D22"/>
    <w:rsid w:val="74EE0377"/>
    <w:rsid w:val="74F151FA"/>
    <w:rsid w:val="74F45E93"/>
    <w:rsid w:val="74FF07D6"/>
    <w:rsid w:val="750D2338"/>
    <w:rsid w:val="75220F50"/>
    <w:rsid w:val="752B23D2"/>
    <w:rsid w:val="753E5425"/>
    <w:rsid w:val="754263FB"/>
    <w:rsid w:val="755A3C5E"/>
    <w:rsid w:val="756E47D0"/>
    <w:rsid w:val="757248A8"/>
    <w:rsid w:val="757F224D"/>
    <w:rsid w:val="759700BA"/>
    <w:rsid w:val="75980499"/>
    <w:rsid w:val="75A8312C"/>
    <w:rsid w:val="75D648AB"/>
    <w:rsid w:val="75E65018"/>
    <w:rsid w:val="75F103B8"/>
    <w:rsid w:val="76231919"/>
    <w:rsid w:val="762A3503"/>
    <w:rsid w:val="76384B84"/>
    <w:rsid w:val="764536B8"/>
    <w:rsid w:val="76525FAD"/>
    <w:rsid w:val="76660595"/>
    <w:rsid w:val="76760624"/>
    <w:rsid w:val="767C5EE4"/>
    <w:rsid w:val="769515F9"/>
    <w:rsid w:val="769B525A"/>
    <w:rsid w:val="76AB52DB"/>
    <w:rsid w:val="76BA6562"/>
    <w:rsid w:val="76BB02F6"/>
    <w:rsid w:val="76E070DF"/>
    <w:rsid w:val="770E36E0"/>
    <w:rsid w:val="77237C27"/>
    <w:rsid w:val="77324E93"/>
    <w:rsid w:val="774470BE"/>
    <w:rsid w:val="77532B5B"/>
    <w:rsid w:val="77716B44"/>
    <w:rsid w:val="777729C5"/>
    <w:rsid w:val="77C22263"/>
    <w:rsid w:val="77E32D64"/>
    <w:rsid w:val="77F3515D"/>
    <w:rsid w:val="77F501E7"/>
    <w:rsid w:val="77F61CC2"/>
    <w:rsid w:val="77FB55AD"/>
    <w:rsid w:val="782119F6"/>
    <w:rsid w:val="783204FE"/>
    <w:rsid w:val="7838736E"/>
    <w:rsid w:val="784A621A"/>
    <w:rsid w:val="785E269D"/>
    <w:rsid w:val="78705E58"/>
    <w:rsid w:val="78752787"/>
    <w:rsid w:val="78832525"/>
    <w:rsid w:val="78C05A20"/>
    <w:rsid w:val="78CE3373"/>
    <w:rsid w:val="78E15420"/>
    <w:rsid w:val="78EA06B1"/>
    <w:rsid w:val="79132519"/>
    <w:rsid w:val="791D6CC1"/>
    <w:rsid w:val="793C6166"/>
    <w:rsid w:val="79433835"/>
    <w:rsid w:val="79466B87"/>
    <w:rsid w:val="795A0860"/>
    <w:rsid w:val="796340FE"/>
    <w:rsid w:val="79B27ED3"/>
    <w:rsid w:val="79B43713"/>
    <w:rsid w:val="79E06B4C"/>
    <w:rsid w:val="7A017972"/>
    <w:rsid w:val="7A18743A"/>
    <w:rsid w:val="7A5F68FB"/>
    <w:rsid w:val="7A735659"/>
    <w:rsid w:val="7A8B5B1A"/>
    <w:rsid w:val="7AA8721A"/>
    <w:rsid w:val="7AAB3D6B"/>
    <w:rsid w:val="7AC17447"/>
    <w:rsid w:val="7AD70C9B"/>
    <w:rsid w:val="7ADA5B3C"/>
    <w:rsid w:val="7AF9378A"/>
    <w:rsid w:val="7B00346A"/>
    <w:rsid w:val="7B0F4C66"/>
    <w:rsid w:val="7B261C7A"/>
    <w:rsid w:val="7B2B62C3"/>
    <w:rsid w:val="7B533629"/>
    <w:rsid w:val="7B656EB9"/>
    <w:rsid w:val="7B666CD6"/>
    <w:rsid w:val="7B881773"/>
    <w:rsid w:val="7BBE324A"/>
    <w:rsid w:val="7BC112E0"/>
    <w:rsid w:val="7BD86A29"/>
    <w:rsid w:val="7BE012D2"/>
    <w:rsid w:val="7CAF5DF4"/>
    <w:rsid w:val="7CB9036C"/>
    <w:rsid w:val="7CC42B19"/>
    <w:rsid w:val="7CE55B46"/>
    <w:rsid w:val="7D047631"/>
    <w:rsid w:val="7D0D1025"/>
    <w:rsid w:val="7D365857"/>
    <w:rsid w:val="7D39475A"/>
    <w:rsid w:val="7D694EAD"/>
    <w:rsid w:val="7D7E26AB"/>
    <w:rsid w:val="7D7F6748"/>
    <w:rsid w:val="7DA2597E"/>
    <w:rsid w:val="7DA93AF8"/>
    <w:rsid w:val="7DB007B5"/>
    <w:rsid w:val="7DDA0452"/>
    <w:rsid w:val="7DDD5D1F"/>
    <w:rsid w:val="7DE059F1"/>
    <w:rsid w:val="7DE226AF"/>
    <w:rsid w:val="7E3C4D54"/>
    <w:rsid w:val="7E707625"/>
    <w:rsid w:val="7EA412BC"/>
    <w:rsid w:val="7EB8505D"/>
    <w:rsid w:val="7EC40A24"/>
    <w:rsid w:val="7EC82167"/>
    <w:rsid w:val="7EFD797B"/>
    <w:rsid w:val="7F10170F"/>
    <w:rsid w:val="7F26088A"/>
    <w:rsid w:val="7F283888"/>
    <w:rsid w:val="7F3C4F86"/>
    <w:rsid w:val="7F5C1E23"/>
    <w:rsid w:val="7F711C25"/>
    <w:rsid w:val="7F7F0E61"/>
    <w:rsid w:val="7FAA1CF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qFormat="1" w:unhideWhenUsed="0" w:uiPriority="0" w:semiHidden="0" w:name="envelope return"/>
    <w:lsdException w:uiPriority="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0" w:name="endnote reference"/>
    <w:lsdException w:uiPriority="0" w:name="endnote text"/>
    <w:lsdException w:uiPriority="0" w:name="table of authorities"/>
    <w:lsdException w:qFormat="1" w:unhideWhenUsed="0" w:uiPriority="0" w:semiHidden="0" w:name="macro"/>
    <w:lsdException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qFormat="1" w:unhideWhenUsed="0" w:uiPriority="0" w:semiHidden="0" w:name="List Bullet 2"/>
    <w:lsdException w:uiPriority="0" w:name="List Bullet 3"/>
    <w:lsdException w:uiPriority="0" w:name="List Bullet 4"/>
    <w:lsdException w:uiPriority="0" w:name="List Bullet 5"/>
    <w:lsdException w:uiPriority="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qFormat="1" w:unhideWhenUsed="0" w:uiPriority="0" w:semiHidden="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130"/>
    <w:autoRedefine/>
    <w:qFormat/>
    <w:uiPriority w:val="0"/>
    <w:pPr>
      <w:jc w:val="center"/>
      <w:outlineLvl w:val="0"/>
    </w:pPr>
    <w:rPr>
      <w:sz w:val="32"/>
    </w:rPr>
  </w:style>
  <w:style w:type="paragraph" w:styleId="7">
    <w:name w:val="heading 2"/>
    <w:basedOn w:val="1"/>
    <w:next w:val="1"/>
    <w:link w:val="125"/>
    <w:autoRedefine/>
    <w:qFormat/>
    <w:uiPriority w:val="0"/>
    <w:pPr>
      <w:keepNext/>
      <w:outlineLvl w:val="1"/>
    </w:pPr>
    <w:rPr>
      <w:rFonts w:ascii="仿宋_GB2312"/>
      <w:b/>
      <w:sz w:val="28"/>
      <w:szCs w:val="32"/>
    </w:rPr>
  </w:style>
  <w:style w:type="paragraph" w:styleId="8">
    <w:name w:val="heading 3"/>
    <w:basedOn w:val="1"/>
    <w:next w:val="9"/>
    <w:link w:val="98"/>
    <w:autoRedefine/>
    <w:qFormat/>
    <w:uiPriority w:val="0"/>
    <w:pPr>
      <w:keepNext/>
      <w:keepLines/>
      <w:spacing w:line="540" w:lineRule="atLeast"/>
      <w:outlineLvl w:val="2"/>
    </w:pPr>
    <w:rPr>
      <w:rFonts w:eastAsia="黑体"/>
      <w:b/>
      <w:sz w:val="28"/>
      <w:szCs w:val="20"/>
    </w:rPr>
  </w:style>
  <w:style w:type="paragraph" w:styleId="10">
    <w:name w:val="heading 4"/>
    <w:basedOn w:val="1"/>
    <w:next w:val="1"/>
    <w:link w:val="131"/>
    <w:autoRedefine/>
    <w:qFormat/>
    <w:uiPriority w:val="0"/>
    <w:pPr>
      <w:keepNext/>
      <w:keepLines/>
      <w:spacing w:line="540" w:lineRule="atLeast"/>
      <w:outlineLvl w:val="3"/>
    </w:pPr>
    <w:rPr>
      <w:sz w:val="28"/>
      <w:szCs w:val="28"/>
    </w:rPr>
  </w:style>
  <w:style w:type="paragraph" w:styleId="11">
    <w:name w:val="heading 5"/>
    <w:basedOn w:val="1"/>
    <w:next w:val="1"/>
    <w:link w:val="120"/>
    <w:autoRedefine/>
    <w:qFormat/>
    <w:uiPriority w:val="0"/>
    <w:pPr>
      <w:keepNext/>
      <w:keepLines/>
      <w:spacing w:before="280" w:after="290" w:line="372" w:lineRule="auto"/>
      <w:outlineLvl w:val="4"/>
    </w:pPr>
    <w:rPr>
      <w:b/>
      <w:bCs/>
      <w:kern w:val="0"/>
      <w:sz w:val="28"/>
      <w:szCs w:val="28"/>
    </w:rPr>
  </w:style>
  <w:style w:type="paragraph" w:styleId="12">
    <w:name w:val="heading 6"/>
    <w:basedOn w:val="1"/>
    <w:next w:val="9"/>
    <w:link w:val="158"/>
    <w:autoRedefine/>
    <w:qFormat/>
    <w:uiPriority w:val="0"/>
    <w:pPr>
      <w:keepNext/>
      <w:keepLines/>
      <w:spacing w:before="240" w:after="64" w:line="317" w:lineRule="auto"/>
      <w:outlineLvl w:val="5"/>
    </w:pPr>
    <w:rPr>
      <w:rFonts w:ascii="Arial" w:hAnsi="Arial" w:eastAsia="黑体"/>
      <w:b/>
      <w:sz w:val="24"/>
      <w:szCs w:val="20"/>
    </w:rPr>
  </w:style>
  <w:style w:type="paragraph" w:styleId="13">
    <w:name w:val="heading 7"/>
    <w:basedOn w:val="1"/>
    <w:next w:val="9"/>
    <w:link w:val="75"/>
    <w:autoRedefine/>
    <w:qFormat/>
    <w:uiPriority w:val="0"/>
    <w:pPr>
      <w:keepNext/>
      <w:keepLines/>
      <w:spacing w:before="240" w:after="64" w:line="317" w:lineRule="auto"/>
      <w:outlineLvl w:val="6"/>
    </w:pPr>
    <w:rPr>
      <w:b/>
      <w:sz w:val="24"/>
      <w:szCs w:val="20"/>
    </w:rPr>
  </w:style>
  <w:style w:type="paragraph" w:styleId="14">
    <w:name w:val="heading 8"/>
    <w:basedOn w:val="1"/>
    <w:next w:val="9"/>
    <w:link w:val="146"/>
    <w:autoRedefine/>
    <w:qFormat/>
    <w:uiPriority w:val="0"/>
    <w:pPr>
      <w:keepNext/>
      <w:keepLines/>
      <w:spacing w:before="240" w:after="64" w:line="317" w:lineRule="auto"/>
      <w:outlineLvl w:val="7"/>
    </w:pPr>
    <w:rPr>
      <w:rFonts w:ascii="Arial" w:hAnsi="Arial" w:eastAsia="黑体"/>
      <w:sz w:val="24"/>
      <w:szCs w:val="20"/>
    </w:rPr>
  </w:style>
  <w:style w:type="paragraph" w:styleId="15">
    <w:name w:val="heading 9"/>
    <w:basedOn w:val="1"/>
    <w:next w:val="9"/>
    <w:link w:val="77"/>
    <w:autoRedefine/>
    <w:qFormat/>
    <w:uiPriority w:val="0"/>
    <w:pPr>
      <w:keepNext/>
      <w:keepLines/>
      <w:spacing w:before="240" w:after="64" w:line="317" w:lineRule="auto"/>
      <w:outlineLvl w:val="8"/>
    </w:pPr>
    <w:rPr>
      <w:rFonts w:ascii="Arial" w:hAnsi="Arial" w:eastAsia="黑体"/>
      <w:szCs w:val="20"/>
    </w:rPr>
  </w:style>
  <w:style w:type="character" w:default="1" w:styleId="57">
    <w:name w:val="Default Paragraph Font"/>
    <w:autoRedefine/>
    <w:semiHidden/>
    <w:unhideWhenUsed/>
    <w:qFormat/>
    <w:uiPriority w:val="1"/>
  </w:style>
  <w:style w:type="table" w:default="1" w:styleId="55">
    <w:name w:val="Normal Table"/>
    <w:autoRedefine/>
    <w:semiHidden/>
    <w:unhideWhenUsed/>
    <w:qFormat/>
    <w:uiPriority w:val="99"/>
    <w:tblPr>
      <w:tblCellMar>
        <w:top w:w="0" w:type="dxa"/>
        <w:left w:w="108" w:type="dxa"/>
        <w:bottom w:w="0" w:type="dxa"/>
        <w:right w:w="108" w:type="dxa"/>
      </w:tblCellMar>
    </w:tblPr>
  </w:style>
  <w:style w:type="paragraph" w:customStyle="1" w:styleId="2">
    <w:name w:val="表格文字"/>
    <w:basedOn w:val="1"/>
    <w:next w:val="3"/>
    <w:qFormat/>
    <w:uiPriority w:val="0"/>
    <w:pPr>
      <w:adjustRightInd w:val="0"/>
      <w:spacing w:line="420" w:lineRule="atLeast"/>
      <w:jc w:val="left"/>
      <w:textAlignment w:val="baseline"/>
    </w:pPr>
    <w:rPr>
      <w:kern w:val="0"/>
    </w:rPr>
  </w:style>
  <w:style w:type="paragraph" w:styleId="3">
    <w:name w:val="Body Text"/>
    <w:basedOn w:val="1"/>
    <w:next w:val="4"/>
    <w:link w:val="156"/>
    <w:autoRedefine/>
    <w:qFormat/>
    <w:uiPriority w:val="0"/>
    <w:pPr>
      <w:spacing w:after="120"/>
    </w:pPr>
    <w:rPr>
      <w:rFonts w:ascii="仿宋_GB2312"/>
      <w:b/>
    </w:rPr>
  </w:style>
  <w:style w:type="paragraph" w:styleId="4">
    <w:name w:val="Body Text First Indent"/>
    <w:basedOn w:val="1"/>
    <w:link w:val="96"/>
    <w:autoRedefine/>
    <w:qFormat/>
    <w:uiPriority w:val="0"/>
    <w:pPr>
      <w:autoSpaceDE w:val="0"/>
      <w:autoSpaceDN w:val="0"/>
      <w:adjustRightInd w:val="0"/>
      <w:ind w:firstLine="420" w:firstLineChars="100"/>
      <w:jc w:val="left"/>
    </w:pPr>
    <w:rPr>
      <w:rFonts w:ascii="Times New Roman"/>
      <w:kern w:val="0"/>
      <w:sz w:val="20"/>
      <w:szCs w:val="20"/>
    </w:rPr>
  </w:style>
  <w:style w:type="paragraph" w:styleId="5">
    <w:name w:val="macro"/>
    <w:link w:val="99"/>
    <w:autoRedefine/>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Times New Roman"/>
      <w:kern w:val="2"/>
      <w:sz w:val="24"/>
      <w:szCs w:val="24"/>
      <w:lang w:val="en-US" w:eastAsia="zh-CN" w:bidi="ar-SA"/>
    </w:rPr>
  </w:style>
  <w:style w:type="paragraph" w:styleId="9">
    <w:name w:val="Normal Indent"/>
    <w:basedOn w:val="1"/>
    <w:next w:val="1"/>
    <w:link w:val="124"/>
    <w:autoRedefine/>
    <w:qFormat/>
    <w:uiPriority w:val="0"/>
    <w:pPr>
      <w:adjustRightInd w:val="0"/>
      <w:spacing w:line="312" w:lineRule="atLeast"/>
      <w:ind w:firstLine="420"/>
      <w:textAlignment w:val="baseline"/>
    </w:pPr>
    <w:rPr>
      <w:rFonts w:ascii="仿宋_GB2312"/>
      <w:b/>
      <w:kern w:val="0"/>
      <w:szCs w:val="32"/>
    </w:rPr>
  </w:style>
  <w:style w:type="paragraph" w:styleId="16">
    <w:name w:val="toc 7"/>
    <w:basedOn w:val="1"/>
    <w:next w:val="1"/>
    <w:autoRedefine/>
    <w:qFormat/>
    <w:uiPriority w:val="0"/>
    <w:pPr>
      <w:autoSpaceDE w:val="0"/>
      <w:autoSpaceDN w:val="0"/>
      <w:adjustRightInd w:val="0"/>
      <w:ind w:left="2520" w:leftChars="1200"/>
      <w:jc w:val="left"/>
    </w:pPr>
    <w:rPr>
      <w:kern w:val="0"/>
      <w:sz w:val="20"/>
      <w:szCs w:val="20"/>
    </w:rPr>
  </w:style>
  <w:style w:type="paragraph" w:styleId="17">
    <w:name w:val="List Number"/>
    <w:basedOn w:val="1"/>
    <w:autoRedefine/>
    <w:qFormat/>
    <w:uiPriority w:val="0"/>
    <w:pPr>
      <w:tabs>
        <w:tab w:val="left" w:pos="360"/>
      </w:tabs>
      <w:ind w:left="360" w:hanging="360" w:hangingChars="200"/>
    </w:pPr>
  </w:style>
  <w:style w:type="paragraph" w:styleId="18">
    <w:name w:val="caption"/>
    <w:basedOn w:val="1"/>
    <w:next w:val="1"/>
    <w:autoRedefine/>
    <w:qFormat/>
    <w:uiPriority w:val="0"/>
    <w:pPr>
      <w:autoSpaceDE w:val="0"/>
      <w:autoSpaceDN w:val="0"/>
      <w:adjustRightInd w:val="0"/>
      <w:jc w:val="left"/>
    </w:pPr>
    <w:rPr>
      <w:rFonts w:ascii="Arial" w:hAnsi="Arial" w:eastAsia="黑体" w:cs="Arial"/>
      <w:kern w:val="0"/>
      <w:sz w:val="20"/>
      <w:szCs w:val="20"/>
    </w:rPr>
  </w:style>
  <w:style w:type="paragraph" w:styleId="19">
    <w:name w:val="List Bullet"/>
    <w:basedOn w:val="1"/>
    <w:autoRedefine/>
    <w:qFormat/>
    <w:uiPriority w:val="0"/>
    <w:pPr>
      <w:tabs>
        <w:tab w:val="left" w:pos="360"/>
      </w:tabs>
    </w:pPr>
    <w:rPr>
      <w:rFonts w:ascii="Calibri" w:hAnsi="Calibri"/>
      <w:szCs w:val="22"/>
    </w:rPr>
  </w:style>
  <w:style w:type="paragraph" w:styleId="20">
    <w:name w:val="Document Map"/>
    <w:basedOn w:val="1"/>
    <w:link w:val="148"/>
    <w:autoRedefine/>
    <w:qFormat/>
    <w:uiPriority w:val="0"/>
    <w:pPr>
      <w:shd w:val="clear" w:color="auto" w:fill="000080"/>
    </w:pPr>
  </w:style>
  <w:style w:type="paragraph" w:styleId="21">
    <w:name w:val="annotation text"/>
    <w:basedOn w:val="1"/>
    <w:link w:val="105"/>
    <w:autoRedefine/>
    <w:qFormat/>
    <w:uiPriority w:val="0"/>
    <w:pPr>
      <w:jc w:val="left"/>
    </w:pPr>
  </w:style>
  <w:style w:type="paragraph" w:styleId="22">
    <w:name w:val="Salutation"/>
    <w:basedOn w:val="1"/>
    <w:next w:val="1"/>
    <w:link w:val="81"/>
    <w:autoRedefine/>
    <w:qFormat/>
    <w:uiPriority w:val="0"/>
    <w:pPr>
      <w:tabs>
        <w:tab w:val="left" w:pos="840"/>
      </w:tabs>
      <w:autoSpaceDE w:val="0"/>
      <w:autoSpaceDN w:val="0"/>
      <w:adjustRightInd w:val="0"/>
      <w:jc w:val="left"/>
    </w:pPr>
    <w:rPr>
      <w:rFonts w:ascii="仿宋_GB2312" w:eastAsia="仿宋_GB2312"/>
      <w:b/>
      <w:kern w:val="0"/>
      <w:sz w:val="24"/>
      <w:szCs w:val="32"/>
    </w:rPr>
  </w:style>
  <w:style w:type="paragraph" w:styleId="23">
    <w:name w:val="Body Text 3"/>
    <w:basedOn w:val="1"/>
    <w:link w:val="138"/>
    <w:autoRedefine/>
    <w:qFormat/>
    <w:uiPriority w:val="0"/>
    <w:pPr>
      <w:autoSpaceDE w:val="0"/>
      <w:autoSpaceDN w:val="0"/>
      <w:adjustRightInd w:val="0"/>
      <w:jc w:val="center"/>
    </w:pPr>
  </w:style>
  <w:style w:type="paragraph" w:styleId="24">
    <w:name w:val="Body Text Indent"/>
    <w:basedOn w:val="1"/>
    <w:next w:val="25"/>
    <w:link w:val="181"/>
    <w:autoRedefine/>
    <w:qFormat/>
    <w:uiPriority w:val="0"/>
    <w:pPr>
      <w:ind w:left="480" w:hanging="480" w:hangingChars="200"/>
    </w:pPr>
    <w:rPr>
      <w:sz w:val="24"/>
    </w:rPr>
  </w:style>
  <w:style w:type="paragraph" w:styleId="25">
    <w:name w:val="Body Text First Indent 2"/>
    <w:basedOn w:val="24"/>
    <w:autoRedefine/>
    <w:qFormat/>
    <w:uiPriority w:val="0"/>
    <w:pPr>
      <w:spacing w:after="120"/>
      <w:ind w:left="420" w:leftChars="200" w:firstLine="420"/>
    </w:pPr>
    <w:rPr>
      <w:rFonts w:cs="宋体"/>
      <w:sz w:val="21"/>
      <w:szCs w:val="21"/>
    </w:rPr>
  </w:style>
  <w:style w:type="paragraph" w:styleId="26">
    <w:name w:val="List Number 3"/>
    <w:basedOn w:val="1"/>
    <w:autoRedefine/>
    <w:qFormat/>
    <w:uiPriority w:val="0"/>
    <w:pPr>
      <w:tabs>
        <w:tab w:val="left" w:pos="1200"/>
      </w:tabs>
      <w:ind w:left="1200" w:leftChars="400" w:hanging="360" w:hangingChars="200"/>
    </w:pPr>
  </w:style>
  <w:style w:type="paragraph" w:styleId="27">
    <w:name w:val="Block Text"/>
    <w:basedOn w:val="1"/>
    <w:autoRedefine/>
    <w:qFormat/>
    <w:uiPriority w:val="0"/>
    <w:pPr>
      <w:spacing w:line="520" w:lineRule="exact"/>
      <w:ind w:left="540" w:leftChars="257" w:right="-514"/>
    </w:pPr>
    <w:rPr>
      <w:rFonts w:ascii="宋体" w:hAnsi="宋体"/>
      <w:sz w:val="24"/>
    </w:rPr>
  </w:style>
  <w:style w:type="paragraph" w:styleId="28">
    <w:name w:val="List Bullet 2"/>
    <w:basedOn w:val="1"/>
    <w:autoRedefine/>
    <w:qFormat/>
    <w:uiPriority w:val="0"/>
    <w:pPr>
      <w:tabs>
        <w:tab w:val="left" w:pos="780"/>
      </w:tabs>
      <w:spacing w:line="360" w:lineRule="auto"/>
      <w:ind w:left="780" w:leftChars="200" w:hanging="360" w:hangingChars="200"/>
    </w:pPr>
  </w:style>
  <w:style w:type="paragraph" w:styleId="29">
    <w:name w:val="toc 5"/>
    <w:basedOn w:val="1"/>
    <w:next w:val="1"/>
    <w:autoRedefine/>
    <w:qFormat/>
    <w:uiPriority w:val="0"/>
    <w:pPr>
      <w:autoSpaceDE w:val="0"/>
      <w:autoSpaceDN w:val="0"/>
      <w:adjustRightInd w:val="0"/>
      <w:ind w:left="1680" w:leftChars="800"/>
      <w:jc w:val="left"/>
    </w:pPr>
    <w:rPr>
      <w:kern w:val="0"/>
      <w:sz w:val="20"/>
      <w:szCs w:val="20"/>
    </w:rPr>
  </w:style>
  <w:style w:type="paragraph" w:styleId="30">
    <w:name w:val="toc 3"/>
    <w:basedOn w:val="1"/>
    <w:next w:val="1"/>
    <w:autoRedefine/>
    <w:qFormat/>
    <w:uiPriority w:val="0"/>
    <w:pPr>
      <w:ind w:left="840" w:leftChars="400"/>
    </w:pPr>
  </w:style>
  <w:style w:type="paragraph" w:styleId="31">
    <w:name w:val="Plain Text"/>
    <w:basedOn w:val="1"/>
    <w:link w:val="175"/>
    <w:autoRedefine/>
    <w:qFormat/>
    <w:uiPriority w:val="0"/>
    <w:pPr>
      <w:widowControl/>
      <w:overflowPunct w:val="0"/>
      <w:autoSpaceDE w:val="0"/>
      <w:autoSpaceDN w:val="0"/>
      <w:adjustRightInd w:val="0"/>
      <w:jc w:val="left"/>
      <w:textAlignment w:val="baseline"/>
    </w:pPr>
    <w:rPr>
      <w:rFonts w:ascii="宋体" w:hAnsi="Courier New"/>
      <w:b/>
      <w:kern w:val="0"/>
      <w:szCs w:val="21"/>
    </w:rPr>
  </w:style>
  <w:style w:type="paragraph" w:styleId="32">
    <w:name w:val="List Number 4"/>
    <w:basedOn w:val="1"/>
    <w:autoRedefine/>
    <w:qFormat/>
    <w:uiPriority w:val="0"/>
    <w:pPr>
      <w:tabs>
        <w:tab w:val="left" w:pos="840"/>
      </w:tabs>
      <w:autoSpaceDE w:val="0"/>
      <w:autoSpaceDN w:val="0"/>
      <w:adjustRightInd w:val="0"/>
      <w:spacing w:line="360" w:lineRule="atLeast"/>
      <w:ind w:left="840" w:hanging="420"/>
      <w:jc w:val="left"/>
    </w:pPr>
    <w:rPr>
      <w:kern w:val="0"/>
      <w:sz w:val="24"/>
      <w:szCs w:val="20"/>
    </w:rPr>
  </w:style>
  <w:style w:type="paragraph" w:styleId="33">
    <w:name w:val="toc 8"/>
    <w:basedOn w:val="1"/>
    <w:next w:val="1"/>
    <w:autoRedefine/>
    <w:qFormat/>
    <w:uiPriority w:val="0"/>
    <w:pPr>
      <w:autoSpaceDE w:val="0"/>
      <w:autoSpaceDN w:val="0"/>
      <w:adjustRightInd w:val="0"/>
      <w:ind w:left="2940" w:leftChars="1400"/>
      <w:jc w:val="left"/>
    </w:pPr>
    <w:rPr>
      <w:kern w:val="0"/>
      <w:sz w:val="20"/>
      <w:szCs w:val="20"/>
    </w:rPr>
  </w:style>
  <w:style w:type="paragraph" w:styleId="34">
    <w:name w:val="Date"/>
    <w:basedOn w:val="1"/>
    <w:next w:val="1"/>
    <w:link w:val="164"/>
    <w:autoRedefine/>
    <w:qFormat/>
    <w:uiPriority w:val="0"/>
    <w:pPr>
      <w:ind w:left="100" w:leftChars="2500"/>
    </w:pPr>
  </w:style>
  <w:style w:type="paragraph" w:styleId="35">
    <w:name w:val="Body Text Indent 2"/>
    <w:basedOn w:val="1"/>
    <w:link w:val="176"/>
    <w:autoRedefine/>
    <w:qFormat/>
    <w:uiPriority w:val="0"/>
    <w:pPr>
      <w:spacing w:line="500" w:lineRule="exact"/>
      <w:ind w:firstLine="511" w:firstLineChars="213"/>
    </w:pPr>
    <w:rPr>
      <w:sz w:val="24"/>
    </w:rPr>
  </w:style>
  <w:style w:type="paragraph" w:styleId="36">
    <w:name w:val="Balloon Text"/>
    <w:basedOn w:val="1"/>
    <w:link w:val="92"/>
    <w:autoRedefine/>
    <w:qFormat/>
    <w:uiPriority w:val="0"/>
    <w:rPr>
      <w:sz w:val="18"/>
      <w:szCs w:val="18"/>
    </w:rPr>
  </w:style>
  <w:style w:type="paragraph" w:styleId="37">
    <w:name w:val="footer"/>
    <w:basedOn w:val="1"/>
    <w:link w:val="127"/>
    <w:autoRedefine/>
    <w:qFormat/>
    <w:uiPriority w:val="0"/>
    <w:pPr>
      <w:tabs>
        <w:tab w:val="center" w:pos="4153"/>
        <w:tab w:val="right" w:pos="8306"/>
      </w:tabs>
      <w:snapToGrid w:val="0"/>
      <w:jc w:val="left"/>
    </w:pPr>
    <w:rPr>
      <w:sz w:val="18"/>
      <w:szCs w:val="18"/>
    </w:rPr>
  </w:style>
  <w:style w:type="paragraph" w:styleId="38">
    <w:name w:val="envelope return"/>
    <w:basedOn w:val="1"/>
    <w:autoRedefine/>
    <w:qFormat/>
    <w:uiPriority w:val="0"/>
    <w:pPr>
      <w:snapToGrid w:val="0"/>
    </w:pPr>
    <w:rPr>
      <w:rFonts w:ascii="Arial" w:hAnsi="Arial"/>
    </w:rPr>
  </w:style>
  <w:style w:type="paragraph" w:styleId="39">
    <w:name w:val="header"/>
    <w:basedOn w:val="1"/>
    <w:link w:val="160"/>
    <w:autoRedefine/>
    <w:qFormat/>
    <w:uiPriority w:val="0"/>
    <w:pPr>
      <w:pBdr>
        <w:bottom w:val="single" w:color="auto" w:sz="6" w:space="1"/>
      </w:pBdr>
      <w:tabs>
        <w:tab w:val="center" w:pos="4153"/>
        <w:tab w:val="right" w:pos="8306"/>
      </w:tabs>
      <w:snapToGrid w:val="0"/>
      <w:jc w:val="center"/>
    </w:pPr>
    <w:rPr>
      <w:sz w:val="18"/>
      <w:szCs w:val="18"/>
    </w:rPr>
  </w:style>
  <w:style w:type="paragraph" w:styleId="40">
    <w:name w:val="Signature"/>
    <w:basedOn w:val="1"/>
    <w:link w:val="173"/>
    <w:autoRedefine/>
    <w:qFormat/>
    <w:uiPriority w:val="0"/>
    <w:pPr>
      <w:autoSpaceDE w:val="0"/>
      <w:autoSpaceDN w:val="0"/>
      <w:adjustRightInd w:val="0"/>
      <w:spacing w:after="600" w:line="312" w:lineRule="atLeast"/>
      <w:jc w:val="center"/>
      <w:textAlignment w:val="baseline"/>
    </w:pPr>
    <w:rPr>
      <w:rFonts w:ascii="仿宋_GB2312" w:eastAsia="仿宋_GB2312"/>
      <w:b/>
      <w:kern w:val="0"/>
      <w:sz w:val="24"/>
      <w:szCs w:val="32"/>
    </w:rPr>
  </w:style>
  <w:style w:type="paragraph" w:styleId="41">
    <w:name w:val="toc 1"/>
    <w:basedOn w:val="1"/>
    <w:next w:val="1"/>
    <w:autoRedefine/>
    <w:qFormat/>
    <w:uiPriority w:val="0"/>
  </w:style>
  <w:style w:type="paragraph" w:styleId="42">
    <w:name w:val="toc 4"/>
    <w:basedOn w:val="1"/>
    <w:next w:val="1"/>
    <w:autoRedefine/>
    <w:qFormat/>
    <w:uiPriority w:val="0"/>
    <w:pPr>
      <w:autoSpaceDE w:val="0"/>
      <w:autoSpaceDN w:val="0"/>
      <w:adjustRightInd w:val="0"/>
      <w:ind w:left="1260" w:leftChars="600"/>
      <w:jc w:val="left"/>
    </w:pPr>
    <w:rPr>
      <w:kern w:val="0"/>
      <w:sz w:val="20"/>
      <w:szCs w:val="20"/>
    </w:rPr>
  </w:style>
  <w:style w:type="paragraph" w:styleId="43">
    <w:name w:val="Subtitle"/>
    <w:basedOn w:val="1"/>
    <w:next w:val="1"/>
    <w:link w:val="133"/>
    <w:autoRedefine/>
    <w:qFormat/>
    <w:uiPriority w:val="0"/>
    <w:pPr>
      <w:spacing w:before="240" w:after="60" w:line="312" w:lineRule="auto"/>
      <w:jc w:val="center"/>
      <w:outlineLvl w:val="1"/>
    </w:pPr>
    <w:rPr>
      <w:rFonts w:ascii="Cambria" w:hAnsi="Cambria"/>
      <w:b/>
      <w:bCs/>
      <w:kern w:val="28"/>
      <w:sz w:val="32"/>
      <w:szCs w:val="32"/>
    </w:rPr>
  </w:style>
  <w:style w:type="paragraph" w:styleId="44">
    <w:name w:val="List Number 5"/>
    <w:basedOn w:val="1"/>
    <w:autoRedefine/>
    <w:qFormat/>
    <w:uiPriority w:val="0"/>
    <w:pPr>
      <w:tabs>
        <w:tab w:val="left" w:pos="2040"/>
      </w:tabs>
      <w:autoSpaceDE w:val="0"/>
      <w:autoSpaceDN w:val="0"/>
      <w:adjustRightInd w:val="0"/>
      <w:spacing w:line="400" w:lineRule="exact"/>
      <w:ind w:left="2040" w:hanging="360"/>
      <w:jc w:val="left"/>
    </w:pPr>
    <w:rPr>
      <w:kern w:val="0"/>
      <w:sz w:val="24"/>
      <w:szCs w:val="20"/>
    </w:rPr>
  </w:style>
  <w:style w:type="paragraph" w:styleId="45">
    <w:name w:val="List"/>
    <w:basedOn w:val="1"/>
    <w:autoRedefine/>
    <w:qFormat/>
    <w:uiPriority w:val="0"/>
    <w:pPr>
      <w:ind w:left="200" w:hanging="200" w:hangingChars="200"/>
    </w:pPr>
  </w:style>
  <w:style w:type="paragraph" w:styleId="46">
    <w:name w:val="toc 6"/>
    <w:basedOn w:val="1"/>
    <w:next w:val="1"/>
    <w:autoRedefine/>
    <w:qFormat/>
    <w:uiPriority w:val="0"/>
    <w:pPr>
      <w:autoSpaceDE w:val="0"/>
      <w:autoSpaceDN w:val="0"/>
      <w:adjustRightInd w:val="0"/>
      <w:ind w:left="2100" w:leftChars="1000"/>
      <w:jc w:val="left"/>
    </w:pPr>
    <w:rPr>
      <w:kern w:val="0"/>
      <w:sz w:val="20"/>
      <w:szCs w:val="20"/>
    </w:rPr>
  </w:style>
  <w:style w:type="paragraph" w:styleId="47">
    <w:name w:val="Body Text Indent 3"/>
    <w:basedOn w:val="1"/>
    <w:link w:val="188"/>
    <w:autoRedefine/>
    <w:qFormat/>
    <w:uiPriority w:val="0"/>
    <w:pPr>
      <w:spacing w:line="500" w:lineRule="exact"/>
      <w:ind w:left="511" w:hanging="511" w:hangingChars="213"/>
    </w:pPr>
    <w:rPr>
      <w:sz w:val="24"/>
    </w:rPr>
  </w:style>
  <w:style w:type="paragraph" w:styleId="48">
    <w:name w:val="toc 2"/>
    <w:basedOn w:val="1"/>
    <w:next w:val="1"/>
    <w:autoRedefine/>
    <w:qFormat/>
    <w:uiPriority w:val="0"/>
    <w:pPr>
      <w:ind w:left="420" w:leftChars="200"/>
    </w:pPr>
  </w:style>
  <w:style w:type="paragraph" w:styleId="49">
    <w:name w:val="toc 9"/>
    <w:basedOn w:val="1"/>
    <w:next w:val="1"/>
    <w:autoRedefine/>
    <w:qFormat/>
    <w:uiPriority w:val="0"/>
    <w:pPr>
      <w:autoSpaceDE w:val="0"/>
      <w:autoSpaceDN w:val="0"/>
      <w:adjustRightInd w:val="0"/>
      <w:ind w:left="3360" w:leftChars="1600"/>
      <w:jc w:val="left"/>
    </w:pPr>
    <w:rPr>
      <w:kern w:val="0"/>
      <w:sz w:val="20"/>
      <w:szCs w:val="20"/>
    </w:rPr>
  </w:style>
  <w:style w:type="paragraph" w:styleId="50">
    <w:name w:val="Body Text 2"/>
    <w:basedOn w:val="1"/>
    <w:link w:val="67"/>
    <w:autoRedefine/>
    <w:qFormat/>
    <w:uiPriority w:val="0"/>
    <w:pPr>
      <w:autoSpaceDE w:val="0"/>
      <w:autoSpaceDN w:val="0"/>
      <w:adjustRightInd w:val="0"/>
      <w:spacing w:after="120" w:line="480" w:lineRule="auto"/>
      <w:jc w:val="left"/>
    </w:pPr>
  </w:style>
  <w:style w:type="paragraph" w:styleId="51">
    <w:name w:val="HTML Preformatted"/>
    <w:basedOn w:val="1"/>
    <w:autoRedefine/>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52">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53">
    <w:name w:val="Title"/>
    <w:basedOn w:val="1"/>
    <w:next w:val="1"/>
    <w:link w:val="86"/>
    <w:autoRedefine/>
    <w:qFormat/>
    <w:uiPriority w:val="0"/>
    <w:pPr>
      <w:spacing w:before="240" w:after="60"/>
      <w:jc w:val="center"/>
      <w:outlineLvl w:val="0"/>
    </w:pPr>
    <w:rPr>
      <w:rFonts w:ascii="Cambria" w:hAnsi="Cambria"/>
      <w:b/>
      <w:bCs/>
      <w:sz w:val="32"/>
      <w:szCs w:val="32"/>
    </w:rPr>
  </w:style>
  <w:style w:type="paragraph" w:styleId="54">
    <w:name w:val="annotation subject"/>
    <w:basedOn w:val="21"/>
    <w:next w:val="21"/>
    <w:link w:val="118"/>
    <w:autoRedefine/>
    <w:qFormat/>
    <w:uiPriority w:val="0"/>
    <w:rPr>
      <w:b/>
      <w:bCs/>
    </w:rPr>
  </w:style>
  <w:style w:type="table" w:styleId="56">
    <w:name w:val="Table Grid"/>
    <w:basedOn w:val="5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8">
    <w:name w:val="Strong"/>
    <w:autoRedefine/>
    <w:qFormat/>
    <w:uiPriority w:val="0"/>
    <w:rPr>
      <w:rFonts w:ascii="仿宋_GB2312" w:eastAsia="仿宋_GB2312"/>
      <w:bCs/>
      <w:sz w:val="32"/>
      <w:szCs w:val="32"/>
    </w:rPr>
  </w:style>
  <w:style w:type="character" w:styleId="59">
    <w:name w:val="page number"/>
    <w:basedOn w:val="57"/>
    <w:autoRedefine/>
    <w:qFormat/>
    <w:uiPriority w:val="0"/>
  </w:style>
  <w:style w:type="character" w:styleId="60">
    <w:name w:val="FollowedHyperlink"/>
    <w:autoRedefine/>
    <w:qFormat/>
    <w:uiPriority w:val="0"/>
    <w:rPr>
      <w:rFonts w:ascii="仿宋_GB2312" w:eastAsia="仿宋_GB2312"/>
      <w:b/>
      <w:color w:val="800080"/>
      <w:sz w:val="32"/>
      <w:szCs w:val="32"/>
      <w:u w:val="none"/>
    </w:rPr>
  </w:style>
  <w:style w:type="character" w:styleId="61">
    <w:name w:val="Emphasis"/>
    <w:autoRedefine/>
    <w:qFormat/>
    <w:uiPriority w:val="0"/>
    <w:rPr>
      <w:i/>
      <w:iCs/>
    </w:rPr>
  </w:style>
  <w:style w:type="character" w:styleId="62">
    <w:name w:val="line number"/>
    <w:basedOn w:val="57"/>
    <w:autoRedefine/>
    <w:qFormat/>
    <w:uiPriority w:val="0"/>
  </w:style>
  <w:style w:type="character" w:styleId="63">
    <w:name w:val="Hyperlink"/>
    <w:autoRedefine/>
    <w:qFormat/>
    <w:uiPriority w:val="0"/>
    <w:rPr>
      <w:rFonts w:ascii="仿宋_GB2312" w:eastAsia="仿宋_GB2312"/>
      <w:b/>
      <w:color w:val="0000FF"/>
      <w:sz w:val="32"/>
      <w:szCs w:val="32"/>
      <w:u w:val="none"/>
    </w:rPr>
  </w:style>
  <w:style w:type="character" w:styleId="64">
    <w:name w:val="annotation reference"/>
    <w:autoRedefine/>
    <w:qFormat/>
    <w:uiPriority w:val="0"/>
    <w:rPr>
      <w:sz w:val="21"/>
      <w:szCs w:val="21"/>
    </w:rPr>
  </w:style>
  <w:style w:type="character" w:styleId="65">
    <w:name w:val="HTML Cite"/>
    <w:autoRedefine/>
    <w:qFormat/>
    <w:uiPriority w:val="0"/>
    <w:rPr>
      <w:color w:val="008000"/>
    </w:rPr>
  </w:style>
  <w:style w:type="character" w:customStyle="1" w:styleId="66">
    <w:name w:val="PI Char2"/>
    <w:autoRedefine/>
    <w:qFormat/>
    <w:uiPriority w:val="0"/>
    <w:rPr>
      <w:kern w:val="2"/>
      <w:sz w:val="24"/>
      <w:szCs w:val="24"/>
    </w:rPr>
  </w:style>
  <w:style w:type="character" w:customStyle="1" w:styleId="67">
    <w:name w:val="正文文本 2 字符"/>
    <w:basedOn w:val="57"/>
    <w:link w:val="50"/>
    <w:autoRedefine/>
    <w:qFormat/>
    <w:uiPriority w:val="0"/>
  </w:style>
  <w:style w:type="character" w:customStyle="1" w:styleId="68">
    <w:name w:val="dandyren_title1"/>
    <w:autoRedefine/>
    <w:qFormat/>
    <w:uiPriority w:val="0"/>
    <w:rPr>
      <w:b/>
      <w:bCs/>
      <w:color w:val="FF6633"/>
      <w:sz w:val="18"/>
      <w:szCs w:val="18"/>
    </w:rPr>
  </w:style>
  <w:style w:type="character" w:customStyle="1" w:styleId="69">
    <w:name w:val="Char Char111"/>
    <w:autoRedefine/>
    <w:qFormat/>
    <w:uiPriority w:val="0"/>
    <w:rPr>
      <w:rFonts w:ascii="Times New Roman" w:hAnsi="Times New Roman" w:eastAsia="宋体" w:cs="Times New Roman"/>
      <w:sz w:val="18"/>
      <w:szCs w:val="18"/>
    </w:rPr>
  </w:style>
  <w:style w:type="character" w:customStyle="1" w:styleId="70">
    <w:name w:val="_Style 67"/>
    <w:autoRedefine/>
    <w:qFormat/>
    <w:uiPriority w:val="0"/>
    <w:rPr>
      <w:b/>
      <w:bCs/>
      <w:i/>
      <w:iCs/>
      <w:color w:val="4F81BD"/>
    </w:rPr>
  </w:style>
  <w:style w:type="character" w:customStyle="1" w:styleId="71">
    <w:name w:val="Char Char11"/>
    <w:autoRedefine/>
    <w:qFormat/>
    <w:uiPriority w:val="0"/>
    <w:rPr>
      <w:rFonts w:ascii="Times New Roman" w:hAnsi="Times New Roman" w:eastAsia="宋体" w:cs="Times New Roman"/>
      <w:sz w:val="18"/>
      <w:szCs w:val="18"/>
    </w:rPr>
  </w:style>
  <w:style w:type="character" w:customStyle="1" w:styleId="72">
    <w:name w:val="heading 3 Char"/>
    <w:autoRedefine/>
    <w:qFormat/>
    <w:uiPriority w:val="0"/>
    <w:rPr>
      <w:rFonts w:ascii="Arial" w:hAnsi="Arial" w:eastAsia="黑体"/>
      <w:sz w:val="28"/>
      <w:szCs w:val="24"/>
    </w:rPr>
  </w:style>
  <w:style w:type="character" w:customStyle="1" w:styleId="73">
    <w:name w:val="heading 3 Char1"/>
    <w:autoRedefine/>
    <w:qFormat/>
    <w:uiPriority w:val="0"/>
    <w:rPr>
      <w:rFonts w:eastAsia="宋体"/>
      <w:b/>
      <w:bCs/>
      <w:kern w:val="2"/>
      <w:sz w:val="32"/>
      <w:szCs w:val="32"/>
      <w:lang w:val="en-US" w:eastAsia="zh-CN" w:bidi="ar-SA"/>
    </w:rPr>
  </w:style>
  <w:style w:type="character" w:customStyle="1" w:styleId="74">
    <w:name w:val="heading 6 Char1"/>
    <w:autoRedefine/>
    <w:qFormat/>
    <w:uiPriority w:val="0"/>
    <w:rPr>
      <w:rFonts w:ascii="Arial" w:hAnsi="Arial" w:eastAsia="黑体"/>
      <w:kern w:val="2"/>
      <w:sz w:val="24"/>
      <w:szCs w:val="24"/>
      <w:lang w:val="en-US" w:eastAsia="zh-CN" w:bidi="ar-SA"/>
    </w:rPr>
  </w:style>
  <w:style w:type="character" w:customStyle="1" w:styleId="75">
    <w:name w:val="标题 7 字符"/>
    <w:link w:val="13"/>
    <w:autoRedefine/>
    <w:qFormat/>
    <w:uiPriority w:val="0"/>
    <w:rPr>
      <w:rFonts w:eastAsia="宋体"/>
      <w:b/>
      <w:kern w:val="2"/>
      <w:sz w:val="24"/>
      <w:lang w:val="en-US" w:eastAsia="zh-CN" w:bidi="ar-SA"/>
    </w:rPr>
  </w:style>
  <w:style w:type="character" w:customStyle="1" w:styleId="76">
    <w:name w:val="Char Char24"/>
    <w:autoRedefine/>
    <w:qFormat/>
    <w:uiPriority w:val="0"/>
    <w:rPr>
      <w:rFonts w:eastAsia="宋体"/>
      <w:b/>
      <w:kern w:val="2"/>
      <w:sz w:val="28"/>
      <w:lang w:val="en-US" w:eastAsia="zh-CN" w:bidi="ar-SA"/>
    </w:rPr>
  </w:style>
  <w:style w:type="character" w:customStyle="1" w:styleId="77">
    <w:name w:val="标题 9 字符"/>
    <w:link w:val="15"/>
    <w:autoRedefine/>
    <w:qFormat/>
    <w:uiPriority w:val="0"/>
    <w:rPr>
      <w:rFonts w:ascii="Arial" w:hAnsi="Arial" w:eastAsia="黑体"/>
      <w:kern w:val="2"/>
      <w:sz w:val="21"/>
      <w:lang w:val="en-US" w:eastAsia="zh-CN" w:bidi="ar-SA"/>
    </w:rPr>
  </w:style>
  <w:style w:type="character" w:customStyle="1" w:styleId="78">
    <w:name w:val="Char Char4"/>
    <w:autoRedefine/>
    <w:qFormat/>
    <w:uiPriority w:val="0"/>
    <w:rPr>
      <w:rFonts w:ascii="Cambria" w:hAnsi="Cambria" w:eastAsia="宋体"/>
      <w:b/>
      <w:bCs/>
      <w:sz w:val="32"/>
      <w:szCs w:val="32"/>
      <w:lang w:bidi="ar-SA"/>
    </w:rPr>
  </w:style>
  <w:style w:type="character" w:customStyle="1" w:styleId="79">
    <w:name w:val="Char Char15"/>
    <w:autoRedefine/>
    <w:qFormat/>
    <w:uiPriority w:val="0"/>
    <w:rPr>
      <w:rFonts w:ascii="Arial" w:hAnsi="Arial" w:eastAsia="黑体"/>
      <w:sz w:val="24"/>
      <w:szCs w:val="24"/>
    </w:rPr>
  </w:style>
  <w:style w:type="character" w:customStyle="1" w:styleId="80">
    <w:name w:val="Char Char12"/>
    <w:autoRedefine/>
    <w:qFormat/>
    <w:uiPriority w:val="0"/>
    <w:rPr>
      <w:rFonts w:eastAsia="宋体"/>
      <w:kern w:val="2"/>
      <w:sz w:val="21"/>
      <w:szCs w:val="24"/>
      <w:lang w:val="en-US" w:eastAsia="zh-CN" w:bidi="ar-SA"/>
    </w:rPr>
  </w:style>
  <w:style w:type="character" w:customStyle="1" w:styleId="81">
    <w:name w:val="称呼 字符"/>
    <w:link w:val="22"/>
    <w:autoRedefine/>
    <w:qFormat/>
    <w:uiPriority w:val="0"/>
    <w:rPr>
      <w:rFonts w:ascii="仿宋_GB2312" w:eastAsia="仿宋_GB2312"/>
      <w:b/>
      <w:sz w:val="24"/>
      <w:szCs w:val="32"/>
    </w:rPr>
  </w:style>
  <w:style w:type="character" w:customStyle="1" w:styleId="82">
    <w:name w:val="PI Char"/>
    <w:autoRedefine/>
    <w:qFormat/>
    <w:uiPriority w:val="0"/>
    <w:rPr>
      <w:rFonts w:ascii="宋体" w:hAnsi="宋体"/>
      <w:sz w:val="24"/>
    </w:rPr>
  </w:style>
  <w:style w:type="character" w:customStyle="1" w:styleId="83">
    <w:name w:val="style21"/>
    <w:autoRedefine/>
    <w:qFormat/>
    <w:uiPriority w:val="0"/>
    <w:rPr>
      <w:sz w:val="15"/>
      <w:szCs w:val="15"/>
    </w:rPr>
  </w:style>
  <w:style w:type="character" w:customStyle="1" w:styleId="84">
    <w:name w:val="Char Char Char1"/>
    <w:autoRedefine/>
    <w:qFormat/>
    <w:uiPriority w:val="0"/>
    <w:rPr>
      <w:rFonts w:ascii="宋体" w:hAnsi="Courier New"/>
      <w:sz w:val="21"/>
      <w:szCs w:val="21"/>
    </w:rPr>
  </w:style>
  <w:style w:type="character" w:customStyle="1" w:styleId="85">
    <w:name w:val="smalltxt1"/>
    <w:autoRedefine/>
    <w:qFormat/>
    <w:uiPriority w:val="0"/>
    <w:rPr>
      <w:rFonts w:hint="default" w:ascii="ˎ̥" w:hAnsi="ˎ̥"/>
      <w:sz w:val="24"/>
      <w:szCs w:val="24"/>
    </w:rPr>
  </w:style>
  <w:style w:type="character" w:customStyle="1" w:styleId="86">
    <w:name w:val="标题 字符"/>
    <w:link w:val="53"/>
    <w:autoRedefine/>
    <w:qFormat/>
    <w:uiPriority w:val="0"/>
    <w:rPr>
      <w:rFonts w:ascii="Cambria" w:hAnsi="Cambria" w:eastAsia="宋体"/>
      <w:b/>
      <w:bCs/>
      <w:kern w:val="2"/>
      <w:sz w:val="32"/>
      <w:szCs w:val="32"/>
      <w:lang w:val="en-US" w:eastAsia="zh-CN" w:bidi="ar-SA"/>
    </w:rPr>
  </w:style>
  <w:style w:type="character" w:customStyle="1" w:styleId="87">
    <w:name w:val="样式2 Char Char"/>
    <w:link w:val="88"/>
    <w:autoRedefine/>
    <w:qFormat/>
    <w:uiPriority w:val="0"/>
    <w:rPr>
      <w:rFonts w:ascii="宋体" w:hAnsi="宋体" w:eastAsia="宋体"/>
      <w:bCs/>
      <w:kern w:val="2"/>
      <w:sz w:val="28"/>
      <w:szCs w:val="28"/>
      <w:lang w:val="en-US" w:eastAsia="zh-CN" w:bidi="ar-SA"/>
    </w:rPr>
  </w:style>
  <w:style w:type="paragraph" w:customStyle="1" w:styleId="88">
    <w:name w:val="样式2"/>
    <w:basedOn w:val="7"/>
    <w:link w:val="87"/>
    <w:autoRedefine/>
    <w:qFormat/>
    <w:uiPriority w:val="0"/>
    <w:pPr>
      <w:keepLines/>
      <w:snapToGrid w:val="0"/>
      <w:spacing w:before="260" w:afterLines="50" w:line="480" w:lineRule="exact"/>
      <w:ind w:firstLine="556"/>
    </w:pPr>
    <w:rPr>
      <w:rFonts w:ascii="宋体" w:hAnsi="宋体"/>
      <w:b w:val="0"/>
      <w:bCs/>
      <w:szCs w:val="28"/>
    </w:rPr>
  </w:style>
  <w:style w:type="character" w:customStyle="1" w:styleId="89">
    <w:name w:val="Char Char121"/>
    <w:autoRedefine/>
    <w:qFormat/>
    <w:uiPriority w:val="0"/>
    <w:rPr>
      <w:rFonts w:eastAsia="宋体"/>
      <w:kern w:val="2"/>
      <w:sz w:val="21"/>
      <w:szCs w:val="24"/>
      <w:lang w:val="en-US" w:eastAsia="zh-CN" w:bidi="ar-SA"/>
    </w:rPr>
  </w:style>
  <w:style w:type="character" w:customStyle="1" w:styleId="90">
    <w:name w:val="表格 Char Char"/>
    <w:link w:val="91"/>
    <w:autoRedefine/>
    <w:qFormat/>
    <w:uiPriority w:val="0"/>
    <w:rPr>
      <w:rFonts w:ascii="宋体" w:hAnsi="宋体" w:eastAsia="宋体"/>
      <w:lang w:val="en-US" w:eastAsia="zh-CN" w:bidi="ar-SA"/>
    </w:rPr>
  </w:style>
  <w:style w:type="paragraph" w:customStyle="1" w:styleId="91">
    <w:name w:val="表格"/>
    <w:basedOn w:val="1"/>
    <w:link w:val="90"/>
    <w:autoRedefine/>
    <w:qFormat/>
    <w:uiPriority w:val="0"/>
    <w:pPr>
      <w:autoSpaceDE w:val="0"/>
      <w:autoSpaceDN w:val="0"/>
      <w:adjustRightInd w:val="0"/>
      <w:snapToGrid w:val="0"/>
      <w:ind w:firstLine="42" w:firstLineChars="21"/>
      <w:jc w:val="left"/>
    </w:pPr>
    <w:rPr>
      <w:rFonts w:ascii="宋体" w:hAnsi="宋体"/>
      <w:kern w:val="0"/>
      <w:sz w:val="20"/>
      <w:szCs w:val="20"/>
    </w:rPr>
  </w:style>
  <w:style w:type="character" w:customStyle="1" w:styleId="92">
    <w:name w:val="批注框文本 字符"/>
    <w:link w:val="36"/>
    <w:autoRedefine/>
    <w:qFormat/>
    <w:uiPriority w:val="0"/>
    <w:rPr>
      <w:rFonts w:eastAsia="宋体"/>
      <w:kern w:val="2"/>
      <w:sz w:val="18"/>
      <w:szCs w:val="18"/>
      <w:lang w:val="en-US" w:eastAsia="zh-CN" w:bidi="ar-SA"/>
    </w:rPr>
  </w:style>
  <w:style w:type="character" w:customStyle="1" w:styleId="93">
    <w:name w:val="无间距字符"/>
    <w:link w:val="94"/>
    <w:autoRedefine/>
    <w:qFormat/>
    <w:uiPriority w:val="0"/>
    <w:rPr>
      <w:rFonts w:eastAsia="Times New Roman"/>
      <w:sz w:val="22"/>
      <w:szCs w:val="22"/>
      <w:lang w:val="en-US" w:eastAsia="zh-CN" w:bidi="ar-SA"/>
    </w:rPr>
  </w:style>
  <w:style w:type="paragraph" w:customStyle="1" w:styleId="94">
    <w:name w:val="无间距"/>
    <w:link w:val="93"/>
    <w:autoRedefine/>
    <w:qFormat/>
    <w:uiPriority w:val="0"/>
    <w:rPr>
      <w:rFonts w:ascii="Times New Roman" w:hAnsi="Times New Roman" w:eastAsia="Times New Roman" w:cs="Times New Roman"/>
      <w:sz w:val="22"/>
      <w:szCs w:val="22"/>
      <w:lang w:val="en-US" w:eastAsia="zh-CN" w:bidi="ar-SA"/>
    </w:rPr>
  </w:style>
  <w:style w:type="character" w:customStyle="1" w:styleId="95">
    <w:name w:val="Char Char6"/>
    <w:autoRedefine/>
    <w:qFormat/>
    <w:uiPriority w:val="0"/>
    <w:rPr>
      <w:rFonts w:ascii="Times New Roman" w:hAnsi="Times New Roman" w:eastAsia="宋体" w:cs="Times New Roman"/>
      <w:szCs w:val="24"/>
    </w:rPr>
  </w:style>
  <w:style w:type="character" w:customStyle="1" w:styleId="96">
    <w:name w:val="正文首行缩进 字符"/>
    <w:link w:val="4"/>
    <w:autoRedefine/>
    <w:qFormat/>
    <w:uiPriority w:val="0"/>
    <w:rPr>
      <w:rFonts w:eastAsia="宋体"/>
      <w:lang w:val="en-US" w:eastAsia="zh-CN" w:bidi="ar-SA"/>
    </w:rPr>
  </w:style>
  <w:style w:type="character" w:customStyle="1" w:styleId="97">
    <w:name w:val="Style5"/>
    <w:autoRedefine/>
    <w:qFormat/>
    <w:uiPriority w:val="0"/>
    <w:rPr>
      <w:rFonts w:ascii="Calibri" w:hAnsi="宋体" w:eastAsia="宋体" w:cs="Times New Roman"/>
      <w:sz w:val="22"/>
      <w:szCs w:val="22"/>
      <w:lang w:eastAsia="zh-CN"/>
    </w:rPr>
  </w:style>
  <w:style w:type="character" w:customStyle="1" w:styleId="98">
    <w:name w:val="标题 3 字符"/>
    <w:link w:val="8"/>
    <w:autoRedefine/>
    <w:qFormat/>
    <w:uiPriority w:val="0"/>
    <w:rPr>
      <w:rFonts w:eastAsia="黑体"/>
      <w:b/>
      <w:kern w:val="2"/>
      <w:sz w:val="28"/>
      <w:lang w:val="en-US" w:eastAsia="zh-CN" w:bidi="ar-SA"/>
    </w:rPr>
  </w:style>
  <w:style w:type="character" w:customStyle="1" w:styleId="99">
    <w:name w:val="宏文本 字符"/>
    <w:link w:val="5"/>
    <w:autoRedefine/>
    <w:qFormat/>
    <w:uiPriority w:val="0"/>
    <w:rPr>
      <w:rFonts w:ascii="Courier New" w:hAnsi="Courier New" w:eastAsia="Times New Roman"/>
      <w:kern w:val="2"/>
      <w:sz w:val="24"/>
      <w:szCs w:val="24"/>
      <w:lang w:val="en-US" w:eastAsia="zh-CN" w:bidi="ar-SA"/>
    </w:rPr>
  </w:style>
  <w:style w:type="character" w:customStyle="1" w:styleId="100">
    <w:name w:val="heading 2 Char"/>
    <w:autoRedefine/>
    <w:qFormat/>
    <w:uiPriority w:val="0"/>
    <w:rPr>
      <w:rFonts w:ascii="Arial" w:hAnsi="Arial" w:eastAsia="黑体" w:cs="Times New Roman"/>
      <w:sz w:val="30"/>
      <w:szCs w:val="24"/>
    </w:rPr>
  </w:style>
  <w:style w:type="character" w:customStyle="1" w:styleId="101">
    <w:name w:val="Table Text Char Char"/>
    <w:link w:val="102"/>
    <w:autoRedefine/>
    <w:qFormat/>
    <w:uiPriority w:val="0"/>
    <w:rPr>
      <w:sz w:val="21"/>
      <w:lang w:val="en-US" w:eastAsia="en-US" w:bidi="ar-SA"/>
    </w:rPr>
  </w:style>
  <w:style w:type="paragraph" w:customStyle="1" w:styleId="102">
    <w:name w:val="Table Text"/>
    <w:basedOn w:val="1"/>
    <w:link w:val="101"/>
    <w:autoRedefine/>
    <w:qFormat/>
    <w:uiPriority w:val="0"/>
    <w:pPr>
      <w:widowControl/>
      <w:tabs>
        <w:tab w:val="decimal" w:pos="0"/>
      </w:tabs>
      <w:overflowPunct w:val="0"/>
      <w:autoSpaceDE w:val="0"/>
      <w:autoSpaceDN w:val="0"/>
      <w:adjustRightInd w:val="0"/>
      <w:jc w:val="left"/>
      <w:textAlignment w:val="baseline"/>
    </w:pPr>
    <w:rPr>
      <w:kern w:val="0"/>
      <w:szCs w:val="20"/>
      <w:lang w:eastAsia="en-US"/>
    </w:rPr>
  </w:style>
  <w:style w:type="character" w:customStyle="1" w:styleId="103">
    <w:name w:val="Char Char2"/>
    <w:autoRedefine/>
    <w:qFormat/>
    <w:uiPriority w:val="0"/>
    <w:rPr>
      <w:rFonts w:ascii="Arial" w:hAnsi="Arial" w:eastAsia="黑体"/>
      <w:b/>
      <w:bCs/>
      <w:kern w:val="44"/>
      <w:sz w:val="30"/>
      <w:szCs w:val="44"/>
      <w:lang w:val="en-US" w:eastAsia="zh-CN" w:bidi="ar-SA"/>
    </w:rPr>
  </w:style>
  <w:style w:type="character" w:customStyle="1" w:styleId="104">
    <w:name w:val="Char Char17"/>
    <w:autoRedefine/>
    <w:qFormat/>
    <w:uiPriority w:val="0"/>
    <w:rPr>
      <w:rFonts w:ascii="Cambria" w:hAnsi="Cambria"/>
      <w:b/>
      <w:bCs/>
      <w:kern w:val="2"/>
      <w:sz w:val="28"/>
      <w:szCs w:val="28"/>
    </w:rPr>
  </w:style>
  <w:style w:type="character" w:customStyle="1" w:styleId="105">
    <w:name w:val="批注文字 字符"/>
    <w:link w:val="21"/>
    <w:autoRedefine/>
    <w:qFormat/>
    <w:uiPriority w:val="0"/>
    <w:rPr>
      <w:rFonts w:eastAsia="宋体"/>
      <w:kern w:val="2"/>
      <w:sz w:val="21"/>
      <w:szCs w:val="24"/>
      <w:lang w:val="en-US" w:eastAsia="zh-CN" w:bidi="ar-SA"/>
    </w:rPr>
  </w:style>
  <w:style w:type="character" w:customStyle="1" w:styleId="106">
    <w:name w:val="书籍标题1"/>
    <w:autoRedefine/>
    <w:qFormat/>
    <w:uiPriority w:val="0"/>
    <w:rPr>
      <w:b/>
      <w:bCs/>
      <w:smallCaps/>
      <w:spacing w:val="5"/>
    </w:rPr>
  </w:style>
  <w:style w:type="character" w:customStyle="1" w:styleId="107">
    <w:name w:val="Char Char61"/>
    <w:autoRedefine/>
    <w:qFormat/>
    <w:uiPriority w:val="0"/>
    <w:rPr>
      <w:rFonts w:ascii="Times New Roman" w:hAnsi="Times New Roman" w:eastAsia="宋体" w:cs="Times New Roman"/>
      <w:szCs w:val="24"/>
    </w:rPr>
  </w:style>
  <w:style w:type="character" w:customStyle="1" w:styleId="108">
    <w:name w:val="明显强调1"/>
    <w:autoRedefine/>
    <w:qFormat/>
    <w:uiPriority w:val="0"/>
    <w:rPr>
      <w:b/>
      <w:bCs/>
      <w:i/>
      <w:iCs/>
      <w:color w:val="4F81BD"/>
    </w:rPr>
  </w:style>
  <w:style w:type="character" w:customStyle="1" w:styleId="109">
    <w:name w:val="Char Char21"/>
    <w:autoRedefine/>
    <w:qFormat/>
    <w:uiPriority w:val="0"/>
    <w:rPr>
      <w:rFonts w:ascii="Times New Roman" w:hAnsi="Times New Roman" w:eastAsia="宋体" w:cs="Times New Roman"/>
      <w:b/>
      <w:bCs/>
      <w:kern w:val="44"/>
      <w:sz w:val="44"/>
      <w:szCs w:val="44"/>
    </w:rPr>
  </w:style>
  <w:style w:type="character" w:customStyle="1" w:styleId="110">
    <w:name w:val="不明显参考1"/>
    <w:autoRedefine/>
    <w:qFormat/>
    <w:uiPriority w:val="0"/>
    <w:rPr>
      <w:smallCaps/>
      <w:color w:val="C0504D"/>
      <w:u w:val="single"/>
    </w:rPr>
  </w:style>
  <w:style w:type="character" w:customStyle="1" w:styleId="111">
    <w:name w:val="heading 4 Char1"/>
    <w:autoRedefine/>
    <w:qFormat/>
    <w:uiPriority w:val="0"/>
    <w:rPr>
      <w:rFonts w:ascii="Cambria" w:hAnsi="Cambria" w:eastAsia="宋体"/>
      <w:b/>
      <w:bCs/>
      <w:kern w:val="2"/>
      <w:sz w:val="28"/>
      <w:szCs w:val="28"/>
      <w:lang w:val="en-US" w:eastAsia="zh-CN" w:bidi="ar-SA"/>
    </w:rPr>
  </w:style>
  <w:style w:type="character" w:customStyle="1" w:styleId="112">
    <w:name w:val="heading 9 Char1"/>
    <w:autoRedefine/>
    <w:qFormat/>
    <w:uiPriority w:val="0"/>
    <w:rPr>
      <w:rFonts w:ascii="Arial" w:hAnsi="Arial" w:eastAsia="黑体"/>
      <w:sz w:val="21"/>
      <w:lang w:val="en-US" w:eastAsia="zh-CN" w:bidi="ar-SA"/>
    </w:rPr>
  </w:style>
  <w:style w:type="character" w:customStyle="1" w:styleId="113">
    <w:name w:val="heading 4 Char2"/>
    <w:autoRedefine/>
    <w:qFormat/>
    <w:uiPriority w:val="0"/>
    <w:rPr>
      <w:rFonts w:ascii="Cambria" w:hAnsi="Cambria"/>
      <w:b/>
      <w:bCs/>
      <w:kern w:val="2"/>
      <w:sz w:val="28"/>
      <w:szCs w:val="28"/>
    </w:rPr>
  </w:style>
  <w:style w:type="character" w:customStyle="1" w:styleId="114">
    <w:name w:val="Style1"/>
    <w:autoRedefine/>
    <w:qFormat/>
    <w:uiPriority w:val="0"/>
    <w:rPr>
      <w:rFonts w:ascii="Calibri" w:hAnsi="宋体" w:eastAsia="宋体" w:cs="Times New Roman"/>
      <w:sz w:val="22"/>
      <w:szCs w:val="22"/>
      <w:lang w:eastAsia="zh-CN"/>
    </w:rPr>
  </w:style>
  <w:style w:type="character" w:customStyle="1" w:styleId="115">
    <w:name w:val="Char Char Char Char Char Char Char Char Char"/>
    <w:autoRedefine/>
    <w:qFormat/>
    <w:uiPriority w:val="0"/>
    <w:rPr>
      <w:rFonts w:ascii="宋体" w:hAnsi="Courier New" w:eastAsia="宋体"/>
      <w:sz w:val="21"/>
      <w:szCs w:val="21"/>
      <w:lang w:val="en-US" w:eastAsia="zh-CN" w:bidi="ar-SA"/>
    </w:rPr>
  </w:style>
  <w:style w:type="character" w:customStyle="1" w:styleId="116">
    <w:name w:val="Style2"/>
    <w:autoRedefine/>
    <w:qFormat/>
    <w:uiPriority w:val="0"/>
    <w:rPr>
      <w:rFonts w:ascii="Calibri" w:hAnsi="宋体" w:eastAsia="宋体" w:cs="Times New Roman"/>
      <w:sz w:val="22"/>
      <w:szCs w:val="22"/>
      <w:lang w:eastAsia="zh-CN"/>
    </w:rPr>
  </w:style>
  <w:style w:type="character" w:customStyle="1" w:styleId="117">
    <w:name w:val="font31"/>
    <w:autoRedefine/>
    <w:qFormat/>
    <w:uiPriority w:val="0"/>
    <w:rPr>
      <w:rFonts w:hint="eastAsia" w:ascii="宋体" w:hAnsi="宋体" w:eastAsia="宋体" w:cs="宋体"/>
      <w:b/>
      <w:color w:val="000000"/>
      <w:sz w:val="24"/>
      <w:szCs w:val="24"/>
      <w:u w:val="single"/>
    </w:rPr>
  </w:style>
  <w:style w:type="character" w:customStyle="1" w:styleId="118">
    <w:name w:val="批注主题 字符"/>
    <w:link w:val="54"/>
    <w:autoRedefine/>
    <w:qFormat/>
    <w:uiPriority w:val="0"/>
    <w:rPr>
      <w:rFonts w:eastAsia="宋体"/>
      <w:b/>
      <w:bCs/>
      <w:kern w:val="2"/>
      <w:sz w:val="21"/>
      <w:szCs w:val="24"/>
      <w:lang w:val="en-US" w:eastAsia="zh-CN" w:bidi="ar-SA"/>
    </w:rPr>
  </w:style>
  <w:style w:type="character" w:customStyle="1" w:styleId="119">
    <w:name w:val="Texte Char Char"/>
    <w:autoRedefine/>
    <w:qFormat/>
    <w:uiPriority w:val="0"/>
    <w:rPr>
      <w:rFonts w:ascii="宋体" w:hAnsi="Courier New" w:eastAsia="宋体"/>
      <w:sz w:val="21"/>
      <w:szCs w:val="21"/>
      <w:lang w:val="en-US" w:eastAsia="zh-CN" w:bidi="ar-SA"/>
    </w:rPr>
  </w:style>
  <w:style w:type="character" w:customStyle="1" w:styleId="120">
    <w:name w:val="标题 5 字符"/>
    <w:link w:val="11"/>
    <w:autoRedefine/>
    <w:qFormat/>
    <w:uiPriority w:val="0"/>
    <w:rPr>
      <w:rFonts w:eastAsia="宋体"/>
      <w:b/>
      <w:bCs/>
      <w:sz w:val="28"/>
      <w:szCs w:val="28"/>
      <w:lang w:bidi="ar-SA"/>
    </w:rPr>
  </w:style>
  <w:style w:type="character" w:customStyle="1" w:styleId="121">
    <w:name w:val="heading 2 Char1"/>
    <w:autoRedefine/>
    <w:qFormat/>
    <w:uiPriority w:val="0"/>
    <w:rPr>
      <w:rFonts w:ascii="Cambria" w:hAnsi="Cambria" w:eastAsia="宋体"/>
      <w:b/>
      <w:bCs/>
      <w:kern w:val="2"/>
      <w:sz w:val="32"/>
      <w:szCs w:val="32"/>
      <w:lang w:val="en-US" w:eastAsia="zh-CN" w:bidi="ar-SA"/>
    </w:rPr>
  </w:style>
  <w:style w:type="character" w:customStyle="1" w:styleId="122">
    <w:name w:val="Ò³Ã¼ Char Char"/>
    <w:autoRedefine/>
    <w:qFormat/>
    <w:uiPriority w:val="0"/>
    <w:rPr>
      <w:sz w:val="18"/>
      <w:szCs w:val="18"/>
    </w:rPr>
  </w:style>
  <w:style w:type="character" w:customStyle="1" w:styleId="123">
    <w:name w:val="ändrad Char"/>
    <w:autoRedefine/>
    <w:qFormat/>
    <w:uiPriority w:val="0"/>
    <w:rPr>
      <w:rFonts w:eastAsia="宋体"/>
      <w:kern w:val="2"/>
      <w:sz w:val="21"/>
      <w:szCs w:val="24"/>
      <w:lang w:val="en-US" w:eastAsia="zh-CN" w:bidi="ar-SA"/>
    </w:rPr>
  </w:style>
  <w:style w:type="character" w:customStyle="1" w:styleId="124">
    <w:name w:val="正文缩进 字符"/>
    <w:link w:val="9"/>
    <w:autoRedefine/>
    <w:qFormat/>
    <w:uiPriority w:val="0"/>
    <w:rPr>
      <w:rFonts w:ascii="仿宋_GB2312" w:eastAsia="宋体"/>
      <w:b/>
      <w:sz w:val="21"/>
      <w:szCs w:val="32"/>
      <w:lang w:val="en-US" w:eastAsia="zh-CN" w:bidi="ar-SA"/>
    </w:rPr>
  </w:style>
  <w:style w:type="character" w:customStyle="1" w:styleId="125">
    <w:name w:val="标题 2 字符"/>
    <w:link w:val="7"/>
    <w:autoRedefine/>
    <w:qFormat/>
    <w:uiPriority w:val="0"/>
    <w:rPr>
      <w:rFonts w:ascii="仿宋_GB2312" w:eastAsia="宋体"/>
      <w:b/>
      <w:kern w:val="2"/>
      <w:sz w:val="28"/>
      <w:szCs w:val="32"/>
      <w:lang w:val="en-US" w:eastAsia="zh-CN" w:bidi="ar-SA"/>
    </w:rPr>
  </w:style>
  <w:style w:type="character" w:customStyle="1" w:styleId="126">
    <w:name w:val="font21"/>
    <w:autoRedefine/>
    <w:qFormat/>
    <w:uiPriority w:val="0"/>
    <w:rPr>
      <w:rFonts w:ascii="Wingdings 2" w:hAnsi="Wingdings 2" w:eastAsia="Wingdings 2" w:cs="Wingdings 2"/>
      <w:b/>
      <w:color w:val="000000"/>
      <w:sz w:val="20"/>
      <w:szCs w:val="20"/>
      <w:u w:val="none"/>
    </w:rPr>
  </w:style>
  <w:style w:type="character" w:customStyle="1" w:styleId="127">
    <w:name w:val="页脚 字符"/>
    <w:link w:val="37"/>
    <w:autoRedefine/>
    <w:qFormat/>
    <w:uiPriority w:val="0"/>
    <w:rPr>
      <w:rFonts w:eastAsia="宋体"/>
      <w:kern w:val="2"/>
      <w:sz w:val="18"/>
      <w:szCs w:val="18"/>
      <w:lang w:val="en-US" w:eastAsia="zh-CN" w:bidi="ar-SA"/>
    </w:rPr>
  </w:style>
  <w:style w:type="character" w:customStyle="1" w:styleId="128">
    <w:name w:val="style41"/>
    <w:autoRedefine/>
    <w:qFormat/>
    <w:uiPriority w:val="0"/>
    <w:rPr>
      <w:color w:val="auto"/>
    </w:rPr>
  </w:style>
  <w:style w:type="character" w:customStyle="1" w:styleId="129">
    <w:name w:val="Char Char241"/>
    <w:autoRedefine/>
    <w:qFormat/>
    <w:uiPriority w:val="0"/>
    <w:rPr>
      <w:rFonts w:eastAsia="宋体"/>
      <w:b/>
      <w:kern w:val="2"/>
      <w:sz w:val="28"/>
      <w:lang w:val="en-US" w:eastAsia="zh-CN" w:bidi="ar-SA"/>
    </w:rPr>
  </w:style>
  <w:style w:type="character" w:customStyle="1" w:styleId="130">
    <w:name w:val="标题 1 字符"/>
    <w:link w:val="6"/>
    <w:autoRedefine/>
    <w:qFormat/>
    <w:uiPriority w:val="0"/>
    <w:rPr>
      <w:rFonts w:eastAsia="黑体"/>
      <w:b/>
      <w:kern w:val="2"/>
      <w:sz w:val="32"/>
      <w:lang w:val="en-US" w:eastAsia="zh-CN" w:bidi="ar-SA"/>
    </w:rPr>
  </w:style>
  <w:style w:type="character" w:customStyle="1" w:styleId="131">
    <w:name w:val="标题 4 字符"/>
    <w:link w:val="10"/>
    <w:autoRedefine/>
    <w:qFormat/>
    <w:uiPriority w:val="0"/>
    <w:rPr>
      <w:rFonts w:eastAsia="宋体"/>
      <w:kern w:val="2"/>
      <w:sz w:val="28"/>
      <w:szCs w:val="28"/>
      <w:lang w:val="en-US" w:eastAsia="zh-CN" w:bidi="ar-SA"/>
    </w:rPr>
  </w:style>
  <w:style w:type="character" w:customStyle="1" w:styleId="132">
    <w:name w:val="ändrad Char1"/>
    <w:autoRedefine/>
    <w:qFormat/>
    <w:uiPriority w:val="0"/>
    <w:rPr>
      <w:rFonts w:ascii="仿宋_GB2312" w:eastAsia="宋体"/>
      <w:b/>
      <w:kern w:val="2"/>
      <w:sz w:val="21"/>
      <w:szCs w:val="24"/>
      <w:lang w:val="en-US" w:eastAsia="zh-CN" w:bidi="ar-SA"/>
    </w:rPr>
  </w:style>
  <w:style w:type="character" w:customStyle="1" w:styleId="133">
    <w:name w:val="副标题 字符"/>
    <w:link w:val="43"/>
    <w:autoRedefine/>
    <w:qFormat/>
    <w:uiPriority w:val="0"/>
    <w:rPr>
      <w:rFonts w:ascii="Cambria" w:hAnsi="Cambria" w:eastAsia="宋体"/>
      <w:b/>
      <w:bCs/>
      <w:kern w:val="28"/>
      <w:sz w:val="32"/>
      <w:szCs w:val="32"/>
      <w:lang w:val="en-US" w:eastAsia="zh-CN" w:bidi="ar-SA"/>
    </w:rPr>
  </w:style>
  <w:style w:type="character" w:customStyle="1" w:styleId="134">
    <w:name w:val="blue1"/>
    <w:basedOn w:val="57"/>
    <w:autoRedefine/>
    <w:qFormat/>
    <w:uiPriority w:val="0"/>
  </w:style>
  <w:style w:type="character" w:customStyle="1" w:styleId="135">
    <w:name w:val="Char Char201"/>
    <w:autoRedefine/>
    <w:qFormat/>
    <w:uiPriority w:val="0"/>
    <w:rPr>
      <w:rFonts w:ascii="Cambria" w:hAnsi="Cambria" w:eastAsia="宋体" w:cs="Times New Roman"/>
      <w:b/>
      <w:bCs/>
      <w:sz w:val="32"/>
      <w:szCs w:val="32"/>
    </w:rPr>
  </w:style>
  <w:style w:type="character" w:customStyle="1" w:styleId="136">
    <w:name w:val="style13"/>
    <w:basedOn w:val="57"/>
    <w:autoRedefine/>
    <w:qFormat/>
    <w:uiPriority w:val="0"/>
  </w:style>
  <w:style w:type="character" w:customStyle="1" w:styleId="137">
    <w:name w:val="Char Char211"/>
    <w:autoRedefine/>
    <w:qFormat/>
    <w:uiPriority w:val="0"/>
    <w:rPr>
      <w:rFonts w:ascii="Times New Roman" w:hAnsi="Times New Roman" w:eastAsia="宋体" w:cs="Times New Roman"/>
      <w:b/>
      <w:bCs/>
      <w:kern w:val="44"/>
      <w:sz w:val="44"/>
      <w:szCs w:val="44"/>
    </w:rPr>
  </w:style>
  <w:style w:type="character" w:customStyle="1" w:styleId="138">
    <w:name w:val="正文文本 3 字符"/>
    <w:basedOn w:val="57"/>
    <w:link w:val="23"/>
    <w:autoRedefine/>
    <w:qFormat/>
    <w:uiPriority w:val="0"/>
  </w:style>
  <w:style w:type="character" w:customStyle="1" w:styleId="139">
    <w:name w:val="textcolor1"/>
    <w:autoRedefine/>
    <w:qFormat/>
    <w:uiPriority w:val="0"/>
    <w:rPr>
      <w:rFonts w:ascii="仿宋_GB2312" w:eastAsia="仿宋_GB2312"/>
      <w:b/>
      <w:color w:val="FF6600"/>
      <w:sz w:val="32"/>
      <w:szCs w:val="32"/>
    </w:rPr>
  </w:style>
  <w:style w:type="character" w:customStyle="1" w:styleId="140">
    <w:name w:val="style111"/>
    <w:autoRedefine/>
    <w:qFormat/>
    <w:uiPriority w:val="0"/>
    <w:rPr>
      <w:sz w:val="27"/>
      <w:szCs w:val="27"/>
    </w:rPr>
  </w:style>
  <w:style w:type="character" w:customStyle="1" w:styleId="141">
    <w:name w:val="heading 2 Char2"/>
    <w:autoRedefine/>
    <w:qFormat/>
    <w:uiPriority w:val="0"/>
    <w:rPr>
      <w:rFonts w:ascii="Cambria" w:hAnsi="Cambria"/>
      <w:b/>
      <w:bCs/>
      <w:kern w:val="2"/>
      <w:sz w:val="32"/>
      <w:szCs w:val="32"/>
    </w:rPr>
  </w:style>
  <w:style w:type="character" w:customStyle="1" w:styleId="142">
    <w:name w:val="Char Char1"/>
    <w:autoRedefine/>
    <w:qFormat/>
    <w:uiPriority w:val="0"/>
    <w:rPr>
      <w:rFonts w:eastAsia="宋体"/>
      <w:sz w:val="21"/>
      <w:lang w:val="en-US" w:eastAsia="zh-CN" w:bidi="ar-SA"/>
    </w:rPr>
  </w:style>
  <w:style w:type="character" w:customStyle="1" w:styleId="143">
    <w:name w:val="_Style 140"/>
    <w:autoRedefine/>
    <w:qFormat/>
    <w:uiPriority w:val="0"/>
    <w:rPr>
      <w:b/>
      <w:bCs/>
      <w:smallCaps/>
      <w:color w:val="C0504D"/>
      <w:spacing w:val="5"/>
      <w:u w:val="single"/>
    </w:rPr>
  </w:style>
  <w:style w:type="character" w:customStyle="1" w:styleId="144">
    <w:name w:val="PI Char1"/>
    <w:autoRedefine/>
    <w:qFormat/>
    <w:uiPriority w:val="0"/>
    <w:rPr>
      <w:rFonts w:eastAsia="宋体"/>
      <w:kern w:val="2"/>
      <w:sz w:val="24"/>
      <w:szCs w:val="24"/>
      <w:lang w:val="en-US" w:eastAsia="zh-CN" w:bidi="ar-SA"/>
    </w:rPr>
  </w:style>
  <w:style w:type="character" w:customStyle="1" w:styleId="145">
    <w:name w:val="不明显强调1"/>
    <w:autoRedefine/>
    <w:qFormat/>
    <w:uiPriority w:val="0"/>
    <w:rPr>
      <w:i/>
      <w:iCs/>
      <w:color w:val="808080"/>
    </w:rPr>
  </w:style>
  <w:style w:type="character" w:customStyle="1" w:styleId="146">
    <w:name w:val="标题 8 字符"/>
    <w:link w:val="14"/>
    <w:autoRedefine/>
    <w:qFormat/>
    <w:uiPriority w:val="0"/>
    <w:rPr>
      <w:rFonts w:ascii="Arial" w:hAnsi="Arial" w:eastAsia="黑体"/>
      <w:kern w:val="2"/>
      <w:sz w:val="24"/>
      <w:lang w:val="en-US" w:eastAsia="zh-CN" w:bidi="ar-SA"/>
    </w:rPr>
  </w:style>
  <w:style w:type="character" w:customStyle="1" w:styleId="147">
    <w:name w:val="Ò³Ã¼ Char Char1"/>
    <w:autoRedefine/>
    <w:qFormat/>
    <w:uiPriority w:val="0"/>
    <w:rPr>
      <w:rFonts w:eastAsia="宋体"/>
      <w:kern w:val="2"/>
      <w:sz w:val="18"/>
      <w:szCs w:val="18"/>
      <w:lang w:val="en-US" w:eastAsia="zh-CN" w:bidi="ar-SA"/>
    </w:rPr>
  </w:style>
  <w:style w:type="character" w:customStyle="1" w:styleId="148">
    <w:name w:val="文档结构图 字符"/>
    <w:link w:val="20"/>
    <w:autoRedefine/>
    <w:qFormat/>
    <w:uiPriority w:val="0"/>
    <w:rPr>
      <w:rFonts w:eastAsia="宋体"/>
      <w:kern w:val="2"/>
      <w:sz w:val="21"/>
      <w:szCs w:val="24"/>
      <w:lang w:val="en-US" w:eastAsia="zh-CN" w:bidi="ar-SA"/>
    </w:rPr>
  </w:style>
  <w:style w:type="character" w:customStyle="1" w:styleId="149">
    <w:name w:val="Char Char20"/>
    <w:autoRedefine/>
    <w:qFormat/>
    <w:uiPriority w:val="0"/>
    <w:rPr>
      <w:b/>
      <w:bCs/>
      <w:kern w:val="44"/>
      <w:sz w:val="44"/>
      <w:szCs w:val="44"/>
    </w:rPr>
  </w:style>
  <w:style w:type="character" w:customStyle="1" w:styleId="150">
    <w:name w:val="Footer-Even Char1"/>
    <w:autoRedefine/>
    <w:qFormat/>
    <w:uiPriority w:val="0"/>
    <w:rPr>
      <w:rFonts w:eastAsia="宋体"/>
      <w:kern w:val="2"/>
      <w:sz w:val="18"/>
      <w:szCs w:val="18"/>
      <w:lang w:val="en-US" w:eastAsia="zh-CN" w:bidi="ar-SA"/>
    </w:rPr>
  </w:style>
  <w:style w:type="character" w:customStyle="1" w:styleId="151">
    <w:name w:val="正文1 Char Char"/>
    <w:link w:val="152"/>
    <w:autoRedefine/>
    <w:qFormat/>
    <w:uiPriority w:val="0"/>
    <w:rPr>
      <w:rFonts w:ascii="宋体" w:hAnsi="宋体" w:eastAsia="宋体" w:cs="宋体"/>
      <w:sz w:val="21"/>
      <w:lang w:val="en-US" w:eastAsia="zh-CN" w:bidi="ar-SA"/>
    </w:rPr>
  </w:style>
  <w:style w:type="paragraph" w:customStyle="1" w:styleId="152">
    <w:name w:val="正文1"/>
    <w:basedOn w:val="1"/>
    <w:link w:val="151"/>
    <w:autoRedefine/>
    <w:qFormat/>
    <w:uiPriority w:val="0"/>
    <w:pPr>
      <w:widowControl/>
      <w:spacing w:line="360" w:lineRule="auto"/>
      <w:ind w:left="360" w:firstLine="420"/>
      <w:jc w:val="left"/>
    </w:pPr>
    <w:rPr>
      <w:rFonts w:ascii="宋体" w:hAnsi="宋体" w:cs="宋体"/>
      <w:kern w:val="0"/>
      <w:szCs w:val="20"/>
    </w:rPr>
  </w:style>
  <w:style w:type="character" w:customStyle="1" w:styleId="153">
    <w:name w:val="引用 字符"/>
    <w:link w:val="154"/>
    <w:autoRedefine/>
    <w:qFormat/>
    <w:uiPriority w:val="0"/>
    <w:rPr>
      <w:rFonts w:ascii="Calibri" w:hAnsi="Calibri" w:eastAsia="宋体"/>
      <w:i/>
      <w:iCs/>
      <w:color w:val="000000"/>
      <w:lang w:val="en-US" w:eastAsia="zh-CN" w:bidi="ar-SA"/>
    </w:rPr>
  </w:style>
  <w:style w:type="paragraph" w:styleId="154">
    <w:name w:val="Quote"/>
    <w:basedOn w:val="1"/>
    <w:next w:val="1"/>
    <w:link w:val="153"/>
    <w:autoRedefine/>
    <w:qFormat/>
    <w:uiPriority w:val="0"/>
    <w:rPr>
      <w:rFonts w:ascii="Calibri" w:hAnsi="Calibri"/>
      <w:i/>
      <w:iCs/>
      <w:color w:val="000000"/>
      <w:kern w:val="0"/>
      <w:sz w:val="20"/>
      <w:szCs w:val="20"/>
    </w:rPr>
  </w:style>
  <w:style w:type="character" w:customStyle="1" w:styleId="155">
    <w:name w:val="Ò³Ã¼ Char Char2"/>
    <w:autoRedefine/>
    <w:qFormat/>
    <w:uiPriority w:val="0"/>
    <w:rPr>
      <w:kern w:val="2"/>
      <w:sz w:val="18"/>
      <w:szCs w:val="18"/>
    </w:rPr>
  </w:style>
  <w:style w:type="character" w:customStyle="1" w:styleId="156">
    <w:name w:val="正文文本 字符"/>
    <w:link w:val="3"/>
    <w:autoRedefine/>
    <w:qFormat/>
    <w:uiPriority w:val="0"/>
    <w:rPr>
      <w:rFonts w:ascii="仿宋_GB2312" w:eastAsia="宋体"/>
      <w:b/>
      <w:kern w:val="2"/>
      <w:sz w:val="21"/>
      <w:szCs w:val="24"/>
      <w:lang w:val="en-US" w:eastAsia="zh-CN" w:bidi="ar-SA"/>
    </w:rPr>
  </w:style>
  <w:style w:type="character" w:customStyle="1" w:styleId="157">
    <w:name w:val="_Style 154"/>
    <w:autoRedefine/>
    <w:qFormat/>
    <w:uiPriority w:val="0"/>
    <w:rPr>
      <w:smallCaps/>
      <w:color w:val="C0504D"/>
      <w:u w:val="single"/>
    </w:rPr>
  </w:style>
  <w:style w:type="character" w:customStyle="1" w:styleId="158">
    <w:name w:val="标题 6 字符"/>
    <w:link w:val="12"/>
    <w:autoRedefine/>
    <w:qFormat/>
    <w:uiPriority w:val="0"/>
    <w:rPr>
      <w:rFonts w:ascii="Arial" w:hAnsi="Arial" w:eastAsia="黑体"/>
      <w:b/>
      <w:kern w:val="2"/>
      <w:sz w:val="24"/>
      <w:lang w:val="en-US" w:eastAsia="zh-CN" w:bidi="ar-SA"/>
    </w:rPr>
  </w:style>
  <w:style w:type="character" w:customStyle="1" w:styleId="159">
    <w:name w:val="Char Char41"/>
    <w:autoRedefine/>
    <w:qFormat/>
    <w:uiPriority w:val="0"/>
    <w:rPr>
      <w:rFonts w:ascii="Cambria" w:hAnsi="Cambria" w:eastAsia="宋体"/>
      <w:b/>
      <w:bCs/>
      <w:sz w:val="32"/>
      <w:szCs w:val="32"/>
      <w:lang w:bidi="ar-SA"/>
    </w:rPr>
  </w:style>
  <w:style w:type="character" w:customStyle="1" w:styleId="160">
    <w:name w:val="页眉 字符"/>
    <w:link w:val="39"/>
    <w:autoRedefine/>
    <w:qFormat/>
    <w:uiPriority w:val="0"/>
    <w:rPr>
      <w:rFonts w:eastAsia="宋体"/>
      <w:kern w:val="2"/>
      <w:sz w:val="18"/>
      <w:szCs w:val="18"/>
      <w:lang w:val="en-US" w:eastAsia="zh-CN" w:bidi="ar-SA"/>
    </w:rPr>
  </w:style>
  <w:style w:type="character" w:customStyle="1" w:styleId="161">
    <w:name w:val="heading 5 Char"/>
    <w:autoRedefine/>
    <w:qFormat/>
    <w:uiPriority w:val="0"/>
    <w:rPr>
      <w:rFonts w:ascii="Arial" w:hAnsi="Arial" w:eastAsia="黑体"/>
      <w:sz w:val="21"/>
      <w:szCs w:val="21"/>
    </w:rPr>
  </w:style>
  <w:style w:type="character" w:customStyle="1" w:styleId="162">
    <w:name w:val="Char Char22"/>
    <w:autoRedefine/>
    <w:qFormat/>
    <w:uiPriority w:val="0"/>
    <w:rPr>
      <w:rFonts w:ascii="Arial" w:hAnsi="Arial" w:eastAsia="黑体"/>
      <w:b/>
      <w:bCs/>
      <w:kern w:val="44"/>
      <w:sz w:val="30"/>
      <w:szCs w:val="44"/>
      <w:lang w:val="en-US" w:eastAsia="zh-CN" w:bidi="ar-SA"/>
    </w:rPr>
  </w:style>
  <w:style w:type="character" w:customStyle="1" w:styleId="163">
    <w:name w:val="样式 宋体"/>
    <w:autoRedefine/>
    <w:qFormat/>
    <w:uiPriority w:val="0"/>
    <w:rPr>
      <w:rFonts w:ascii="宋体" w:hAnsi="宋体" w:eastAsia="宋体"/>
      <w:sz w:val="24"/>
      <w:szCs w:val="24"/>
    </w:rPr>
  </w:style>
  <w:style w:type="character" w:customStyle="1" w:styleId="164">
    <w:name w:val="日期 字符"/>
    <w:link w:val="34"/>
    <w:autoRedefine/>
    <w:qFormat/>
    <w:uiPriority w:val="0"/>
    <w:rPr>
      <w:rFonts w:eastAsia="宋体"/>
      <w:kern w:val="2"/>
      <w:sz w:val="21"/>
      <w:szCs w:val="24"/>
      <w:lang w:val="en-US" w:eastAsia="zh-CN" w:bidi="ar-SA"/>
    </w:rPr>
  </w:style>
  <w:style w:type="character" w:customStyle="1" w:styleId="165">
    <w:name w:val="样式 标题 3 + 黑体 小四 Char Char"/>
    <w:link w:val="166"/>
    <w:autoRedefine/>
    <w:qFormat/>
    <w:uiPriority w:val="0"/>
    <w:rPr>
      <w:rFonts w:ascii="黑体" w:hAnsi="Arial" w:eastAsia="黑体"/>
      <w:bCs/>
      <w:sz w:val="24"/>
      <w:szCs w:val="24"/>
      <w:lang w:bidi="ar-SA"/>
    </w:rPr>
  </w:style>
  <w:style w:type="paragraph" w:customStyle="1" w:styleId="166">
    <w:name w:val="样式 标题 3 + 黑体 小四"/>
    <w:basedOn w:val="8"/>
    <w:link w:val="165"/>
    <w:autoRedefine/>
    <w:qFormat/>
    <w:uiPriority w:val="0"/>
    <w:pPr>
      <w:spacing w:before="260" w:after="260" w:line="413" w:lineRule="auto"/>
    </w:pPr>
    <w:rPr>
      <w:rFonts w:ascii="黑体" w:hAnsi="Arial"/>
      <w:b w:val="0"/>
      <w:bCs/>
      <w:kern w:val="0"/>
      <w:sz w:val="24"/>
      <w:szCs w:val="24"/>
    </w:rPr>
  </w:style>
  <w:style w:type="character" w:customStyle="1" w:styleId="167">
    <w:name w:val="font11"/>
    <w:autoRedefine/>
    <w:qFormat/>
    <w:uiPriority w:val="0"/>
    <w:rPr>
      <w:rFonts w:hint="eastAsia" w:ascii="宋体" w:hAnsi="宋体" w:eastAsia="宋体" w:cs="宋体"/>
      <w:b/>
      <w:color w:val="000000"/>
      <w:sz w:val="20"/>
      <w:szCs w:val="20"/>
      <w:u w:val="none"/>
    </w:rPr>
  </w:style>
  <w:style w:type="character" w:customStyle="1" w:styleId="168">
    <w:name w:val="Footer-Even Char"/>
    <w:autoRedefine/>
    <w:qFormat/>
    <w:uiPriority w:val="0"/>
    <w:rPr>
      <w:sz w:val="18"/>
      <w:szCs w:val="18"/>
    </w:rPr>
  </w:style>
  <w:style w:type="character" w:customStyle="1" w:styleId="169">
    <w:name w:val="Plain Text Char"/>
    <w:autoRedefine/>
    <w:qFormat/>
    <w:uiPriority w:val="0"/>
    <w:rPr>
      <w:rFonts w:ascii="宋体" w:hAnsi="Courier New" w:eastAsia="宋体" w:cs="Times New Roman"/>
      <w:sz w:val="21"/>
      <w:szCs w:val="21"/>
    </w:rPr>
  </w:style>
  <w:style w:type="character" w:customStyle="1" w:styleId="170">
    <w:name w:val="heading 1 Char"/>
    <w:autoRedefine/>
    <w:qFormat/>
    <w:uiPriority w:val="0"/>
    <w:rPr>
      <w:rFonts w:ascii="Arial" w:hAnsi="Arial" w:eastAsia="黑体"/>
      <w:b/>
      <w:sz w:val="36"/>
      <w:szCs w:val="36"/>
    </w:rPr>
  </w:style>
  <w:style w:type="character" w:customStyle="1" w:styleId="171">
    <w:name w:val="Footer-Even Char2"/>
    <w:autoRedefine/>
    <w:qFormat/>
    <w:uiPriority w:val="0"/>
    <w:rPr>
      <w:kern w:val="2"/>
      <w:sz w:val="18"/>
      <w:szCs w:val="18"/>
    </w:rPr>
  </w:style>
  <w:style w:type="character" w:customStyle="1" w:styleId="172">
    <w:name w:val="heading 3 Char2"/>
    <w:autoRedefine/>
    <w:qFormat/>
    <w:uiPriority w:val="0"/>
    <w:rPr>
      <w:b/>
      <w:bCs/>
      <w:kern w:val="2"/>
      <w:sz w:val="32"/>
      <w:szCs w:val="32"/>
    </w:rPr>
  </w:style>
  <w:style w:type="character" w:customStyle="1" w:styleId="173">
    <w:name w:val="签名 字符"/>
    <w:link w:val="40"/>
    <w:autoRedefine/>
    <w:qFormat/>
    <w:uiPriority w:val="0"/>
    <w:rPr>
      <w:rFonts w:ascii="仿宋_GB2312" w:eastAsia="仿宋_GB2312"/>
      <w:b/>
      <w:sz w:val="24"/>
      <w:szCs w:val="32"/>
    </w:rPr>
  </w:style>
  <w:style w:type="character" w:customStyle="1" w:styleId="174">
    <w:name w:val="heading 4 Char"/>
    <w:autoRedefine/>
    <w:qFormat/>
    <w:uiPriority w:val="0"/>
    <w:rPr>
      <w:rFonts w:ascii="Arial" w:hAnsi="Arial" w:eastAsia="黑体" w:cs="Times New Roman"/>
      <w:sz w:val="21"/>
      <w:szCs w:val="21"/>
    </w:rPr>
  </w:style>
  <w:style w:type="character" w:customStyle="1" w:styleId="175">
    <w:name w:val="纯文本 字符"/>
    <w:link w:val="31"/>
    <w:autoRedefine/>
    <w:qFormat/>
    <w:uiPriority w:val="0"/>
    <w:rPr>
      <w:rFonts w:ascii="宋体" w:hAnsi="Courier New" w:eastAsia="宋体"/>
      <w:b/>
      <w:sz w:val="21"/>
      <w:szCs w:val="21"/>
      <w:lang w:val="en-US" w:eastAsia="zh-CN" w:bidi="ar-SA"/>
    </w:rPr>
  </w:style>
  <w:style w:type="character" w:customStyle="1" w:styleId="176">
    <w:name w:val="正文文本缩进 2 字符"/>
    <w:link w:val="35"/>
    <w:autoRedefine/>
    <w:qFormat/>
    <w:uiPriority w:val="0"/>
    <w:rPr>
      <w:rFonts w:eastAsia="宋体"/>
      <w:kern w:val="2"/>
      <w:sz w:val="24"/>
      <w:szCs w:val="24"/>
      <w:lang w:val="en-US" w:eastAsia="zh-CN" w:bidi="ar-SA"/>
    </w:rPr>
  </w:style>
  <w:style w:type="character" w:customStyle="1" w:styleId="177">
    <w:name w:val="pt141"/>
    <w:autoRedefine/>
    <w:qFormat/>
    <w:uiPriority w:val="0"/>
    <w:rPr>
      <w:color w:val="330066"/>
      <w:spacing w:val="450"/>
      <w:sz w:val="22"/>
      <w:szCs w:val="22"/>
    </w:rPr>
  </w:style>
  <w:style w:type="character" w:customStyle="1" w:styleId="178">
    <w:name w:val="Char Char27"/>
    <w:autoRedefine/>
    <w:qFormat/>
    <w:uiPriority w:val="0"/>
    <w:rPr>
      <w:rFonts w:eastAsia="宋体"/>
      <w:kern w:val="2"/>
      <w:sz w:val="28"/>
      <w:lang w:val="en-US" w:eastAsia="zh-CN" w:bidi="ar-SA"/>
    </w:rPr>
  </w:style>
  <w:style w:type="character" w:customStyle="1" w:styleId="179">
    <w:name w:val="明显引用 字符"/>
    <w:link w:val="180"/>
    <w:autoRedefine/>
    <w:qFormat/>
    <w:uiPriority w:val="0"/>
    <w:rPr>
      <w:rFonts w:ascii="Calibri" w:hAnsi="Calibri" w:eastAsia="宋体"/>
      <w:b/>
      <w:bCs/>
      <w:i/>
      <w:iCs/>
      <w:color w:val="4F81BD"/>
      <w:lang w:val="en-US" w:eastAsia="zh-CN" w:bidi="ar-SA"/>
    </w:rPr>
  </w:style>
  <w:style w:type="paragraph" w:styleId="180">
    <w:name w:val="Intense Quote"/>
    <w:basedOn w:val="1"/>
    <w:next w:val="1"/>
    <w:link w:val="179"/>
    <w:autoRedefine/>
    <w:qFormat/>
    <w:uiPriority w:val="0"/>
    <w:pPr>
      <w:pBdr>
        <w:bottom w:val="single" w:color="4F81BD" w:sz="4" w:space="4"/>
      </w:pBdr>
      <w:spacing w:before="200" w:after="280"/>
      <w:ind w:left="936" w:right="936"/>
    </w:pPr>
    <w:rPr>
      <w:rFonts w:ascii="Calibri" w:hAnsi="Calibri"/>
      <w:b/>
      <w:bCs/>
      <w:i/>
      <w:iCs/>
      <w:color w:val="4F81BD"/>
      <w:kern w:val="0"/>
      <w:sz w:val="20"/>
      <w:szCs w:val="20"/>
    </w:rPr>
  </w:style>
  <w:style w:type="character" w:customStyle="1" w:styleId="181">
    <w:name w:val="正文文本缩进 字符"/>
    <w:link w:val="24"/>
    <w:autoRedefine/>
    <w:qFormat/>
    <w:uiPriority w:val="0"/>
    <w:rPr>
      <w:rFonts w:eastAsia="宋体"/>
      <w:kern w:val="2"/>
      <w:sz w:val="24"/>
      <w:szCs w:val="24"/>
      <w:lang w:val="en-US" w:eastAsia="zh-CN" w:bidi="ar-SA"/>
    </w:rPr>
  </w:style>
  <w:style w:type="character" w:customStyle="1" w:styleId="182">
    <w:name w:val="heading 7 Char1"/>
    <w:autoRedefine/>
    <w:qFormat/>
    <w:uiPriority w:val="0"/>
    <w:rPr>
      <w:rFonts w:ascii="Arial" w:hAnsi="Arial" w:eastAsia="黑体"/>
      <w:sz w:val="21"/>
      <w:szCs w:val="21"/>
      <w:lang w:val="en-US" w:eastAsia="zh-CN" w:bidi="ar-SA"/>
    </w:rPr>
  </w:style>
  <w:style w:type="character" w:customStyle="1" w:styleId="183">
    <w:name w:val="明显参考1"/>
    <w:autoRedefine/>
    <w:qFormat/>
    <w:uiPriority w:val="0"/>
    <w:rPr>
      <w:b/>
      <w:bCs/>
      <w:smallCaps/>
      <w:color w:val="C0504D"/>
      <w:spacing w:val="5"/>
      <w:u w:val="single"/>
    </w:rPr>
  </w:style>
  <w:style w:type="character" w:customStyle="1" w:styleId="184">
    <w:name w:val="Char Char Char"/>
    <w:autoRedefine/>
    <w:qFormat/>
    <w:uiPriority w:val="0"/>
    <w:rPr>
      <w:rFonts w:ascii="宋体" w:hAnsi="Courier New" w:eastAsia="宋体"/>
      <w:b/>
      <w:sz w:val="21"/>
      <w:szCs w:val="21"/>
      <w:lang w:val="en-US" w:eastAsia="zh-CN" w:bidi="ar-SA"/>
    </w:rPr>
  </w:style>
  <w:style w:type="character" w:customStyle="1" w:styleId="185">
    <w:name w:val="Style4"/>
    <w:autoRedefine/>
    <w:qFormat/>
    <w:uiPriority w:val="0"/>
    <w:rPr>
      <w:rFonts w:ascii="Calibri" w:hAnsi="宋体" w:eastAsia="宋体" w:cs="Times New Roman"/>
      <w:szCs w:val="22"/>
      <w:lang w:eastAsia="zh-CN"/>
    </w:rPr>
  </w:style>
  <w:style w:type="character" w:customStyle="1" w:styleId="186">
    <w:name w:val="Char Char18"/>
    <w:autoRedefine/>
    <w:qFormat/>
    <w:uiPriority w:val="0"/>
    <w:rPr>
      <w:b/>
      <w:bCs/>
      <w:kern w:val="2"/>
      <w:sz w:val="32"/>
      <w:szCs w:val="32"/>
    </w:rPr>
  </w:style>
  <w:style w:type="character" w:customStyle="1" w:styleId="187">
    <w:name w:val="heading 1 Char1"/>
    <w:autoRedefine/>
    <w:qFormat/>
    <w:uiPriority w:val="0"/>
    <w:rPr>
      <w:rFonts w:eastAsia="宋体"/>
      <w:b/>
      <w:bCs/>
      <w:kern w:val="44"/>
      <w:sz w:val="44"/>
      <w:szCs w:val="44"/>
      <w:lang w:val="en-US" w:eastAsia="zh-CN" w:bidi="ar-SA"/>
    </w:rPr>
  </w:style>
  <w:style w:type="character" w:customStyle="1" w:styleId="188">
    <w:name w:val="正文文本缩进 3 字符"/>
    <w:link w:val="47"/>
    <w:autoRedefine/>
    <w:qFormat/>
    <w:uiPriority w:val="0"/>
    <w:rPr>
      <w:rFonts w:eastAsia="宋体"/>
      <w:kern w:val="2"/>
      <w:sz w:val="24"/>
      <w:szCs w:val="24"/>
      <w:lang w:val="en-US" w:eastAsia="zh-CN" w:bidi="ar-SA"/>
    </w:rPr>
  </w:style>
  <w:style w:type="character" w:customStyle="1" w:styleId="189">
    <w:name w:val="Char Char271"/>
    <w:autoRedefine/>
    <w:qFormat/>
    <w:uiPriority w:val="0"/>
    <w:rPr>
      <w:rFonts w:eastAsia="宋体"/>
      <w:kern w:val="2"/>
      <w:sz w:val="28"/>
      <w:lang w:val="en-US" w:eastAsia="zh-CN" w:bidi="ar-SA"/>
    </w:rPr>
  </w:style>
  <w:style w:type="character" w:customStyle="1" w:styleId="190">
    <w:name w:val="Style3"/>
    <w:autoRedefine/>
    <w:qFormat/>
    <w:uiPriority w:val="0"/>
    <w:rPr>
      <w:rFonts w:ascii="Calibri" w:hAnsi="宋体" w:eastAsia="宋体" w:cs="Times New Roman"/>
      <w:szCs w:val="22"/>
      <w:lang w:eastAsia="zh-CN"/>
    </w:rPr>
  </w:style>
  <w:style w:type="character" w:customStyle="1" w:styleId="191">
    <w:name w:val="heading 5 Char2"/>
    <w:autoRedefine/>
    <w:qFormat/>
    <w:uiPriority w:val="0"/>
    <w:rPr>
      <w:b/>
      <w:bCs/>
      <w:kern w:val="2"/>
      <w:sz w:val="28"/>
      <w:szCs w:val="28"/>
    </w:rPr>
  </w:style>
  <w:style w:type="character" w:customStyle="1" w:styleId="192">
    <w:name w:val="Char Char19"/>
    <w:autoRedefine/>
    <w:qFormat/>
    <w:uiPriority w:val="0"/>
    <w:rPr>
      <w:rFonts w:ascii="Cambria" w:hAnsi="Cambria"/>
      <w:b/>
      <w:bCs/>
      <w:kern w:val="2"/>
      <w:sz w:val="32"/>
      <w:szCs w:val="32"/>
    </w:rPr>
  </w:style>
  <w:style w:type="character" w:customStyle="1" w:styleId="193">
    <w:name w:val="heading 8 Char1"/>
    <w:autoRedefine/>
    <w:qFormat/>
    <w:uiPriority w:val="0"/>
    <w:rPr>
      <w:rFonts w:ascii="Arial" w:hAnsi="Arial" w:eastAsia="黑体"/>
      <w:sz w:val="24"/>
      <w:lang w:val="en-US" w:eastAsia="zh-CN" w:bidi="ar-SA"/>
    </w:rPr>
  </w:style>
  <w:style w:type="character" w:customStyle="1" w:styleId="194">
    <w:name w:val="heading 5 Char1"/>
    <w:autoRedefine/>
    <w:qFormat/>
    <w:uiPriority w:val="0"/>
    <w:rPr>
      <w:rFonts w:eastAsia="宋体"/>
      <w:b/>
      <w:bCs/>
      <w:kern w:val="2"/>
      <w:sz w:val="28"/>
      <w:szCs w:val="28"/>
      <w:lang w:val="en-US" w:eastAsia="zh-CN" w:bidi="ar-SA"/>
    </w:rPr>
  </w:style>
  <w:style w:type="character" w:customStyle="1" w:styleId="195">
    <w:name w:val="_Style 192"/>
    <w:autoRedefine/>
    <w:qFormat/>
    <w:uiPriority w:val="0"/>
    <w:rPr>
      <w:b/>
      <w:bCs/>
      <w:smallCaps/>
      <w:spacing w:val="5"/>
    </w:rPr>
  </w:style>
  <w:style w:type="character" w:customStyle="1" w:styleId="196">
    <w:name w:val="Char Char16"/>
    <w:autoRedefine/>
    <w:qFormat/>
    <w:uiPriority w:val="0"/>
    <w:rPr>
      <w:b/>
      <w:bCs/>
      <w:kern w:val="2"/>
      <w:sz w:val="28"/>
      <w:szCs w:val="28"/>
    </w:rPr>
  </w:style>
  <w:style w:type="character" w:customStyle="1" w:styleId="197">
    <w:name w:val="gray6"/>
    <w:basedOn w:val="57"/>
    <w:autoRedefine/>
    <w:qFormat/>
    <w:uiPriority w:val="0"/>
  </w:style>
  <w:style w:type="character" w:customStyle="1" w:styleId="198">
    <w:name w:val="heading 1 Char2"/>
    <w:autoRedefine/>
    <w:qFormat/>
    <w:uiPriority w:val="0"/>
    <w:rPr>
      <w:b/>
      <w:bCs/>
      <w:kern w:val="44"/>
      <w:sz w:val="44"/>
      <w:szCs w:val="44"/>
    </w:rPr>
  </w:style>
  <w:style w:type="character" w:customStyle="1" w:styleId="199">
    <w:name w:val="_Style 196"/>
    <w:autoRedefine/>
    <w:qFormat/>
    <w:uiPriority w:val="0"/>
    <w:rPr>
      <w:i/>
      <w:iCs/>
      <w:color w:val="808080"/>
    </w:rPr>
  </w:style>
  <w:style w:type="character" w:customStyle="1" w:styleId="200">
    <w:name w:val="表正文 Char2"/>
    <w:autoRedefine/>
    <w:qFormat/>
    <w:uiPriority w:val="0"/>
    <w:rPr>
      <w:rFonts w:ascii="Times New Roman" w:hAnsi="Times New Roman" w:eastAsia="宋体" w:cs="Times New Roman"/>
      <w:szCs w:val="24"/>
    </w:rPr>
  </w:style>
  <w:style w:type="paragraph" w:customStyle="1" w:styleId="201">
    <w:name w:val="xl9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02">
    <w:name w:val="标书正文带编号"/>
    <w:basedOn w:val="1"/>
    <w:autoRedefine/>
    <w:qFormat/>
    <w:uiPriority w:val="0"/>
    <w:pPr>
      <w:tabs>
        <w:tab w:val="left" w:pos="397"/>
      </w:tabs>
      <w:autoSpaceDE w:val="0"/>
      <w:autoSpaceDN w:val="0"/>
      <w:adjustRightInd w:val="0"/>
      <w:ind w:firstLine="397"/>
      <w:jc w:val="left"/>
    </w:pPr>
    <w:rPr>
      <w:rFonts w:cs="宋体"/>
      <w:kern w:val="0"/>
      <w:sz w:val="20"/>
      <w:szCs w:val="21"/>
    </w:rPr>
  </w:style>
  <w:style w:type="paragraph" w:customStyle="1" w:styleId="203">
    <w:name w:val="button"/>
    <w:basedOn w:val="1"/>
    <w:autoRedefine/>
    <w:qFormat/>
    <w:uiPriority w:val="0"/>
    <w:pPr>
      <w:widowControl/>
      <w:autoSpaceDE w:val="0"/>
      <w:autoSpaceDN w:val="0"/>
      <w:adjustRightInd w:val="0"/>
      <w:spacing w:before="100" w:beforeAutospacing="1" w:after="100" w:afterAutospacing="1"/>
      <w:jc w:val="left"/>
    </w:pPr>
    <w:rPr>
      <w:rFonts w:ascii="Arial Unicode MS" w:hAnsi="Arial Unicode MS"/>
      <w:color w:val="000000"/>
      <w:kern w:val="0"/>
      <w:sz w:val="24"/>
      <w:szCs w:val="20"/>
    </w:rPr>
  </w:style>
  <w:style w:type="paragraph" w:customStyle="1" w:styleId="204">
    <w:name w:val="Char"/>
    <w:basedOn w:val="1"/>
    <w:autoRedefine/>
    <w:qFormat/>
    <w:uiPriority w:val="0"/>
    <w:rPr>
      <w:rFonts w:ascii="仿宋_GB2312" w:eastAsia="仿宋_GB2312"/>
      <w:b/>
      <w:sz w:val="32"/>
      <w:szCs w:val="32"/>
    </w:rPr>
  </w:style>
  <w:style w:type="paragraph" w:customStyle="1" w:styleId="205">
    <w:name w:val="xl29"/>
    <w:basedOn w:val="1"/>
    <w:autoRedefine/>
    <w:qFormat/>
    <w:uiPriority w:val="0"/>
    <w:pPr>
      <w:widowControl/>
      <w:autoSpaceDE w:val="0"/>
      <w:autoSpaceDN w:val="0"/>
      <w:adjustRightInd w:val="0"/>
      <w:spacing w:before="100" w:beforeAutospacing="1" w:after="100" w:afterAutospacing="1"/>
      <w:jc w:val="center"/>
    </w:pPr>
    <w:rPr>
      <w:rFonts w:ascii="Arial Unicode MS" w:hAnsi="Arial Unicode MS" w:eastAsia="Arial Unicode MS"/>
      <w:kern w:val="0"/>
      <w:sz w:val="24"/>
      <w:szCs w:val="20"/>
    </w:rPr>
  </w:style>
  <w:style w:type="paragraph" w:customStyle="1" w:styleId="206">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07">
    <w:name w:val="样式 标题 1Level 1Level 11h1II+IHeading1H1-Heading 1Header 1..."/>
    <w:basedOn w:val="6"/>
    <w:autoRedefine/>
    <w:qFormat/>
    <w:uiPriority w:val="0"/>
    <w:pPr>
      <w:pageBreakBefore/>
      <w:spacing w:before="100" w:after="100" w:line="360" w:lineRule="auto"/>
      <w:ind w:left="1680" w:hanging="420"/>
      <w:jc w:val="left"/>
    </w:pPr>
    <w:rPr>
      <w:rFonts w:ascii="Arial" w:hAnsi="Arial" w:cs="宋体"/>
      <w:bCs/>
      <w:kern w:val="44"/>
      <w:sz w:val="44"/>
    </w:rPr>
  </w:style>
  <w:style w:type="paragraph" w:customStyle="1" w:styleId="208">
    <w:name w:val="Char Char Char Char Char Char Char"/>
    <w:basedOn w:val="1"/>
    <w:autoRedefine/>
    <w:qFormat/>
    <w:uiPriority w:val="0"/>
    <w:rPr>
      <w:rFonts w:ascii="仿宋_GB2312" w:eastAsia="仿宋_GB2312"/>
      <w:b/>
      <w:sz w:val="32"/>
      <w:szCs w:val="32"/>
    </w:rPr>
  </w:style>
  <w:style w:type="paragraph" w:customStyle="1" w:styleId="209">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210">
    <w:name w:val="样式 左侧:  0.85 厘米 首行缩进:  0.85 厘米"/>
    <w:basedOn w:val="1"/>
    <w:autoRedefine/>
    <w:qFormat/>
    <w:uiPriority w:val="0"/>
    <w:pPr>
      <w:autoSpaceDE w:val="0"/>
      <w:autoSpaceDN w:val="0"/>
      <w:adjustRightInd w:val="0"/>
      <w:spacing w:line="360" w:lineRule="auto"/>
      <w:ind w:firstLine="482"/>
      <w:jc w:val="left"/>
    </w:pPr>
    <w:rPr>
      <w:rFonts w:cs="宋体"/>
      <w:kern w:val="0"/>
      <w:sz w:val="24"/>
      <w:szCs w:val="20"/>
    </w:rPr>
  </w:style>
  <w:style w:type="paragraph" w:customStyle="1" w:styleId="211">
    <w:name w:val="a"/>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12">
    <w:name w:val="WW-正文文字缩进 2"/>
    <w:basedOn w:val="1"/>
    <w:autoRedefine/>
    <w:qFormat/>
    <w:uiPriority w:val="0"/>
    <w:pPr>
      <w:suppressAutoHyphens/>
      <w:autoSpaceDE w:val="0"/>
      <w:autoSpaceDN w:val="0"/>
      <w:adjustRightInd w:val="0"/>
      <w:ind w:firstLine="420"/>
      <w:jc w:val="left"/>
    </w:pPr>
    <w:rPr>
      <w:kern w:val="1"/>
      <w:sz w:val="20"/>
      <w:szCs w:val="20"/>
    </w:rPr>
  </w:style>
  <w:style w:type="paragraph" w:customStyle="1" w:styleId="213">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14">
    <w:name w:val="Char2"/>
    <w:basedOn w:val="1"/>
    <w:autoRedefine/>
    <w:qFormat/>
    <w:uiPriority w:val="0"/>
  </w:style>
  <w:style w:type="paragraph" w:customStyle="1" w:styleId="215">
    <w:name w:val="xl89"/>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16">
    <w:name w:val="1.1.1"/>
    <w:basedOn w:val="1"/>
    <w:autoRedefine/>
    <w:qFormat/>
    <w:uiPriority w:val="0"/>
    <w:pPr>
      <w:tabs>
        <w:tab w:val="left" w:pos="0"/>
        <w:tab w:val="left" w:pos="1134"/>
        <w:tab w:val="left" w:pos="8505"/>
      </w:tabs>
      <w:autoSpaceDE w:val="0"/>
      <w:autoSpaceDN w:val="0"/>
      <w:adjustRightInd w:val="0"/>
      <w:spacing w:before="240" w:after="60" w:line="360" w:lineRule="atLeast"/>
    </w:pPr>
    <w:rPr>
      <w:rFonts w:ascii="宋体"/>
      <w:b/>
      <w:kern w:val="0"/>
      <w:sz w:val="24"/>
      <w:szCs w:val="20"/>
    </w:rPr>
  </w:style>
  <w:style w:type="paragraph" w:customStyle="1" w:styleId="217">
    <w:name w:val="NICMAN Body Text"/>
    <w:basedOn w:val="1"/>
    <w:next w:val="3"/>
    <w:autoRedefine/>
    <w:qFormat/>
    <w:uiPriority w:val="0"/>
    <w:pPr>
      <w:autoSpaceDE w:val="0"/>
      <w:autoSpaceDN w:val="0"/>
      <w:adjustRightInd w:val="0"/>
      <w:spacing w:after="120"/>
      <w:jc w:val="left"/>
    </w:pPr>
    <w:rPr>
      <w:kern w:val="0"/>
      <w:sz w:val="20"/>
      <w:szCs w:val="20"/>
    </w:rPr>
  </w:style>
  <w:style w:type="paragraph" w:customStyle="1" w:styleId="218">
    <w:name w:val="样式1"/>
    <w:basedOn w:val="1"/>
    <w:autoRedefine/>
    <w:qFormat/>
    <w:uiPriority w:val="0"/>
    <w:pPr>
      <w:autoSpaceDE w:val="0"/>
      <w:autoSpaceDN w:val="0"/>
      <w:adjustRightInd w:val="0"/>
      <w:spacing w:line="400" w:lineRule="exact"/>
    </w:pPr>
    <w:rPr>
      <w:rFonts w:ascii="宋体" w:cs="宋体"/>
      <w:kern w:val="0"/>
    </w:rPr>
  </w:style>
  <w:style w:type="paragraph" w:customStyle="1" w:styleId="219">
    <w:name w:val="正文文本 21"/>
    <w:basedOn w:val="1"/>
    <w:autoRedefine/>
    <w:qFormat/>
    <w:uiPriority w:val="0"/>
    <w:pPr>
      <w:widowControl/>
      <w:overflowPunct w:val="0"/>
      <w:autoSpaceDE w:val="0"/>
      <w:autoSpaceDN w:val="0"/>
      <w:adjustRightInd w:val="0"/>
      <w:ind w:left="720" w:hanging="720"/>
      <w:jc w:val="left"/>
      <w:textAlignment w:val="baseline"/>
    </w:pPr>
    <w:rPr>
      <w:kern w:val="0"/>
      <w:sz w:val="24"/>
      <w:szCs w:val="20"/>
      <w:lang w:val="en-GB"/>
    </w:rPr>
  </w:style>
  <w:style w:type="paragraph" w:customStyle="1" w:styleId="220">
    <w:name w:val="Table Heading"/>
    <w:autoRedefine/>
    <w:qFormat/>
    <w:uiPriority w:val="0"/>
    <w:pPr>
      <w:keepNext/>
      <w:snapToGrid w:val="0"/>
      <w:spacing w:before="80" w:after="80"/>
      <w:jc w:val="center"/>
    </w:pPr>
    <w:rPr>
      <w:rFonts w:ascii="Times New Roman" w:hAnsi="Times New Roman" w:eastAsia="黑体" w:cs="Arial"/>
      <w:kern w:val="2"/>
      <w:sz w:val="18"/>
      <w:szCs w:val="18"/>
      <w:lang w:val="en-US" w:eastAsia="zh-CN" w:bidi="ar-SA"/>
    </w:rPr>
  </w:style>
  <w:style w:type="paragraph" w:customStyle="1" w:styleId="221">
    <w:name w:val="Item List in Table"/>
    <w:autoRedefine/>
    <w:qFormat/>
    <w:uiPriority w:val="0"/>
    <w:pPr>
      <w:tabs>
        <w:tab w:val="left" w:pos="284"/>
        <w:tab w:val="left" w:pos="720"/>
      </w:tabs>
      <w:spacing w:before="40" w:after="40"/>
      <w:ind w:left="720" w:hanging="720"/>
      <w:jc w:val="both"/>
    </w:pPr>
    <w:rPr>
      <w:rFonts w:ascii="Times New Roman" w:hAnsi="Times New Roman" w:eastAsia="宋体" w:cs="Arial"/>
      <w:kern w:val="2"/>
      <w:sz w:val="18"/>
      <w:szCs w:val="18"/>
      <w:lang w:val="en-US" w:eastAsia="zh-CN" w:bidi="ar-SA"/>
    </w:rPr>
  </w:style>
  <w:style w:type="paragraph" w:customStyle="1" w:styleId="222">
    <w:name w:val="xl8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23">
    <w:name w:val="Char1"/>
    <w:basedOn w:val="1"/>
    <w:autoRedefine/>
    <w:qFormat/>
    <w:uiPriority w:val="0"/>
    <w:rPr>
      <w:rFonts w:ascii="仿宋_GB2312" w:eastAsia="仿宋_GB2312"/>
      <w:b/>
      <w:sz w:val="32"/>
      <w:szCs w:val="32"/>
    </w:rPr>
  </w:style>
  <w:style w:type="paragraph" w:customStyle="1" w:styleId="224">
    <w:name w:val="二级条标题"/>
    <w:basedOn w:val="225"/>
    <w:next w:val="1"/>
    <w:autoRedefine/>
    <w:qFormat/>
    <w:uiPriority w:val="0"/>
    <w:pPr>
      <w:tabs>
        <w:tab w:val="left" w:pos="3889"/>
        <w:tab w:val="left" w:pos="4309"/>
      </w:tabs>
      <w:ind w:left="4309"/>
      <w:outlineLvl w:val="3"/>
    </w:pPr>
  </w:style>
  <w:style w:type="paragraph" w:customStyle="1" w:styleId="225">
    <w:name w:val="一级条标题"/>
    <w:next w:val="1"/>
    <w:autoRedefine/>
    <w:qFormat/>
    <w:uiPriority w:val="0"/>
    <w:pPr>
      <w:tabs>
        <w:tab w:val="left" w:pos="3889"/>
      </w:tabs>
      <w:ind w:left="3889" w:hanging="420"/>
      <w:outlineLvl w:val="2"/>
    </w:pPr>
    <w:rPr>
      <w:rFonts w:ascii="Times New Roman" w:hAnsi="Times New Roman" w:eastAsia="黑体" w:cs="Times New Roman"/>
      <w:sz w:val="21"/>
      <w:lang w:val="en-US" w:eastAsia="zh-CN" w:bidi="ar-SA"/>
    </w:rPr>
  </w:style>
  <w:style w:type="paragraph" w:customStyle="1" w:styleId="226">
    <w:name w:val="Char Char Char Char"/>
    <w:basedOn w:val="20"/>
    <w:autoRedefine/>
    <w:qFormat/>
    <w:uiPriority w:val="0"/>
    <w:rPr>
      <w:rFonts w:ascii="Tahoma" w:hAnsi="Tahoma"/>
      <w:sz w:val="24"/>
    </w:rPr>
  </w:style>
  <w:style w:type="paragraph" w:customStyle="1" w:styleId="227">
    <w:name w:val="xl83"/>
    <w:basedOn w:val="1"/>
    <w:autoRedefine/>
    <w:qFormat/>
    <w:uiPriority w:val="0"/>
    <w:pPr>
      <w:widowControl/>
      <w:pBdr>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28">
    <w:name w:val="纯文本1"/>
    <w:basedOn w:val="1"/>
    <w:autoRedefine/>
    <w:qFormat/>
    <w:uiPriority w:val="0"/>
    <w:pPr>
      <w:adjustRightInd w:val="0"/>
      <w:textAlignment w:val="baseline"/>
    </w:pPr>
    <w:rPr>
      <w:rFonts w:ascii="宋体" w:hAnsi="Courier New" w:eastAsia="楷体_GB2312"/>
      <w:sz w:val="28"/>
      <w:szCs w:val="20"/>
    </w:rPr>
  </w:style>
  <w:style w:type="paragraph" w:customStyle="1" w:styleId="229">
    <w:name w:val="文字"/>
    <w:basedOn w:val="1"/>
    <w:autoRedefine/>
    <w:qFormat/>
    <w:uiPriority w:val="0"/>
    <w:pPr>
      <w:tabs>
        <w:tab w:val="left" w:pos="8520"/>
      </w:tabs>
      <w:spacing w:line="312" w:lineRule="auto"/>
      <w:ind w:right="-210" w:firstLine="556"/>
    </w:pPr>
    <w:rPr>
      <w:rFonts w:ascii="宋体"/>
      <w:sz w:val="28"/>
      <w:szCs w:val="20"/>
    </w:rPr>
  </w:style>
  <w:style w:type="paragraph" w:customStyle="1" w:styleId="230">
    <w:name w:val="xl78"/>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新宋体" w:hAnsi="新宋体" w:eastAsia="新宋体" w:cs="宋体"/>
      <w:b/>
      <w:bCs/>
      <w:color w:val="FF0000"/>
      <w:kern w:val="0"/>
      <w:sz w:val="24"/>
    </w:rPr>
  </w:style>
  <w:style w:type="paragraph" w:customStyle="1" w:styleId="231">
    <w:name w:val="xl84"/>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32">
    <w:name w:val="小标题"/>
    <w:basedOn w:val="1"/>
    <w:autoRedefine/>
    <w:qFormat/>
    <w:uiPriority w:val="0"/>
    <w:pPr>
      <w:autoSpaceDE w:val="0"/>
      <w:autoSpaceDN w:val="0"/>
      <w:adjustRightInd w:val="0"/>
      <w:spacing w:before="120" w:line="360" w:lineRule="atLeast"/>
      <w:ind w:left="1134"/>
      <w:jc w:val="left"/>
      <w:textAlignment w:val="baseline"/>
    </w:pPr>
    <w:rPr>
      <w:rFonts w:eastAsia="黑体"/>
      <w:kern w:val="0"/>
      <w:sz w:val="20"/>
      <w:szCs w:val="20"/>
    </w:rPr>
  </w:style>
  <w:style w:type="paragraph" w:customStyle="1" w:styleId="233">
    <w:name w:val="xl88"/>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34">
    <w:name w:val="前言、引言标题"/>
    <w:next w:val="1"/>
    <w:autoRedefine/>
    <w:qFormat/>
    <w:uiPriority w:val="0"/>
    <w:pPr>
      <w:shd w:val="clear" w:color="FFFFFF" w:fill="FFFFFF"/>
      <w:tabs>
        <w:tab w:val="left" w:pos="3349"/>
      </w:tabs>
      <w:spacing w:before="640" w:after="560"/>
      <w:ind w:left="3349" w:hanging="720"/>
      <w:jc w:val="center"/>
      <w:outlineLvl w:val="0"/>
    </w:pPr>
    <w:rPr>
      <w:rFonts w:ascii="黑体" w:hAnsi="Times New Roman" w:eastAsia="黑体" w:cs="Times New Roman"/>
      <w:sz w:val="32"/>
      <w:lang w:val="en-US" w:eastAsia="zh-CN" w:bidi="ar-SA"/>
    </w:rPr>
  </w:style>
  <w:style w:type="paragraph" w:customStyle="1" w:styleId="23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styleId="236">
    <w:name w:val="List Paragraph"/>
    <w:basedOn w:val="1"/>
    <w:autoRedefine/>
    <w:qFormat/>
    <w:uiPriority w:val="0"/>
    <w:pPr>
      <w:ind w:firstLine="420" w:firstLineChars="200"/>
    </w:pPr>
    <w:rPr>
      <w:rFonts w:ascii="Calibri" w:hAnsi="Calibri"/>
      <w:szCs w:val="22"/>
    </w:rPr>
  </w:style>
  <w:style w:type="paragraph" w:customStyle="1" w:styleId="237">
    <w:name w:val="正文缩进1"/>
    <w:basedOn w:val="1"/>
    <w:next w:val="24"/>
    <w:autoRedefine/>
    <w:qFormat/>
    <w:uiPriority w:val="0"/>
    <w:pPr>
      <w:autoSpaceDE w:val="0"/>
      <w:autoSpaceDN w:val="0"/>
      <w:adjustRightInd w:val="0"/>
      <w:snapToGrid w:val="0"/>
      <w:spacing w:after="120" w:line="360" w:lineRule="auto"/>
      <w:ind w:left="420" w:leftChars="200" w:firstLine="480" w:firstLineChars="200"/>
      <w:jc w:val="left"/>
    </w:pPr>
    <w:rPr>
      <w:kern w:val="0"/>
      <w:sz w:val="24"/>
      <w:szCs w:val="21"/>
    </w:rPr>
  </w:style>
  <w:style w:type="paragraph" w:customStyle="1" w:styleId="238">
    <w:name w:val="Char Char Char Char Char Char Char Char Char Char Char Char Char Char Char Char Char Char Char1"/>
    <w:basedOn w:val="1"/>
    <w:autoRedefine/>
    <w:qFormat/>
    <w:uiPriority w:val="0"/>
    <w:rPr>
      <w:rFonts w:ascii="仿宋_GB2312" w:eastAsia="仿宋_GB2312"/>
      <w:b/>
      <w:sz w:val="32"/>
      <w:szCs w:val="32"/>
    </w:rPr>
  </w:style>
  <w:style w:type="paragraph" w:customStyle="1" w:styleId="239">
    <w:name w:val="Char Char Char Char Char Char Char Char Char Char"/>
    <w:basedOn w:val="1"/>
    <w:autoRedefine/>
    <w:qFormat/>
    <w:uiPriority w:val="0"/>
    <w:pPr>
      <w:autoSpaceDE w:val="0"/>
      <w:autoSpaceDN w:val="0"/>
      <w:adjustRightInd w:val="0"/>
      <w:jc w:val="left"/>
    </w:pPr>
    <w:rPr>
      <w:rFonts w:ascii="仿宋_GB2312" w:eastAsia="仿宋_GB2312"/>
      <w:b/>
      <w:kern w:val="0"/>
      <w:sz w:val="32"/>
      <w:szCs w:val="32"/>
    </w:rPr>
  </w:style>
  <w:style w:type="paragraph" w:customStyle="1" w:styleId="240">
    <w:name w:val="样式 标题 3 + 黑体 小四 非加粗"/>
    <w:basedOn w:val="8"/>
    <w:autoRedefine/>
    <w:qFormat/>
    <w:uiPriority w:val="0"/>
    <w:pPr>
      <w:spacing w:before="260" w:after="260" w:line="413" w:lineRule="auto"/>
    </w:pPr>
    <w:rPr>
      <w:rFonts w:ascii="黑体" w:hAnsi="黑体"/>
      <w:b w:val="0"/>
      <w:kern w:val="0"/>
      <w:sz w:val="24"/>
      <w:szCs w:val="32"/>
    </w:rPr>
  </w:style>
  <w:style w:type="paragraph" w:customStyle="1" w:styleId="241">
    <w:name w:val="部分1"/>
    <w:basedOn w:val="1"/>
    <w:autoRedefine/>
    <w:qFormat/>
    <w:uiPriority w:val="0"/>
    <w:pPr>
      <w:keepNext/>
      <w:pageBreakBefore/>
      <w:tabs>
        <w:tab w:val="left" w:pos="720"/>
      </w:tabs>
      <w:autoSpaceDE w:val="0"/>
      <w:autoSpaceDN w:val="0"/>
      <w:adjustRightInd w:val="0"/>
      <w:spacing w:line="360" w:lineRule="auto"/>
      <w:jc w:val="center"/>
      <w:outlineLvl w:val="0"/>
    </w:pPr>
    <w:rPr>
      <w:rFonts w:eastAsia="黑体"/>
      <w:b/>
      <w:kern w:val="44"/>
      <w:sz w:val="36"/>
      <w:szCs w:val="20"/>
    </w:rPr>
  </w:style>
  <w:style w:type="paragraph" w:customStyle="1" w:styleId="242">
    <w:name w:val="列出段落1"/>
    <w:basedOn w:val="1"/>
    <w:autoRedefine/>
    <w:qFormat/>
    <w:uiPriority w:val="0"/>
    <w:pPr>
      <w:ind w:firstLine="420" w:firstLineChars="200"/>
    </w:pPr>
    <w:rPr>
      <w:szCs w:val="20"/>
    </w:rPr>
  </w:style>
  <w:style w:type="paragraph" w:customStyle="1" w:styleId="243">
    <w:name w:val="BodyText"/>
    <w:basedOn w:val="1"/>
    <w:autoRedefine/>
    <w:qFormat/>
    <w:uiPriority w:val="0"/>
    <w:pPr>
      <w:spacing w:after="120"/>
    </w:pPr>
  </w:style>
  <w:style w:type="paragraph" w:customStyle="1" w:styleId="244">
    <w:name w:val="Test2"/>
    <w:basedOn w:val="7"/>
    <w:autoRedefine/>
    <w:qFormat/>
    <w:uiPriority w:val="0"/>
    <w:pPr>
      <w:keepNext w:val="0"/>
      <w:widowControl/>
      <w:tabs>
        <w:tab w:val="left" w:pos="774"/>
      </w:tabs>
      <w:autoSpaceDE w:val="0"/>
      <w:autoSpaceDN w:val="0"/>
      <w:adjustRightInd w:val="0"/>
      <w:snapToGrid w:val="0"/>
      <w:spacing w:before="360" w:after="360" w:line="240" w:lineRule="atLeast"/>
      <w:ind w:left="774" w:hanging="576"/>
      <w:jc w:val="left"/>
    </w:pPr>
    <w:rPr>
      <w:rFonts w:ascii="宋体" w:hAnsi="Arial"/>
      <w:snapToGrid w:val="0"/>
      <w:kern w:val="0"/>
    </w:rPr>
  </w:style>
  <w:style w:type="paragraph" w:customStyle="1" w:styleId="245">
    <w:name w:val="正文_0_0"/>
    <w:autoRedefine/>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246">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47">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48">
    <w:name w:val="列表内容"/>
    <w:basedOn w:val="1"/>
    <w:next w:val="1"/>
    <w:autoRedefine/>
    <w:qFormat/>
    <w:uiPriority w:val="0"/>
    <w:pPr>
      <w:widowControl/>
      <w:autoSpaceDE w:val="0"/>
      <w:autoSpaceDN w:val="0"/>
      <w:adjustRightInd w:val="0"/>
      <w:ind w:firstLine="200"/>
      <w:jc w:val="left"/>
    </w:pPr>
    <w:rPr>
      <w:kern w:val="0"/>
      <w:sz w:val="18"/>
      <w:szCs w:val="20"/>
    </w:rPr>
  </w:style>
  <w:style w:type="paragraph" w:customStyle="1" w:styleId="249">
    <w:name w:val="样式 标题 3 + 黑色 段前: 5 磅 段后: 5 磅 行距: 1.5 倍行距"/>
    <w:basedOn w:val="1"/>
    <w:autoRedefine/>
    <w:qFormat/>
    <w:uiPriority w:val="0"/>
    <w:pPr>
      <w:ind w:left="855" w:hanging="855"/>
    </w:pPr>
    <w:rPr>
      <w:sz w:val="24"/>
      <w:szCs w:val="20"/>
    </w:rPr>
  </w:style>
  <w:style w:type="paragraph" w:customStyle="1" w:styleId="250">
    <w:name w:val="排列"/>
    <w:basedOn w:val="1"/>
    <w:autoRedefine/>
    <w:qFormat/>
    <w:uiPriority w:val="0"/>
    <w:pPr>
      <w:widowControl/>
      <w:autoSpaceDE w:val="0"/>
      <w:autoSpaceDN w:val="0"/>
      <w:adjustRightInd w:val="0"/>
      <w:spacing w:line="360" w:lineRule="auto"/>
      <w:jc w:val="left"/>
    </w:pPr>
    <w:rPr>
      <w:rFonts w:ascii="宋体" w:hAnsi="宋体"/>
      <w:kern w:val="0"/>
      <w:sz w:val="20"/>
      <w:szCs w:val="20"/>
      <w:lang w:val="zh-CN"/>
    </w:rPr>
  </w:style>
  <w:style w:type="paragraph" w:customStyle="1" w:styleId="251">
    <w:name w:val="List Paragraph1"/>
    <w:basedOn w:val="1"/>
    <w:autoRedefine/>
    <w:qFormat/>
    <w:uiPriority w:val="0"/>
    <w:pPr>
      <w:ind w:firstLine="420" w:firstLineChars="200"/>
    </w:pPr>
  </w:style>
  <w:style w:type="paragraph" w:customStyle="1" w:styleId="252">
    <w:name w:val="此正文"/>
    <w:basedOn w:val="1"/>
    <w:autoRedefine/>
    <w:qFormat/>
    <w:uiPriority w:val="0"/>
    <w:pPr>
      <w:autoSpaceDE w:val="0"/>
      <w:autoSpaceDN w:val="0"/>
      <w:adjustRightInd w:val="0"/>
      <w:spacing w:line="360" w:lineRule="auto"/>
      <w:ind w:firstLine="200" w:firstLineChars="200"/>
      <w:jc w:val="left"/>
    </w:pPr>
    <w:rPr>
      <w:kern w:val="0"/>
      <w:sz w:val="24"/>
      <w:szCs w:val="20"/>
    </w:rPr>
  </w:style>
  <w:style w:type="paragraph" w:customStyle="1" w:styleId="253">
    <w:name w:val="保留正文"/>
    <w:basedOn w:val="3"/>
    <w:autoRedefine/>
    <w:qFormat/>
    <w:uiPriority w:val="0"/>
    <w:pPr>
      <w:keepNext/>
      <w:spacing w:after="160"/>
    </w:pPr>
    <w:rPr>
      <w:szCs w:val="20"/>
    </w:rPr>
  </w:style>
  <w:style w:type="paragraph" w:customStyle="1" w:styleId="254">
    <w:name w:val="Char3 Char Char Char"/>
    <w:basedOn w:val="1"/>
    <w:autoRedefine/>
    <w:qFormat/>
    <w:uiPriority w:val="0"/>
  </w:style>
  <w:style w:type="paragraph" w:customStyle="1" w:styleId="255">
    <w:name w:val="文档正文"/>
    <w:basedOn w:val="1"/>
    <w:autoRedefine/>
    <w:qFormat/>
    <w:uiPriority w:val="0"/>
    <w:pPr>
      <w:adjustRightInd w:val="0"/>
      <w:spacing w:line="300" w:lineRule="auto"/>
      <w:ind w:firstLine="567"/>
      <w:textAlignment w:val="baseline"/>
    </w:pPr>
    <w:rPr>
      <w:kern w:val="0"/>
      <w:sz w:val="24"/>
      <w:szCs w:val="20"/>
    </w:rPr>
  </w:style>
  <w:style w:type="paragraph" w:customStyle="1" w:styleId="256">
    <w:name w:val="_Style 253"/>
    <w:basedOn w:val="6"/>
    <w:next w:val="1"/>
    <w:autoRedefine/>
    <w:qFormat/>
    <w:uiPriority w:val="0"/>
    <w:pPr>
      <w:widowControl/>
      <w:spacing w:before="480" w:line="276" w:lineRule="auto"/>
      <w:jc w:val="left"/>
      <w:outlineLvl w:val="9"/>
    </w:pPr>
    <w:rPr>
      <w:rFonts w:ascii="Cambria" w:hAnsi="Cambria"/>
      <w:bCs/>
      <w:color w:val="365F91"/>
      <w:kern w:val="0"/>
      <w:sz w:val="28"/>
      <w:szCs w:val="28"/>
    </w:rPr>
  </w:style>
  <w:style w:type="paragraph" w:customStyle="1" w:styleId="257">
    <w:name w:val="正文文字表格居中"/>
    <w:basedOn w:val="1"/>
    <w:next w:val="50"/>
    <w:autoRedefine/>
    <w:qFormat/>
    <w:uiPriority w:val="0"/>
    <w:pPr>
      <w:autoSpaceDE w:val="0"/>
      <w:autoSpaceDN w:val="0"/>
      <w:adjustRightInd w:val="0"/>
      <w:snapToGrid w:val="0"/>
      <w:spacing w:line="360" w:lineRule="auto"/>
      <w:jc w:val="left"/>
    </w:pPr>
    <w:rPr>
      <w:rFonts w:ascii="宋体"/>
      <w:b/>
      <w:kern w:val="0"/>
      <w:sz w:val="24"/>
      <w:szCs w:val="20"/>
    </w:rPr>
  </w:style>
  <w:style w:type="paragraph" w:customStyle="1" w:styleId="258">
    <w:name w:val="Char Char1 Char Char Char Char Char Char Char Char Char Char Char Char Char Char"/>
    <w:basedOn w:val="1"/>
    <w:autoRedefine/>
    <w:qFormat/>
    <w:uiPriority w:val="0"/>
    <w:pPr>
      <w:widowControl/>
      <w:autoSpaceDE w:val="0"/>
      <w:autoSpaceDN w:val="0"/>
      <w:adjustRightInd w:val="0"/>
      <w:spacing w:after="160" w:line="240" w:lineRule="exact"/>
      <w:jc w:val="left"/>
    </w:pPr>
    <w:rPr>
      <w:kern w:val="0"/>
      <w:sz w:val="20"/>
      <w:szCs w:val="20"/>
    </w:rPr>
  </w:style>
  <w:style w:type="paragraph" w:customStyle="1" w:styleId="259">
    <w:name w:val="样式"/>
    <w:basedOn w:val="1"/>
    <w:autoRedefine/>
    <w:qFormat/>
    <w:uiPriority w:val="0"/>
    <w:pPr>
      <w:autoSpaceDE w:val="0"/>
      <w:autoSpaceDN w:val="0"/>
      <w:adjustRightInd w:val="0"/>
      <w:snapToGrid w:val="0"/>
      <w:spacing w:before="120" w:after="120" w:line="360" w:lineRule="auto"/>
      <w:jc w:val="left"/>
    </w:pPr>
    <w:rPr>
      <w:rFonts w:ascii="宋体"/>
      <w:kern w:val="0"/>
      <w:sz w:val="24"/>
      <w:szCs w:val="20"/>
    </w:rPr>
  </w:style>
  <w:style w:type="paragraph" w:customStyle="1" w:styleId="260">
    <w:name w:val="Char1 Char Char Char Char Char Char"/>
    <w:basedOn w:val="1"/>
    <w:autoRedefine/>
    <w:qFormat/>
    <w:uiPriority w:val="0"/>
    <w:rPr>
      <w:rFonts w:ascii="宋体" w:hAnsi="宋体"/>
      <w:color w:val="000000"/>
      <w:sz w:val="24"/>
    </w:rPr>
  </w:style>
  <w:style w:type="paragraph" w:customStyle="1" w:styleId="261">
    <w:name w:val="features1"/>
    <w:basedOn w:val="1"/>
    <w:autoRedefine/>
    <w:qFormat/>
    <w:uiPriority w:val="0"/>
    <w:pPr>
      <w:widowControl/>
      <w:spacing w:before="100" w:beforeAutospacing="1" w:after="100" w:afterAutospacing="1"/>
      <w:jc w:val="left"/>
    </w:pPr>
    <w:rPr>
      <w:rFonts w:ascii="宋体" w:hAnsi="宋体" w:cs="宋体"/>
      <w:b/>
      <w:bCs/>
      <w:kern w:val="0"/>
      <w:sz w:val="18"/>
      <w:szCs w:val="18"/>
    </w:rPr>
  </w:style>
  <w:style w:type="paragraph" w:customStyle="1" w:styleId="262">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Cs w:val="22"/>
    </w:rPr>
  </w:style>
  <w:style w:type="paragraph" w:customStyle="1" w:styleId="263">
    <w:name w:val="p16"/>
    <w:basedOn w:val="1"/>
    <w:autoRedefine/>
    <w:qFormat/>
    <w:uiPriority w:val="0"/>
    <w:pPr>
      <w:widowControl/>
    </w:pPr>
    <w:rPr>
      <w:rFonts w:ascii="Calibri" w:hAnsi="Calibri" w:cs="宋体"/>
      <w:kern w:val="0"/>
      <w:szCs w:val="21"/>
    </w:rPr>
  </w:style>
  <w:style w:type="paragraph" w:customStyle="1" w:styleId="264">
    <w:name w:val="表格文字（大）"/>
    <w:basedOn w:val="1"/>
    <w:autoRedefine/>
    <w:qFormat/>
    <w:uiPriority w:val="0"/>
    <w:pPr>
      <w:autoSpaceDE w:val="0"/>
      <w:autoSpaceDN w:val="0"/>
      <w:adjustRightInd w:val="0"/>
      <w:spacing w:before="20" w:after="20"/>
      <w:jc w:val="left"/>
    </w:pPr>
    <w:rPr>
      <w:rFonts w:ascii="Century Gothic" w:hAnsi="Century Gothic" w:cs="Century Gothic"/>
      <w:kern w:val="0"/>
      <w:sz w:val="24"/>
      <w:szCs w:val="20"/>
    </w:rPr>
  </w:style>
  <w:style w:type="paragraph" w:customStyle="1" w:styleId="265">
    <w:name w:val="xl91"/>
    <w:basedOn w:val="1"/>
    <w:autoRedefine/>
    <w:qFormat/>
    <w:uiPriority w:val="0"/>
    <w:pPr>
      <w:widowControl/>
      <w:pBdr>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6">
    <w:name w:val="xl92"/>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67">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268">
    <w:name w:val="正文_0"/>
    <w:autoRedefine/>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269">
    <w:name w:val="标准段落"/>
    <w:basedOn w:val="1"/>
    <w:autoRedefine/>
    <w:qFormat/>
    <w:uiPriority w:val="0"/>
    <w:pPr>
      <w:spacing w:after="120" w:line="360" w:lineRule="auto"/>
      <w:ind w:firstLine="420"/>
    </w:pPr>
    <w:rPr>
      <w:rFonts w:ascii="黑体" w:hAnsi="宋体" w:eastAsia="黑体"/>
      <w:b/>
      <w:spacing w:val="6"/>
      <w:szCs w:val="22"/>
    </w:rPr>
  </w:style>
  <w:style w:type="paragraph" w:customStyle="1" w:styleId="270">
    <w:name w:val="技术报告正文"/>
    <w:basedOn w:val="1"/>
    <w:autoRedefine/>
    <w:qFormat/>
    <w:uiPriority w:val="0"/>
    <w:pPr>
      <w:autoSpaceDE w:val="0"/>
      <w:autoSpaceDN w:val="0"/>
      <w:adjustRightInd w:val="0"/>
      <w:spacing w:beforeLines="50" w:line="440" w:lineRule="exact"/>
      <w:ind w:firstLine="538" w:firstLineChars="192"/>
      <w:jc w:val="left"/>
    </w:pPr>
    <w:rPr>
      <w:rFonts w:cs="Arial"/>
      <w:bCs/>
      <w:kern w:val="0"/>
      <w:sz w:val="28"/>
      <w:szCs w:val="20"/>
    </w:rPr>
  </w:style>
  <w:style w:type="paragraph" w:customStyle="1" w:styleId="271">
    <w:name w:val="默认段落字体 Para Char Char Char Char Char Char Char"/>
    <w:basedOn w:val="1"/>
    <w:autoRedefine/>
    <w:qFormat/>
    <w:uiPriority w:val="0"/>
  </w:style>
  <w:style w:type="paragraph" w:customStyle="1" w:styleId="272">
    <w:name w:val="简单回函地址"/>
    <w:basedOn w:val="1"/>
    <w:autoRedefine/>
    <w:qFormat/>
    <w:uiPriority w:val="0"/>
  </w:style>
  <w:style w:type="paragraph" w:customStyle="1" w:styleId="273">
    <w:name w:val="样式 样式 正文文本缩进 + 仿宋_GB2312 小四 首行缩进:  0 厘米 行距: 1.5 倍行距 + (中文) 仿宋_GB... Char Char"/>
    <w:basedOn w:val="1"/>
    <w:autoRedefine/>
    <w:qFormat/>
    <w:uiPriority w:val="0"/>
    <w:pPr>
      <w:autoSpaceDE w:val="0"/>
      <w:autoSpaceDN w:val="0"/>
      <w:adjustRightInd w:val="0"/>
      <w:spacing w:line="360" w:lineRule="auto"/>
      <w:ind w:firstLine="480" w:firstLineChars="200"/>
      <w:jc w:val="left"/>
    </w:pPr>
    <w:rPr>
      <w:rFonts w:ascii="仿宋_GB2312" w:eastAsia="新宋体"/>
      <w:kern w:val="0"/>
      <w:sz w:val="24"/>
      <w:szCs w:val="20"/>
    </w:rPr>
  </w:style>
  <w:style w:type="paragraph" w:customStyle="1" w:styleId="274">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275">
    <w:name w:val="Char Char13"/>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76">
    <w:name w:val="正文2"/>
    <w:basedOn w:val="1"/>
    <w:autoRedefine/>
    <w:qFormat/>
    <w:uiPriority w:val="0"/>
    <w:pPr>
      <w:autoSpaceDE w:val="0"/>
      <w:autoSpaceDN w:val="0"/>
      <w:adjustRightInd w:val="0"/>
      <w:spacing w:before="156" w:line="360" w:lineRule="auto"/>
      <w:ind w:firstLine="510" w:firstLineChars="200"/>
      <w:jc w:val="left"/>
    </w:pPr>
    <w:rPr>
      <w:kern w:val="0"/>
      <w:sz w:val="24"/>
      <w:szCs w:val="20"/>
    </w:rPr>
  </w:style>
  <w:style w:type="paragraph" w:customStyle="1" w:styleId="277">
    <w:name w:val="xl76"/>
    <w:basedOn w:val="1"/>
    <w:autoRedefine/>
    <w:qFormat/>
    <w:uiPriority w:val="0"/>
    <w:pPr>
      <w:widowControl/>
      <w:pBdr>
        <w:top w:val="single" w:color="auto" w:sz="4" w:space="0"/>
        <w:bottom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78">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79">
    <w:name w:val="正文字缩2字"/>
    <w:basedOn w:val="1"/>
    <w:autoRedefine/>
    <w:qFormat/>
    <w:uiPriority w:val="0"/>
    <w:pPr>
      <w:spacing w:before="60" w:after="60" w:line="360" w:lineRule="auto"/>
      <w:ind w:left="200" w:leftChars="200" w:firstLine="200" w:firstLineChars="200"/>
    </w:pPr>
    <w:rPr>
      <w:sz w:val="24"/>
    </w:rPr>
  </w:style>
  <w:style w:type="paragraph" w:customStyle="1" w:styleId="280">
    <w:name w:val="tabletext"/>
    <w:basedOn w:val="1"/>
    <w:autoRedefine/>
    <w:qFormat/>
    <w:uiPriority w:val="0"/>
    <w:pPr>
      <w:widowControl/>
      <w:spacing w:line="300" w:lineRule="atLeast"/>
      <w:jc w:val="left"/>
    </w:pPr>
    <w:rPr>
      <w:rFonts w:ascii="宋体" w:hAnsi="宋体" w:cs="宋体"/>
      <w:kern w:val="0"/>
      <w:sz w:val="18"/>
      <w:szCs w:val="18"/>
    </w:rPr>
  </w:style>
  <w:style w:type="paragraph" w:customStyle="1" w:styleId="281">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82">
    <w:name w:val="VIT-Text"/>
    <w:basedOn w:val="1"/>
    <w:autoRedefine/>
    <w:qFormat/>
    <w:uiPriority w:val="0"/>
    <w:pPr>
      <w:widowControl/>
      <w:tabs>
        <w:tab w:val="left" w:pos="709"/>
        <w:tab w:val="left" w:pos="3402"/>
        <w:tab w:val="left" w:pos="4536"/>
        <w:tab w:val="left" w:pos="5670"/>
        <w:tab w:val="decimal" w:pos="6804"/>
        <w:tab w:val="right" w:pos="9072"/>
      </w:tabs>
      <w:jc w:val="left"/>
    </w:pPr>
    <w:rPr>
      <w:rFonts w:ascii="Arial" w:hAnsi="Arial" w:eastAsia="PMingLiU"/>
      <w:kern w:val="0"/>
      <w:sz w:val="22"/>
      <w:szCs w:val="20"/>
      <w:lang w:val="de-DE" w:eastAsia="zh-TW"/>
    </w:rPr>
  </w:style>
  <w:style w:type="paragraph" w:customStyle="1" w:styleId="283">
    <w:name w:val="Char11"/>
    <w:basedOn w:val="1"/>
    <w:autoRedefine/>
    <w:qFormat/>
    <w:uiPriority w:val="0"/>
    <w:pPr>
      <w:autoSpaceDE w:val="0"/>
      <w:autoSpaceDN w:val="0"/>
      <w:adjustRightInd w:val="0"/>
      <w:jc w:val="left"/>
    </w:pPr>
    <w:rPr>
      <w:rFonts w:ascii="仿宋_GB2312" w:eastAsia="仿宋_GB2312"/>
      <w:b/>
      <w:kern w:val="0"/>
      <w:sz w:val="32"/>
      <w:szCs w:val="32"/>
    </w:rPr>
  </w:style>
  <w:style w:type="paragraph" w:customStyle="1" w:styleId="284">
    <w:name w:val="BodyText1I"/>
    <w:basedOn w:val="243"/>
    <w:autoRedefine/>
    <w:qFormat/>
    <w:uiPriority w:val="0"/>
    <w:pPr>
      <w:ind w:firstLine="420" w:firstLineChars="100"/>
    </w:pPr>
  </w:style>
  <w:style w:type="paragraph" w:customStyle="1" w:styleId="285">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86">
    <w:name w:val="xl82"/>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87">
    <w:name w:val="font6"/>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288">
    <w:name w:val="正文-宋体四号"/>
    <w:basedOn w:val="1"/>
    <w:autoRedefine/>
    <w:qFormat/>
    <w:uiPriority w:val="0"/>
    <w:pPr>
      <w:spacing w:line="360" w:lineRule="auto"/>
      <w:ind w:firstLine="560" w:firstLineChars="200"/>
    </w:pPr>
    <w:rPr>
      <w:rFonts w:cs="宋体"/>
      <w:sz w:val="28"/>
      <w:szCs w:val="20"/>
    </w:rPr>
  </w:style>
  <w:style w:type="paragraph" w:customStyle="1" w:styleId="289">
    <w:name w:val="四级条标题"/>
    <w:basedOn w:val="290"/>
    <w:next w:val="1"/>
    <w:autoRedefine/>
    <w:qFormat/>
    <w:uiPriority w:val="0"/>
    <w:pPr>
      <w:tabs>
        <w:tab w:val="left" w:pos="3889"/>
        <w:tab w:val="left" w:pos="4729"/>
        <w:tab w:val="left" w:pos="5149"/>
      </w:tabs>
      <w:ind w:left="5149"/>
      <w:outlineLvl w:val="5"/>
    </w:pPr>
  </w:style>
  <w:style w:type="paragraph" w:customStyle="1" w:styleId="290">
    <w:name w:val="三级条标题"/>
    <w:basedOn w:val="224"/>
    <w:next w:val="1"/>
    <w:autoRedefine/>
    <w:qFormat/>
    <w:uiPriority w:val="0"/>
    <w:pPr>
      <w:tabs>
        <w:tab w:val="left" w:pos="4729"/>
        <w:tab w:val="clear" w:pos="4309"/>
      </w:tabs>
      <w:ind w:left="4729"/>
      <w:outlineLvl w:val="4"/>
    </w:pPr>
  </w:style>
  <w:style w:type="paragraph" w:customStyle="1" w:styleId="291">
    <w:name w:val="Char21"/>
    <w:basedOn w:val="1"/>
    <w:autoRedefine/>
    <w:qFormat/>
    <w:uiPriority w:val="0"/>
    <w:pPr>
      <w:autoSpaceDE w:val="0"/>
      <w:autoSpaceDN w:val="0"/>
      <w:adjustRightInd w:val="0"/>
      <w:jc w:val="left"/>
    </w:pPr>
    <w:rPr>
      <w:rFonts w:ascii="仿宋_GB2312" w:eastAsia="仿宋_GB2312"/>
      <w:b/>
      <w:kern w:val="0"/>
      <w:sz w:val="32"/>
      <w:szCs w:val="32"/>
    </w:rPr>
  </w:style>
  <w:style w:type="paragraph" w:customStyle="1" w:styleId="292">
    <w:name w:val="正文－恩普"/>
    <w:basedOn w:val="9"/>
    <w:autoRedefine/>
    <w:qFormat/>
    <w:uiPriority w:val="0"/>
    <w:pPr>
      <w:adjustRightInd/>
      <w:spacing w:line="360" w:lineRule="auto"/>
      <w:ind w:firstLine="200" w:firstLineChars="200"/>
      <w:textAlignment w:val="auto"/>
    </w:pPr>
    <w:rPr>
      <w:kern w:val="2"/>
      <w:sz w:val="24"/>
      <w:szCs w:val="24"/>
    </w:rPr>
  </w:style>
  <w:style w:type="paragraph" w:customStyle="1" w:styleId="293">
    <w:name w:val="È±Ê¡ÎÄ±¾ Char"/>
    <w:basedOn w:val="1"/>
    <w:autoRedefine/>
    <w:qFormat/>
    <w:uiPriority w:val="0"/>
    <w:pPr>
      <w:widowControl/>
      <w:overflowPunct w:val="0"/>
      <w:autoSpaceDE w:val="0"/>
      <w:autoSpaceDN w:val="0"/>
      <w:adjustRightInd w:val="0"/>
      <w:textAlignment w:val="baseline"/>
    </w:pPr>
    <w:rPr>
      <w:szCs w:val="21"/>
      <w:lang w:val="zh-CN"/>
    </w:rPr>
  </w:style>
  <w:style w:type="paragraph" w:customStyle="1" w:styleId="294">
    <w:name w:val="正文 A A"/>
    <w:autoRedefine/>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customStyle="1" w:styleId="295">
    <w:name w:val="Char Char Char Char Char Char Char Char Char Char Char Char Char Char Char Char Char Char Char"/>
    <w:basedOn w:val="1"/>
    <w:qFormat/>
    <w:uiPriority w:val="0"/>
    <w:rPr>
      <w:rFonts w:ascii="仿宋_GB2312" w:eastAsia="仿宋_GB2312"/>
      <w:b/>
      <w:sz w:val="32"/>
      <w:szCs w:val="32"/>
    </w:rPr>
  </w:style>
  <w:style w:type="paragraph" w:customStyle="1" w:styleId="296">
    <w:name w:val="正文（首行缩进）"/>
    <w:basedOn w:val="24"/>
    <w:qFormat/>
    <w:uiPriority w:val="0"/>
    <w:pPr>
      <w:widowControl/>
      <w:overflowPunct w:val="0"/>
      <w:autoSpaceDE w:val="0"/>
      <w:autoSpaceDN w:val="0"/>
      <w:adjustRightInd w:val="0"/>
      <w:spacing w:beforeLines="50" w:after="120" w:line="400" w:lineRule="exact"/>
      <w:ind w:left="200" w:leftChars="200" w:firstLine="200" w:firstLineChars="200"/>
      <w:jc w:val="left"/>
      <w:textAlignment w:val="baseline"/>
    </w:pPr>
    <w:rPr>
      <w:spacing w:val="10"/>
      <w:kern w:val="0"/>
      <w:szCs w:val="20"/>
    </w:rPr>
  </w:style>
  <w:style w:type="paragraph" w:customStyle="1" w:styleId="297">
    <w:name w:val="xl7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kern w:val="0"/>
      <w:sz w:val="28"/>
      <w:szCs w:val="28"/>
    </w:rPr>
  </w:style>
  <w:style w:type="paragraph" w:customStyle="1" w:styleId="298">
    <w:name w:val="Char Char Char Char Char Char Char Char Char Char Char Char Char"/>
    <w:basedOn w:val="1"/>
    <w:qFormat/>
    <w:uiPriority w:val="0"/>
    <w:rPr>
      <w:rFonts w:ascii="Tahoma" w:hAnsi="Tahoma"/>
      <w:sz w:val="24"/>
      <w:szCs w:val="20"/>
    </w:rPr>
  </w:style>
  <w:style w:type="paragraph" w:customStyle="1" w:styleId="299">
    <w:name w:val="Char Char Char Char Char Char Char1"/>
    <w:basedOn w:val="1"/>
    <w:qFormat/>
    <w:uiPriority w:val="0"/>
    <w:rPr>
      <w:rFonts w:ascii="仿宋_GB2312" w:eastAsia="仿宋_GB2312"/>
      <w:b/>
      <w:sz w:val="32"/>
      <w:szCs w:val="32"/>
    </w:rPr>
  </w:style>
  <w:style w:type="paragraph" w:customStyle="1" w:styleId="300">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lang w:val="zh-CN"/>
    </w:rPr>
  </w:style>
  <w:style w:type="paragraph" w:customStyle="1" w:styleId="301">
    <w:name w:val="14"/>
    <w:basedOn w:val="1"/>
    <w:autoRedefine/>
    <w:qFormat/>
    <w:uiPriority w:val="0"/>
    <w:pPr>
      <w:snapToGrid w:val="0"/>
      <w:spacing w:beforeLines="30" w:line="288" w:lineRule="auto"/>
      <w:ind w:left="852" w:leftChars="355" w:firstLine="420" w:firstLineChars="175"/>
    </w:pPr>
    <w:rPr>
      <w:rFonts w:ascii="新宋体" w:hAnsi="新宋体"/>
      <w:sz w:val="24"/>
      <w:szCs w:val="20"/>
    </w:rPr>
  </w:style>
  <w:style w:type="paragraph" w:customStyle="1" w:styleId="302">
    <w:name w:val="列项——（一级）"/>
    <w:qFormat/>
    <w:uiPriority w:val="0"/>
    <w:pPr>
      <w:widowControl w:val="0"/>
      <w:tabs>
        <w:tab w:val="left" w:pos="854"/>
        <w:tab w:val="left" w:pos="1260"/>
      </w:tabs>
      <w:ind w:left="1260" w:hanging="420"/>
      <w:jc w:val="both"/>
    </w:pPr>
    <w:rPr>
      <w:rFonts w:ascii="宋体" w:hAnsi="Times New Roman" w:eastAsia="宋体" w:cs="Times New Roman"/>
      <w:sz w:val="21"/>
      <w:lang w:val="en-US" w:eastAsia="zh-CN" w:bidi="ar-SA"/>
    </w:rPr>
  </w:style>
  <w:style w:type="paragraph" w:customStyle="1" w:styleId="303">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新宋体" w:hAnsi="新宋体" w:eastAsia="新宋体" w:cs="宋体"/>
      <w:color w:val="000000"/>
      <w:kern w:val="0"/>
      <w:sz w:val="24"/>
    </w:rPr>
  </w:style>
  <w:style w:type="paragraph" w:customStyle="1" w:styleId="304">
    <w:name w:val="Char Char Char Char Char Char Char Char Char Char Char Char Char1"/>
    <w:basedOn w:val="1"/>
    <w:qFormat/>
    <w:uiPriority w:val="0"/>
  </w:style>
  <w:style w:type="paragraph" w:customStyle="1" w:styleId="305">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306">
    <w:name w:val="Char Char Char Char1"/>
    <w:basedOn w:val="1"/>
    <w:qFormat/>
    <w:uiPriority w:val="0"/>
    <w:pPr>
      <w:autoSpaceDE w:val="0"/>
      <w:autoSpaceDN w:val="0"/>
      <w:adjustRightInd w:val="0"/>
      <w:jc w:val="left"/>
    </w:pPr>
    <w:rPr>
      <w:rFonts w:ascii="Tahoma" w:hAnsi="Tahoma"/>
      <w:kern w:val="0"/>
      <w:sz w:val="24"/>
      <w:szCs w:val="20"/>
    </w:rPr>
  </w:style>
  <w:style w:type="paragraph" w:customStyle="1" w:styleId="307">
    <w:name w:val="Char Char"/>
    <w:basedOn w:val="1"/>
    <w:qFormat/>
    <w:uiPriority w:val="0"/>
    <w:rPr>
      <w:rFonts w:ascii="仿宋_GB2312" w:eastAsia="仿宋_GB2312"/>
      <w:b/>
      <w:sz w:val="32"/>
      <w:szCs w:val="32"/>
    </w:rPr>
  </w:style>
  <w:style w:type="paragraph" w:customStyle="1" w:styleId="308">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09">
    <w:name w:val="五级条标题"/>
    <w:basedOn w:val="289"/>
    <w:next w:val="1"/>
    <w:qFormat/>
    <w:uiPriority w:val="0"/>
    <w:pPr>
      <w:tabs>
        <w:tab w:val="left" w:pos="5569"/>
        <w:tab w:val="clear" w:pos="5149"/>
      </w:tabs>
      <w:ind w:left="5569"/>
      <w:outlineLvl w:val="6"/>
    </w:pPr>
  </w:style>
  <w:style w:type="paragraph" w:customStyle="1" w:styleId="310">
    <w:name w:val="xl80"/>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11">
    <w:name w:val="xl25"/>
    <w:basedOn w:val="1"/>
    <w:qFormat/>
    <w:uiPriority w:val="0"/>
    <w:pPr>
      <w:widowControl/>
      <w:autoSpaceDE w:val="0"/>
      <w:autoSpaceDN w:val="0"/>
      <w:adjustRightInd w:val="0"/>
      <w:spacing w:before="100" w:beforeAutospacing="1" w:after="100" w:afterAutospacing="1"/>
      <w:jc w:val="center"/>
      <w:textAlignment w:val="center"/>
    </w:pPr>
    <w:rPr>
      <w:rFonts w:hint="eastAsia" w:ascii="楷体_GB2312" w:hAnsi="宋体" w:eastAsia="楷体_GB2312"/>
      <w:kern w:val="0"/>
      <w:sz w:val="24"/>
      <w:szCs w:val="20"/>
    </w:rPr>
  </w:style>
  <w:style w:type="paragraph" w:customStyle="1" w:styleId="312">
    <w:name w:val="xl8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313">
    <w:name w:val="标题五"/>
    <w:basedOn w:val="1"/>
    <w:qFormat/>
    <w:uiPriority w:val="0"/>
    <w:pPr>
      <w:tabs>
        <w:tab w:val="left" w:pos="1440"/>
      </w:tabs>
      <w:autoSpaceDE w:val="0"/>
      <w:autoSpaceDN w:val="0"/>
      <w:adjustRightInd w:val="0"/>
      <w:spacing w:beforeLines="50" w:line="360" w:lineRule="auto"/>
      <w:ind w:left="1440" w:hanging="420"/>
      <w:jc w:val="left"/>
    </w:pPr>
    <w:rPr>
      <w:b/>
      <w:kern w:val="0"/>
      <w:sz w:val="24"/>
      <w:szCs w:val="20"/>
    </w:rPr>
  </w:style>
  <w:style w:type="paragraph" w:customStyle="1" w:styleId="314">
    <w:name w:val="正文样式 首行缩进:  0.74 厘米"/>
    <w:basedOn w:val="1"/>
    <w:qFormat/>
    <w:uiPriority w:val="0"/>
    <w:pPr>
      <w:autoSpaceDE w:val="0"/>
      <w:autoSpaceDN w:val="0"/>
      <w:adjustRightInd w:val="0"/>
      <w:spacing w:beforeLines="50" w:line="360" w:lineRule="auto"/>
      <w:ind w:firstLine="420"/>
      <w:jc w:val="left"/>
    </w:pPr>
    <w:rPr>
      <w:rFonts w:cs="宋体"/>
      <w:kern w:val="0"/>
      <w:sz w:val="24"/>
      <w:szCs w:val="20"/>
    </w:rPr>
  </w:style>
  <w:style w:type="paragraph" w:customStyle="1" w:styleId="315">
    <w:name w:val="ÕýÎÄÊ×ÐÐËõ½ø"/>
    <w:basedOn w:val="1"/>
    <w:qFormat/>
    <w:uiPriority w:val="0"/>
    <w:pPr>
      <w:widowControl/>
      <w:overflowPunct w:val="0"/>
      <w:autoSpaceDE w:val="0"/>
      <w:autoSpaceDN w:val="0"/>
      <w:adjustRightInd w:val="0"/>
      <w:spacing w:line="360" w:lineRule="auto"/>
      <w:ind w:left="1134"/>
      <w:jc w:val="left"/>
      <w:textAlignment w:val="baseline"/>
    </w:pPr>
    <w:rPr>
      <w:rFonts w:eastAsia="Times New Roman"/>
      <w:kern w:val="0"/>
      <w:sz w:val="20"/>
      <w:szCs w:val="20"/>
    </w:rPr>
  </w:style>
  <w:style w:type="paragraph" w:customStyle="1" w:styleId="316">
    <w:name w:val="1 Char"/>
    <w:basedOn w:val="9"/>
    <w:qFormat/>
    <w:uiPriority w:val="0"/>
    <w:pPr>
      <w:adjustRightInd/>
      <w:spacing w:line="360" w:lineRule="auto"/>
      <w:ind w:firstLine="200" w:firstLineChars="200"/>
      <w:textAlignment w:val="auto"/>
    </w:pPr>
    <w:rPr>
      <w:kern w:val="2"/>
    </w:rPr>
  </w:style>
  <w:style w:type="paragraph" w:customStyle="1" w:styleId="317">
    <w:name w:val="p0"/>
    <w:basedOn w:val="1"/>
    <w:qFormat/>
    <w:uiPriority w:val="0"/>
    <w:pPr>
      <w:widowControl/>
    </w:pPr>
    <w:rPr>
      <w:kern w:val="0"/>
      <w:szCs w:val="21"/>
    </w:rPr>
  </w:style>
  <w:style w:type="paragraph" w:customStyle="1" w:styleId="318">
    <w:name w:val="正文 首行缩进:  2 字符 Char"/>
    <w:basedOn w:val="1"/>
    <w:qFormat/>
    <w:uiPriority w:val="0"/>
    <w:pPr>
      <w:spacing w:line="360" w:lineRule="auto"/>
      <w:ind w:firstLine="480"/>
    </w:pPr>
    <w:rPr>
      <w:rFonts w:cs="宋体"/>
      <w:sz w:val="24"/>
      <w:szCs w:val="20"/>
    </w:rPr>
  </w:style>
  <w:style w:type="paragraph" w:customStyle="1" w:styleId="319">
    <w:name w:val="章标题"/>
    <w:next w:val="1"/>
    <w:qFormat/>
    <w:uiPriority w:val="0"/>
    <w:pPr>
      <w:tabs>
        <w:tab w:val="left" w:pos="3469"/>
      </w:tabs>
      <w:spacing w:beforeLines="50" w:afterLines="50"/>
      <w:ind w:left="3469" w:hanging="420"/>
      <w:jc w:val="both"/>
      <w:outlineLvl w:val="1"/>
    </w:pPr>
    <w:rPr>
      <w:rFonts w:ascii="黑体" w:hAnsi="Times New Roman" w:eastAsia="黑体" w:cs="Times New Roman"/>
      <w:sz w:val="21"/>
      <w:lang w:val="en-US" w:eastAsia="zh-CN" w:bidi="ar-SA"/>
    </w:rPr>
  </w:style>
  <w:style w:type="paragraph" w:customStyle="1" w:styleId="320">
    <w:name w:val="xl7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21">
    <w:name w:val="样式5"/>
    <w:basedOn w:val="9"/>
    <w:qFormat/>
    <w:uiPriority w:val="0"/>
    <w:pPr>
      <w:adjustRightInd/>
      <w:spacing w:line="360" w:lineRule="auto"/>
      <w:ind w:firstLine="200" w:firstLineChars="200"/>
      <w:textAlignment w:val="auto"/>
    </w:pPr>
    <w:rPr>
      <w:sz w:val="28"/>
      <w:szCs w:val="21"/>
    </w:rPr>
  </w:style>
  <w:style w:type="paragraph" w:customStyle="1" w:styleId="322">
    <w:name w:val="Char13"/>
    <w:basedOn w:val="1"/>
    <w:qFormat/>
    <w:uiPriority w:val="0"/>
    <w:pPr>
      <w:widowControl/>
      <w:spacing w:after="160" w:line="240" w:lineRule="exact"/>
      <w:jc w:val="left"/>
    </w:pPr>
    <w:rPr>
      <w:rFonts w:ascii="Verdana" w:hAnsi="Verdana"/>
      <w:kern w:val="0"/>
      <w:sz w:val="20"/>
      <w:szCs w:val="20"/>
      <w:lang w:eastAsia="en-US"/>
    </w:rPr>
  </w:style>
  <w:style w:type="paragraph" w:customStyle="1" w:styleId="323">
    <w:name w:val="Table Contents"/>
    <w:basedOn w:val="1"/>
    <w:qFormat/>
    <w:uiPriority w:val="0"/>
    <w:pPr>
      <w:suppressAutoHyphens/>
      <w:autoSpaceDE w:val="0"/>
      <w:autoSpaceDN w:val="0"/>
      <w:adjustRightInd w:val="0"/>
      <w:spacing w:after="120"/>
      <w:jc w:val="left"/>
    </w:pPr>
    <w:rPr>
      <w:rFonts w:ascii="Helvetica" w:hAnsi="Helvetica"/>
      <w:kern w:val="1"/>
      <w:sz w:val="20"/>
      <w:szCs w:val="20"/>
    </w:rPr>
  </w:style>
  <w:style w:type="paragraph" w:customStyle="1" w:styleId="324">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325">
    <w:name w:val="标准小四"/>
    <w:basedOn w:val="1"/>
    <w:qFormat/>
    <w:uiPriority w:val="0"/>
    <w:pPr>
      <w:autoSpaceDE w:val="0"/>
      <w:autoSpaceDN w:val="0"/>
      <w:adjustRightInd w:val="0"/>
      <w:spacing w:line="360" w:lineRule="auto"/>
      <w:ind w:firstLine="480" w:firstLineChars="200"/>
      <w:jc w:val="left"/>
    </w:pPr>
    <w:rPr>
      <w:rFonts w:ascii="Arial" w:hAnsi="Arial"/>
      <w:kern w:val="0"/>
      <w:sz w:val="24"/>
      <w:szCs w:val="21"/>
    </w:rPr>
  </w:style>
  <w:style w:type="paragraph" w:customStyle="1" w:styleId="326">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327">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328">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32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330">
    <w:name w:val="font91"/>
    <w:basedOn w:val="57"/>
    <w:qFormat/>
    <w:uiPriority w:val="0"/>
    <w:rPr>
      <w:rFonts w:hint="default" w:ascii="Noto Sans CJK JP Regular" w:hAnsi="Noto Sans CJK JP Regular" w:eastAsia="Noto Sans CJK JP Regular" w:cs="Noto Sans CJK JP Regular"/>
      <w:color w:val="000000"/>
      <w:sz w:val="21"/>
      <w:szCs w:val="21"/>
      <w:u w:val="none"/>
    </w:rPr>
  </w:style>
  <w:style w:type="paragraph" w:customStyle="1" w:styleId="331">
    <w:name w:val="Table Paragraph"/>
    <w:basedOn w:val="1"/>
    <w:qFormat/>
    <w:uiPriority w:val="1"/>
    <w:pPr>
      <w:autoSpaceDE w:val="0"/>
      <w:autoSpaceDN w:val="0"/>
      <w:spacing w:line="210" w:lineRule="exact"/>
      <w:jc w:val="left"/>
    </w:pPr>
    <w:rPr>
      <w:rFonts w:ascii="宋体" w:hAnsi="宋体" w:cs="宋体"/>
      <w:kern w:val="0"/>
      <w:sz w:val="22"/>
    </w:rPr>
  </w:style>
  <w:style w:type="character" w:customStyle="1" w:styleId="332">
    <w:name w:val="NormalCharacter"/>
    <w:autoRedefine/>
    <w:qFormat/>
    <w:uiPriority w:val="0"/>
    <w:rPr>
      <w:kern w:val="2"/>
      <w:sz w:val="21"/>
      <w:szCs w:val="24"/>
      <w:lang w:val="en-US" w:eastAsia="zh-CN" w:bidi="ar-SA"/>
    </w:rPr>
  </w:style>
  <w:style w:type="paragraph" w:customStyle="1" w:styleId="333">
    <w:name w:val="AbsatzTableFormat"/>
    <w:basedOn w:val="1"/>
    <w:autoRedefine/>
    <w:qFormat/>
    <w:uiPriority w:val="0"/>
    <w:pPr>
      <w:widowControl/>
      <w:jc w:val="left"/>
    </w:pPr>
    <w:rPr>
      <w:rFonts w:ascii="Arial Narrow" w:hAnsi="Arial Narrow"/>
      <w:bCs/>
      <w:kern w:val="0"/>
      <w:sz w:val="22"/>
      <w:szCs w:val="21"/>
      <w:lang w:val="de-DE"/>
    </w:rPr>
  </w:style>
  <w:style w:type="character" w:customStyle="1" w:styleId="334">
    <w:name w:val="Anrede1IhrZeichen"/>
    <w:autoRedefine/>
    <w:qFormat/>
    <w:uiPriority w:val="0"/>
    <w:rPr>
      <w:rFonts w:hint="default" w:ascii="Arial" w:hAnsi="Arial"/>
      <w:sz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4.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中国远东国际贸易总公司</Company>
  <Pages>63</Pages>
  <Words>19131</Words>
  <Characters>20047</Characters>
  <Lines>1</Lines>
  <Paragraphs>1</Paragraphs>
  <TotalTime>28</TotalTime>
  <ScaleCrop>false</ScaleCrop>
  <LinksUpToDate>false</LinksUpToDate>
  <CharactersWithSpaces>20714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2022-03-08T00:29:00Z</dcterms:created>
  <dc:creator>zyq</dc:creator>
  <cp:lastModifiedBy>历程</cp:lastModifiedBy>
  <cp:lastPrinted>2024-11-06T13:51:00Z</cp:lastPrinted>
  <dcterms:modified xsi:type="dcterms:W3CDTF">2025-04-03T09:35:39Z</dcterms:modified>
  <dc:title>招标文件目录</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17854C3245CC455EB86CBD3F93D34097_13</vt:lpwstr>
  </property>
  <property fmtid="{D5CDD505-2E9C-101B-9397-08002B2CF9AE}" pid="4" name="KSOTemplateDocerSaveRecord">
    <vt:lpwstr>eyJoZGlkIjoiY2E0NmYwMTIwOTRmM2U5ZmE5ZmRkOTg1NDdjYzQ4Y2QiLCJ1c2VySWQiOiIxNTUyNTMyNzYyIn0=</vt:lpwstr>
  </property>
</Properties>
</file>