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CC9B36B">
      <w:pPr>
        <w:adjustRightInd w:val="0"/>
        <w:snapToGrid w:val="0"/>
        <w:spacing w:line="480" w:lineRule="auto"/>
        <w:ind w:right="361"/>
        <w:jc w:val="distribute"/>
        <w:rPr>
          <w:rFonts w:ascii="新宋体" w:hAnsi="新宋体" w:eastAsia="新宋体" w:cs="新宋体"/>
          <w:b/>
          <w:bCs/>
          <w:color w:val="auto"/>
          <w:spacing w:val="20"/>
          <w:sz w:val="22"/>
          <w:szCs w:val="6"/>
          <w:highlight w:val="none"/>
        </w:rPr>
      </w:pPr>
      <w:bookmarkStart w:id="68" w:name="_GoBack"/>
    </w:p>
    <w:p w14:paraId="78215794">
      <w:pPr>
        <w:pStyle w:val="63"/>
        <w:spacing w:before="156" w:after="156"/>
        <w:ind w:firstLine="420"/>
        <w:rPr>
          <w:color w:val="auto"/>
          <w:highlight w:val="none"/>
        </w:rPr>
      </w:pPr>
    </w:p>
    <w:p w14:paraId="1FAF4127">
      <w:pPr>
        <w:adjustRightInd w:val="0"/>
        <w:snapToGrid w:val="0"/>
        <w:spacing w:line="480" w:lineRule="auto"/>
        <w:ind w:right="361"/>
        <w:jc w:val="distribute"/>
        <w:rPr>
          <w:rFonts w:ascii="新宋体" w:hAnsi="新宋体" w:eastAsia="新宋体" w:cs="新宋体"/>
          <w:b/>
          <w:bCs/>
          <w:color w:val="auto"/>
          <w:sz w:val="72"/>
          <w:szCs w:val="72"/>
          <w:highlight w:val="none"/>
        </w:rPr>
      </w:pPr>
      <w:r>
        <w:rPr>
          <w:rFonts w:hint="eastAsia" w:ascii="新宋体" w:hAnsi="新宋体" w:eastAsia="新宋体" w:cs="新宋体"/>
          <w:b/>
          <w:bCs/>
          <w:color w:val="auto"/>
          <w:spacing w:val="20"/>
          <w:sz w:val="84"/>
          <w:highlight w:val="none"/>
        </w:rPr>
        <w:t>温州市政府（分散）采购</w:t>
      </w:r>
    </w:p>
    <w:p w14:paraId="5CA02D6F">
      <w:pPr>
        <w:adjustRightInd w:val="0"/>
        <w:snapToGrid w:val="0"/>
        <w:spacing w:line="480" w:lineRule="auto"/>
        <w:ind w:right="361"/>
        <w:rPr>
          <w:rFonts w:ascii="新宋体" w:hAnsi="新宋体" w:eastAsia="新宋体" w:cs="新宋体"/>
          <w:color w:val="auto"/>
          <w:sz w:val="32"/>
          <w:szCs w:val="32"/>
          <w:highlight w:val="none"/>
        </w:rPr>
      </w:pPr>
    </w:p>
    <w:p w14:paraId="77E8AE74">
      <w:pPr>
        <w:adjustRightInd w:val="0"/>
        <w:snapToGrid w:val="0"/>
        <w:spacing w:line="480" w:lineRule="auto"/>
        <w:ind w:right="361"/>
        <w:jc w:val="center"/>
        <w:rPr>
          <w:rFonts w:ascii="新宋体" w:hAnsi="新宋体" w:eastAsia="新宋体" w:cs="新宋体"/>
          <w:b/>
          <w:bCs/>
          <w:color w:val="auto"/>
          <w:sz w:val="72"/>
          <w:szCs w:val="72"/>
          <w:highlight w:val="none"/>
        </w:rPr>
      </w:pPr>
      <w:r>
        <w:rPr>
          <w:rFonts w:hint="eastAsia" w:ascii="新宋体" w:hAnsi="新宋体" w:eastAsia="新宋体" w:cs="新宋体"/>
          <w:b/>
          <w:bCs/>
          <w:color w:val="auto"/>
          <w:sz w:val="72"/>
          <w:szCs w:val="72"/>
          <w:highlight w:val="none"/>
        </w:rPr>
        <w:t>招 标 文 件</w:t>
      </w:r>
    </w:p>
    <w:p w14:paraId="44476FBA">
      <w:pPr>
        <w:pStyle w:val="25"/>
        <w:ind w:left="0" w:leftChars="0"/>
        <w:rPr>
          <w:rFonts w:ascii="新宋体" w:hAnsi="新宋体" w:eastAsia="新宋体" w:cs="新宋体"/>
          <w:color w:val="auto"/>
          <w:highlight w:val="none"/>
        </w:rPr>
      </w:pPr>
    </w:p>
    <w:p w14:paraId="1DFF9D6A">
      <w:pPr>
        <w:spacing w:line="700" w:lineRule="exact"/>
        <w:ind w:firstLine="1200" w:firstLineChars="400"/>
        <w:jc w:val="left"/>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color w:val="auto"/>
          <w:sz w:val="30"/>
          <w:szCs w:val="30"/>
          <w:highlight w:val="none"/>
        </w:rPr>
        <w:t>项目编号</w:t>
      </w:r>
      <w:r>
        <w:rPr>
          <w:rFonts w:hint="eastAsia" w:ascii="新宋体" w:hAnsi="新宋体" w:eastAsia="新宋体" w:cs="新宋体"/>
          <w:color w:val="auto"/>
          <w:spacing w:val="40"/>
          <w:sz w:val="28"/>
          <w:highlight w:val="none"/>
        </w:rPr>
        <w:t>：</w:t>
      </w:r>
      <w:r>
        <w:rPr>
          <w:rFonts w:hint="eastAsia" w:ascii="新宋体" w:hAnsi="新宋体" w:eastAsia="新宋体" w:cs="新宋体"/>
          <w:color w:val="auto"/>
          <w:sz w:val="30"/>
          <w:szCs w:val="30"/>
          <w:highlight w:val="none"/>
          <w:lang w:eastAsia="zh-CN"/>
        </w:rPr>
        <w:t>WZLCZB（L）-2025-03069</w:t>
      </w:r>
    </w:p>
    <w:p w14:paraId="2355139E">
      <w:pPr>
        <w:spacing w:line="700" w:lineRule="exact"/>
        <w:ind w:firstLine="1200" w:firstLineChars="400"/>
        <w:jc w:val="left"/>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color w:val="auto"/>
          <w:sz w:val="30"/>
          <w:szCs w:val="30"/>
          <w:highlight w:val="none"/>
        </w:rPr>
        <w:t>项目名称</w:t>
      </w:r>
      <w:r>
        <w:rPr>
          <w:rFonts w:hint="eastAsia" w:ascii="新宋体" w:hAnsi="新宋体" w:eastAsia="新宋体" w:cs="新宋体"/>
          <w:color w:val="auto"/>
          <w:spacing w:val="40"/>
          <w:sz w:val="30"/>
          <w:szCs w:val="30"/>
          <w:highlight w:val="none"/>
        </w:rPr>
        <w:t>：</w:t>
      </w:r>
      <w:r>
        <w:rPr>
          <w:rFonts w:hint="eastAsia" w:ascii="新宋体" w:hAnsi="新宋体" w:eastAsia="新宋体" w:cs="新宋体"/>
          <w:color w:val="auto"/>
          <w:sz w:val="30"/>
          <w:szCs w:val="30"/>
          <w:highlight w:val="none"/>
          <w:lang w:eastAsia="zh-CN"/>
        </w:rPr>
        <w:t>多导睡眠监测系统、便携睡眠监测仪、呼吸机</w:t>
      </w:r>
    </w:p>
    <w:p w14:paraId="28DFF1E4">
      <w:pPr>
        <w:spacing w:line="700" w:lineRule="exact"/>
        <w:ind w:firstLine="1200" w:firstLineChars="400"/>
        <w:jc w:val="left"/>
        <w:rPr>
          <w:rFonts w:ascii="新宋体" w:hAnsi="新宋体" w:eastAsia="新宋体" w:cs="新宋体"/>
          <w:color w:val="auto"/>
          <w:spacing w:val="40"/>
          <w:sz w:val="30"/>
          <w:szCs w:val="30"/>
          <w:highlight w:val="none"/>
        </w:rPr>
      </w:pPr>
      <w:r>
        <w:rPr>
          <w:rFonts w:hint="eastAsia" w:ascii="新宋体" w:hAnsi="新宋体" w:eastAsia="新宋体" w:cs="新宋体"/>
          <w:color w:val="auto"/>
          <w:sz w:val="30"/>
          <w:szCs w:val="30"/>
          <w:highlight w:val="none"/>
        </w:rPr>
        <w:t>采购方式</w:t>
      </w:r>
      <w:r>
        <w:rPr>
          <w:rFonts w:hint="eastAsia" w:ascii="新宋体" w:hAnsi="新宋体" w:eastAsia="新宋体" w:cs="新宋体"/>
          <w:color w:val="auto"/>
          <w:spacing w:val="40"/>
          <w:sz w:val="30"/>
          <w:szCs w:val="30"/>
          <w:highlight w:val="none"/>
        </w:rPr>
        <w:t>：</w:t>
      </w:r>
      <w:r>
        <w:rPr>
          <w:rFonts w:hint="eastAsia" w:ascii="新宋体" w:hAnsi="新宋体" w:eastAsia="新宋体" w:cs="新宋体"/>
          <w:color w:val="auto"/>
          <w:sz w:val="30"/>
          <w:szCs w:val="30"/>
          <w:highlight w:val="none"/>
        </w:rPr>
        <w:t>公开招标</w:t>
      </w:r>
    </w:p>
    <w:p w14:paraId="380FDEE0">
      <w:pPr>
        <w:spacing w:line="700" w:lineRule="exact"/>
        <w:ind w:firstLine="1200" w:firstLineChars="400"/>
        <w:jc w:val="left"/>
        <w:rPr>
          <w:rFonts w:ascii="新宋体" w:hAnsi="新宋体" w:eastAsia="新宋体" w:cs="新宋体"/>
          <w:color w:val="auto"/>
          <w:spacing w:val="40"/>
          <w:sz w:val="30"/>
          <w:szCs w:val="30"/>
          <w:highlight w:val="none"/>
        </w:rPr>
      </w:pPr>
      <w:r>
        <w:rPr>
          <w:rFonts w:hint="eastAsia" w:ascii="新宋体" w:hAnsi="新宋体" w:eastAsia="新宋体" w:cs="新宋体"/>
          <w:color w:val="auto"/>
          <w:sz w:val="30"/>
          <w:szCs w:val="30"/>
          <w:highlight w:val="none"/>
        </w:rPr>
        <w:t>评审方式</w:t>
      </w:r>
      <w:r>
        <w:rPr>
          <w:rFonts w:hint="eastAsia" w:ascii="新宋体" w:hAnsi="新宋体" w:eastAsia="新宋体" w:cs="新宋体"/>
          <w:color w:val="auto"/>
          <w:spacing w:val="40"/>
          <w:sz w:val="30"/>
          <w:szCs w:val="30"/>
          <w:highlight w:val="none"/>
        </w:rPr>
        <w:t>：</w:t>
      </w:r>
      <w:r>
        <w:rPr>
          <w:rFonts w:hint="eastAsia" w:ascii="新宋体" w:hAnsi="新宋体" w:eastAsia="新宋体" w:cs="新宋体"/>
          <w:color w:val="auto"/>
          <w:sz w:val="30"/>
          <w:szCs w:val="30"/>
          <w:highlight w:val="none"/>
        </w:rPr>
        <w:t>线上电子招投标</w:t>
      </w:r>
    </w:p>
    <w:p w14:paraId="628BD3CF">
      <w:pPr>
        <w:spacing w:line="700" w:lineRule="exact"/>
        <w:jc w:val="left"/>
        <w:rPr>
          <w:rFonts w:ascii="新宋体" w:hAnsi="新宋体" w:eastAsia="新宋体" w:cs="新宋体"/>
          <w:b/>
          <w:bCs/>
          <w:color w:val="auto"/>
          <w:sz w:val="24"/>
          <w:highlight w:val="none"/>
        </w:rPr>
      </w:pPr>
    </w:p>
    <w:p w14:paraId="0786489C">
      <w:pPr>
        <w:spacing w:line="700" w:lineRule="exact"/>
        <w:jc w:val="left"/>
        <w:rPr>
          <w:rFonts w:ascii="新宋体" w:hAnsi="新宋体" w:eastAsia="新宋体" w:cs="新宋体"/>
          <w:b/>
          <w:color w:val="auto"/>
          <w:spacing w:val="40"/>
          <w:sz w:val="30"/>
          <w:szCs w:val="30"/>
          <w:highlight w:val="none"/>
        </w:rPr>
      </w:pPr>
    </w:p>
    <w:p w14:paraId="60391D62">
      <w:pPr>
        <w:spacing w:line="700" w:lineRule="exact"/>
        <w:rPr>
          <w:rFonts w:ascii="新宋体" w:hAnsi="新宋体" w:eastAsia="新宋体" w:cs="新宋体"/>
          <w:b/>
          <w:color w:val="auto"/>
          <w:spacing w:val="40"/>
          <w:sz w:val="30"/>
          <w:szCs w:val="30"/>
          <w:highlight w:val="none"/>
        </w:rPr>
      </w:pPr>
    </w:p>
    <w:p w14:paraId="7AF8EB12">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lang w:eastAsia="zh-CN"/>
        </w:rPr>
        <w:t>招标人</w:t>
      </w:r>
      <w:r>
        <w:rPr>
          <w:rFonts w:hint="eastAsia" w:ascii="新宋体" w:hAnsi="新宋体" w:eastAsia="新宋体" w:cs="新宋体"/>
          <w:color w:val="auto"/>
          <w:spacing w:val="30"/>
          <w:sz w:val="30"/>
          <w:highlight w:val="none"/>
        </w:rPr>
        <w:t>：</w:t>
      </w:r>
      <w:r>
        <w:rPr>
          <w:rFonts w:hint="eastAsia" w:ascii="新宋体" w:hAnsi="新宋体" w:eastAsia="新宋体" w:cs="新宋体"/>
          <w:color w:val="auto"/>
          <w:spacing w:val="30"/>
          <w:sz w:val="30"/>
          <w:highlight w:val="none"/>
          <w:lang w:eastAsia="zh-CN"/>
        </w:rPr>
        <w:t>温州市第七人民医院</w:t>
      </w:r>
    </w:p>
    <w:p w14:paraId="126000F7">
      <w:pPr>
        <w:spacing w:line="600" w:lineRule="exact"/>
        <w:jc w:val="center"/>
        <w:rPr>
          <w:rFonts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lang w:eastAsia="zh-CN"/>
        </w:rPr>
        <w:t>招标代理机构</w:t>
      </w:r>
      <w:r>
        <w:rPr>
          <w:rFonts w:hint="eastAsia" w:ascii="新宋体" w:hAnsi="新宋体" w:eastAsia="新宋体" w:cs="新宋体"/>
          <w:color w:val="auto"/>
          <w:spacing w:val="30"/>
          <w:sz w:val="30"/>
          <w:highlight w:val="none"/>
        </w:rPr>
        <w:t>：温州历程招标有限公司</w:t>
      </w:r>
    </w:p>
    <w:p w14:paraId="4F7AF034">
      <w:pPr>
        <w:spacing w:line="600" w:lineRule="exact"/>
        <w:jc w:val="center"/>
        <w:rPr>
          <w:rFonts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rPr>
        <w:t>二〇二</w:t>
      </w:r>
      <w:r>
        <w:rPr>
          <w:rFonts w:hint="eastAsia" w:ascii="新宋体" w:hAnsi="新宋体" w:eastAsia="新宋体" w:cs="新宋体"/>
          <w:color w:val="auto"/>
          <w:spacing w:val="30"/>
          <w:sz w:val="30"/>
          <w:highlight w:val="none"/>
          <w:lang w:val="en-US" w:eastAsia="zh-CN"/>
        </w:rPr>
        <w:t>五</w:t>
      </w:r>
      <w:r>
        <w:rPr>
          <w:rFonts w:hint="eastAsia" w:ascii="新宋体" w:hAnsi="新宋体" w:eastAsia="新宋体" w:cs="新宋体"/>
          <w:color w:val="auto"/>
          <w:spacing w:val="30"/>
          <w:sz w:val="30"/>
          <w:highlight w:val="none"/>
        </w:rPr>
        <w:t>年</w:t>
      </w:r>
      <w:r>
        <w:rPr>
          <w:rFonts w:hint="eastAsia" w:ascii="新宋体" w:hAnsi="新宋体" w:eastAsia="新宋体" w:cs="新宋体"/>
          <w:color w:val="auto"/>
          <w:spacing w:val="30"/>
          <w:sz w:val="30"/>
          <w:highlight w:val="none"/>
          <w:lang w:val="en-US" w:eastAsia="zh-CN"/>
        </w:rPr>
        <w:t>三</w:t>
      </w:r>
      <w:r>
        <w:rPr>
          <w:rFonts w:hint="eastAsia" w:ascii="新宋体" w:hAnsi="新宋体" w:eastAsia="新宋体" w:cs="新宋体"/>
          <w:color w:val="auto"/>
          <w:spacing w:val="30"/>
          <w:sz w:val="30"/>
          <w:highlight w:val="none"/>
        </w:rPr>
        <w:t>月</w:t>
      </w:r>
    </w:p>
    <w:p w14:paraId="14EE73D3">
      <w:pPr>
        <w:rPr>
          <w:rFonts w:ascii="新宋体" w:hAnsi="新宋体" w:eastAsia="新宋体" w:cs="新宋体"/>
          <w:color w:val="auto"/>
          <w:highlight w:val="none"/>
        </w:rPr>
      </w:pPr>
      <w:r>
        <w:rPr>
          <w:rFonts w:hint="eastAsia" w:ascii="新宋体" w:hAnsi="新宋体" w:eastAsia="新宋体" w:cs="新宋体"/>
          <w:b/>
          <w:color w:val="auto"/>
          <w:sz w:val="36"/>
          <w:szCs w:val="36"/>
          <w:highlight w:val="none"/>
        </w:rPr>
        <w:br w:type="page"/>
      </w:r>
    </w:p>
    <w:sdt>
      <w:sdtPr>
        <w:rPr>
          <w:rFonts w:hint="eastAsia" w:ascii="新宋体" w:hAnsi="新宋体" w:eastAsia="新宋体" w:cs="新宋体"/>
          <w:color w:val="auto"/>
          <w:highlight w:val="none"/>
        </w:rPr>
        <w:id w:val="147459729"/>
        <w15:color w:val="DBDBDB"/>
        <w:docPartObj>
          <w:docPartGallery w:val="Table of Contents"/>
          <w:docPartUnique/>
        </w:docPartObj>
      </w:sdtPr>
      <w:sdtEndPr>
        <w:rPr>
          <w:rFonts w:hint="eastAsia" w:ascii="新宋体" w:hAnsi="新宋体" w:eastAsia="新宋体" w:cs="新宋体"/>
          <w:color w:val="auto"/>
          <w:szCs w:val="36"/>
          <w:highlight w:val="none"/>
        </w:rPr>
      </w:sdtEndPr>
      <w:sdtContent>
        <w:p w14:paraId="5B73C9DD">
          <w:pPr>
            <w:jc w:val="center"/>
            <w:rPr>
              <w:rFonts w:ascii="新宋体" w:hAnsi="新宋体" w:eastAsia="新宋体" w:cs="新宋体"/>
              <w:b/>
              <w:color w:val="auto"/>
              <w:sz w:val="36"/>
              <w:szCs w:val="36"/>
              <w:highlight w:val="none"/>
            </w:rPr>
          </w:pPr>
          <w:r>
            <w:rPr>
              <w:rFonts w:hint="eastAsia" w:ascii="新宋体" w:hAnsi="新宋体" w:eastAsia="新宋体" w:cs="新宋体"/>
              <w:b/>
              <w:color w:val="auto"/>
              <w:sz w:val="36"/>
              <w:szCs w:val="36"/>
              <w:highlight w:val="none"/>
            </w:rPr>
            <w:t>目  录</w:t>
          </w:r>
        </w:p>
        <w:p w14:paraId="475FC566">
          <w:pPr>
            <w:pStyle w:val="38"/>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fldChar w:fldCharType="begin"/>
          </w:r>
          <w:r>
            <w:rPr>
              <w:rFonts w:hint="eastAsia" w:ascii="新宋体" w:hAnsi="新宋体" w:eastAsia="新宋体" w:cs="新宋体"/>
              <w:b/>
              <w:color w:val="auto"/>
              <w:sz w:val="22"/>
              <w:szCs w:val="22"/>
              <w:highlight w:val="none"/>
            </w:rPr>
            <w:instrText xml:space="preserve">TOC \o "1-3" \h \u </w:instrText>
          </w:r>
          <w:r>
            <w:rPr>
              <w:rFonts w:hint="eastAsia" w:ascii="新宋体" w:hAnsi="新宋体" w:eastAsia="新宋体" w:cs="新宋体"/>
              <w:b/>
              <w:color w:val="auto"/>
              <w:sz w:val="22"/>
              <w:szCs w:val="22"/>
              <w:highlight w:val="none"/>
            </w:rPr>
            <w:fldChar w:fldCharType="separate"/>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_Toc9401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招标公告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_Toc9401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46B7FC2">
          <w:pPr>
            <w:pStyle w:val="38"/>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_Toc11212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第一部分   投标人须知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_Toc11212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4AE6982">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_Toc22273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前 附 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_Toc22273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6FF6B2B">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_Toc22850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 说   明</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_Toc22850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4C2115B">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_Toc14155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二、 招标文件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_Toc14155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9531D98">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_Toc23933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_Toc23933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1CB00AB">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_Toc7667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_Toc7667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104CA38">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_Toc10144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五、 开标和评标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_Toc10144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EF03E31">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_Toc15583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_Toc15583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31BF025">
          <w:pPr>
            <w:pStyle w:val="38"/>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_Toc27647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第二部分   合同主要条款</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_Toc27647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CA31FCC">
          <w:pPr>
            <w:pStyle w:val="38"/>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_Toc16627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第三部分   附件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_Toc16627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7105E3B">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_Toc20045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附件一</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_Toc20045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7214E16">
          <w:pPr>
            <w:pStyle w:val="28"/>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_Toc10252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资格证明文件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_Toc10252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184D375">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_Toc25115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_Toc25115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CAAB007">
          <w:pPr>
            <w:pStyle w:val="28"/>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_Toc14325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报价文件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_Toc14325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96C6AE5">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_Toc23682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附件三</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_Toc23682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41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89DD034">
          <w:pPr>
            <w:pStyle w:val="28"/>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_Toc9721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lang w:val="zh-CN"/>
            </w:rPr>
            <w:t>商务技术文件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_Toc9721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41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51355B7">
          <w:pPr>
            <w:pStyle w:val="38"/>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_Toc26606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第四部分   项目技术规范和服务要求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_Toc26606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369F084">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_Toc15349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一、总则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_Toc15349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11580B8">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_Toc21341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w:t>
          </w:r>
          <w:r>
            <w:rPr>
              <w:rFonts w:hint="eastAsia" w:ascii="新宋体" w:hAnsi="新宋体" w:eastAsia="新宋体" w:cs="新宋体"/>
              <w:color w:val="auto"/>
              <w:sz w:val="22"/>
              <w:szCs w:val="22"/>
              <w:highlight w:val="none"/>
              <w:lang w:val="en-US" w:eastAsia="zh-CN"/>
            </w:rPr>
            <w:t>项目概况</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_Toc21341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6F033B7">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_Toc28446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lang w:val="en-US" w:eastAsia="zh-CN"/>
            </w:rPr>
            <w:t>三、</w:t>
          </w:r>
          <w:r>
            <w:rPr>
              <w:rFonts w:hint="eastAsia" w:ascii="新宋体" w:hAnsi="新宋体" w:eastAsia="新宋体" w:cs="新宋体"/>
              <w:color w:val="auto"/>
              <w:sz w:val="22"/>
              <w:szCs w:val="22"/>
              <w:highlight w:val="none"/>
            </w:rPr>
            <w:t>技术参数要求：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_Toc28446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FD64DBD">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_Toc15834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四、商务要求（技术要求里另有注明的以技术要求为准）</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_Toc15834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D651652">
          <w:pPr>
            <w:pStyle w:val="38"/>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_Toc20786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_Toc20786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70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9490ECA">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_Toc5455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一、总 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_Toc5455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70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65DD82E">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_Toc4155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二、评标组织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_Toc4155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70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891706F">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_Toc17568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三、评标程序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_Toc17568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70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6537E74">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_Toc1827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四、评标办法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_Toc1827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70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DE7E7BC">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_Toc29430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五、评分细则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_Toc29430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70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3A22D15">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_Toc24093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六、定标办法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_Toc24093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73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430B1C5">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_Toc30390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七、投标人义务</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_Toc30390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73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938B85E">
          <w:pPr>
            <w:pStyle w:val="45"/>
            <w:keepNext w:val="0"/>
            <w:keepLines w:val="0"/>
            <w:pageBreakBefore w:val="0"/>
            <w:widowControl w:val="0"/>
            <w:tabs>
              <w:tab w:val="right" w:leader="dot" w:pos="9638"/>
            </w:tabs>
            <w:kinsoku/>
            <w:wordWrap/>
            <w:overflowPunct/>
            <w:topLinePunct w:val="0"/>
            <w:autoSpaceDE/>
            <w:autoSpaceDN/>
            <w:bidi w:val="0"/>
            <w:adjustRightInd/>
            <w:snapToGrid/>
            <w:spacing w:line="440" w:lineRule="exact"/>
            <w:textAlignment w:val="auto"/>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fldChar w:fldCharType="end"/>
          </w:r>
        </w:p>
      </w:sdtContent>
    </w:sdt>
    <w:p w14:paraId="6D685F08">
      <w:pPr>
        <w:rPr>
          <w:rFonts w:ascii="新宋体" w:hAnsi="新宋体" w:eastAsia="新宋体" w:cs="新宋体"/>
          <w:color w:val="auto"/>
          <w:highlight w:val="none"/>
        </w:rPr>
      </w:pPr>
      <w:bookmarkStart w:id="0" w:name="_Toc32649"/>
      <w:r>
        <w:rPr>
          <w:rFonts w:hint="eastAsia" w:ascii="新宋体" w:hAnsi="新宋体" w:eastAsia="新宋体" w:cs="新宋体"/>
          <w:color w:val="auto"/>
          <w:highlight w:val="none"/>
        </w:rPr>
        <w:br w:type="page"/>
      </w:r>
    </w:p>
    <w:bookmarkEnd w:id="0"/>
    <w:p w14:paraId="7AFB22AE">
      <w:pPr>
        <w:pStyle w:val="3"/>
        <w:rPr>
          <w:rFonts w:ascii="新宋体" w:hAnsi="新宋体" w:eastAsia="新宋体" w:cs="新宋体"/>
          <w:color w:val="auto"/>
          <w:highlight w:val="none"/>
        </w:rPr>
      </w:pPr>
      <w:bookmarkStart w:id="1" w:name="_Toc9401"/>
      <w:bookmarkStart w:id="2" w:name="_Toc20116"/>
      <w:r>
        <w:rPr>
          <w:rFonts w:hint="eastAsia" w:ascii="新宋体" w:hAnsi="新宋体" w:eastAsia="新宋体" w:cs="新宋体"/>
          <w:b/>
          <w:bCs/>
          <w:color w:val="auto"/>
          <w:sz w:val="36"/>
          <w:szCs w:val="36"/>
          <w:highlight w:val="none"/>
        </w:rPr>
        <w:t>温州历程招标有限公司关于</w:t>
      </w:r>
      <w:r>
        <w:rPr>
          <w:rFonts w:hint="eastAsia" w:ascii="新宋体" w:hAnsi="新宋体" w:eastAsia="新宋体" w:cs="新宋体"/>
          <w:b/>
          <w:bCs/>
          <w:color w:val="auto"/>
          <w:sz w:val="36"/>
          <w:szCs w:val="36"/>
          <w:highlight w:val="none"/>
          <w:lang w:eastAsia="zh-CN"/>
        </w:rPr>
        <w:t>温州市第七人民医院多导睡眠监测系统、便携睡眠监测仪、呼吸机</w:t>
      </w:r>
      <w:r>
        <w:rPr>
          <w:rFonts w:hint="eastAsia" w:ascii="新宋体" w:hAnsi="新宋体" w:eastAsia="新宋体" w:cs="新宋体"/>
          <w:b/>
          <w:bCs/>
          <w:color w:val="auto"/>
          <w:sz w:val="36"/>
          <w:szCs w:val="36"/>
          <w:highlight w:val="none"/>
        </w:rPr>
        <w:t>的公开招标公告</w:t>
      </w:r>
      <w:bookmarkEnd w:id="1"/>
      <w:bookmarkEnd w:id="2"/>
    </w:p>
    <w:p w14:paraId="343199FC">
      <w:pPr>
        <w:tabs>
          <w:tab w:val="left" w:pos="360"/>
        </w:tabs>
        <w:spacing w:line="460" w:lineRule="exact"/>
        <w:rPr>
          <w:rFonts w:ascii="新宋体" w:hAnsi="新宋体" w:eastAsia="新宋体" w:cs="新宋体"/>
          <w:b/>
          <w:bCs/>
          <w:color w:val="auto"/>
          <w:sz w:val="22"/>
          <w:highlight w:val="none"/>
        </w:rPr>
      </w:pPr>
      <w:r>
        <w:rPr>
          <w:rFonts w:hint="eastAsia" w:ascii="新宋体" w:hAnsi="新宋体" w:eastAsia="新宋体" w:cs="新宋体"/>
          <w:b/>
          <w:bCs/>
          <w:color w:val="auto"/>
          <w:sz w:val="22"/>
          <w:highlight w:val="none"/>
        </w:rPr>
        <mc:AlternateContent>
          <mc:Choice Requires="wps">
            <w:drawing>
              <wp:anchor distT="0" distB="0" distL="114300" distR="114300" simplePos="0" relativeHeight="251661312" behindDoc="1" locked="0" layoutInCell="1" allowOverlap="1">
                <wp:simplePos x="0" y="0"/>
                <wp:positionH relativeFrom="column">
                  <wp:posOffset>-119380</wp:posOffset>
                </wp:positionH>
                <wp:positionV relativeFrom="paragraph">
                  <wp:posOffset>53340</wp:posOffset>
                </wp:positionV>
                <wp:extent cx="6421755" cy="854075"/>
                <wp:effectExtent l="6350" t="6350" r="10795" b="15875"/>
                <wp:wrapNone/>
                <wp:docPr id="1" name="矩形 1"/>
                <wp:cNvGraphicFramePr/>
                <a:graphic xmlns:a="http://schemas.openxmlformats.org/drawingml/2006/main">
                  <a:graphicData uri="http://schemas.microsoft.com/office/word/2010/wordprocessingShape">
                    <wps:wsp>
                      <wps:cNvSpPr/>
                      <wps:spPr>
                        <a:xfrm>
                          <a:off x="0" y="0"/>
                          <a:ext cx="6421755" cy="854075"/>
                        </a:xfrm>
                        <a:prstGeom prst="rect">
                          <a:avLst/>
                        </a:prstGeom>
                        <a:noFill/>
                        <a:ln w="12700" cap="flat" cmpd="sng">
                          <a:solidFill>
                            <a:srgbClr val="000000"/>
                          </a:solidFill>
                          <a:prstDash val="solid"/>
                          <a:round/>
                          <a:headEnd type="none" w="med" len="med"/>
                          <a:tailEnd type="none" w="med" len="med"/>
                        </a:ln>
                      </wps:spPr>
                      <wps:txbx>
                        <w:txbxContent>
                          <w:p w14:paraId="4F94AED1">
                            <w:pPr>
                              <w:jc w:val="center"/>
                            </w:pPr>
                          </w:p>
                        </w:txbxContent>
                      </wps:txbx>
                      <wps:bodyPr anchor="ctr" anchorCtr="0" upright="1"/>
                    </wps:wsp>
                  </a:graphicData>
                </a:graphic>
              </wp:anchor>
            </w:drawing>
          </mc:Choice>
          <mc:Fallback>
            <w:pict>
              <v:rect id="_x0000_s1026" o:spid="_x0000_s1026" o:spt="1" style="position:absolute;left:0pt;margin-left:-9.4pt;margin-top:4.2pt;height:67.25pt;width:505.65pt;z-index:-251655168;v-text-anchor:middle;mso-width-relative:page;mso-height-relative:page;" filled="f" stroked="t" coordsize="21600,21600" o:gfxdata="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loZADXAAAACQEAAA8AAAAAAAAAAQAgAAAAIgAA&#10;AGRycy9kb3ducmV2LnhtbFBLAQIUABQAAAAIAIdO4kCiv32NCQIAABwEAAAOAAAAAAAAAAEAIAAA&#10;ACYBAABkcnMvZTJvRG9jLnhtbFBLBQYAAAAABgAGAFkBAAChBQAAAAA=&#10;">
                <v:fill on="f" focussize="0,0"/>
                <v:stroke weight="1pt" color="#000000" joinstyle="round"/>
                <v:imagedata o:title=""/>
                <o:lock v:ext="edit" aspectratio="f"/>
                <v:textbox>
                  <w:txbxContent>
                    <w:p w14:paraId="4F94AED1">
                      <w:pPr>
                        <w:jc w:val="center"/>
                      </w:pPr>
                    </w:p>
                  </w:txbxContent>
                </v:textbox>
              </v:rect>
            </w:pict>
          </mc:Fallback>
        </mc:AlternateContent>
      </w:r>
      <w:r>
        <w:rPr>
          <w:rFonts w:hint="eastAsia" w:ascii="新宋体" w:hAnsi="新宋体" w:eastAsia="新宋体" w:cs="新宋体"/>
          <w:b/>
          <w:bCs/>
          <w:color w:val="auto"/>
          <w:sz w:val="22"/>
          <w:highlight w:val="none"/>
        </w:rPr>
        <w:t>项目概况</w:t>
      </w:r>
    </w:p>
    <w:p w14:paraId="587583E5">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多导睡眠监测系统、便携睡眠监测仪、呼吸机</w:t>
      </w:r>
      <w:r>
        <w:rPr>
          <w:rFonts w:hint="eastAsia" w:ascii="新宋体" w:hAnsi="新宋体" w:eastAsia="新宋体" w:cs="新宋体"/>
          <w:color w:val="auto"/>
          <w:sz w:val="22"/>
          <w:highlight w:val="none"/>
        </w:rPr>
        <w:t>招标项目的潜在投标人应在浙江政府采购网获取（下载）招标文件，并于</w:t>
      </w:r>
      <w:r>
        <w:rPr>
          <w:rFonts w:hint="eastAsia" w:ascii="新宋体" w:hAnsi="新宋体" w:eastAsia="新宋体" w:cs="新宋体"/>
          <w:color w:val="auto"/>
          <w:sz w:val="22"/>
          <w:szCs w:val="22"/>
          <w:highlight w:val="none"/>
          <w:lang w:eastAsia="zh-CN"/>
        </w:rPr>
        <w:t>2025年</w:t>
      </w:r>
      <w:r>
        <w:rPr>
          <w:rFonts w:hint="eastAsia" w:ascii="新宋体" w:hAnsi="新宋体" w:eastAsia="新宋体" w:cs="新宋体"/>
          <w:color w:val="auto"/>
          <w:sz w:val="22"/>
          <w:szCs w:val="22"/>
          <w:highlight w:val="none"/>
          <w:lang w:val="en-US" w:eastAsia="zh-CN"/>
        </w:rPr>
        <w:t>04</w:t>
      </w:r>
      <w:r>
        <w:rPr>
          <w:rFonts w:hint="eastAsia" w:ascii="新宋体" w:hAnsi="新宋体" w:eastAsia="新宋体" w:cs="新宋体"/>
          <w:color w:val="auto"/>
          <w:sz w:val="22"/>
          <w:szCs w:val="22"/>
          <w:highlight w:val="none"/>
          <w:lang w:eastAsia="zh-CN"/>
        </w:rPr>
        <w:t>月</w:t>
      </w:r>
      <w:r>
        <w:rPr>
          <w:rFonts w:hint="eastAsia" w:ascii="新宋体" w:hAnsi="新宋体" w:eastAsia="新宋体" w:cs="新宋体"/>
          <w:color w:val="auto"/>
          <w:sz w:val="22"/>
          <w:szCs w:val="22"/>
          <w:highlight w:val="none"/>
          <w:lang w:val="en-US" w:eastAsia="zh-CN"/>
        </w:rPr>
        <w:t>02</w:t>
      </w:r>
      <w:r>
        <w:rPr>
          <w:rFonts w:hint="eastAsia" w:ascii="新宋体" w:hAnsi="新宋体" w:eastAsia="新宋体" w:cs="新宋体"/>
          <w:color w:val="auto"/>
          <w:sz w:val="22"/>
          <w:szCs w:val="22"/>
          <w:highlight w:val="none"/>
          <w:lang w:eastAsia="zh-CN"/>
        </w:rPr>
        <w:t>日</w:t>
      </w:r>
      <w:r>
        <w:rPr>
          <w:rFonts w:hint="eastAsia" w:ascii="新宋体" w:hAnsi="新宋体" w:eastAsia="新宋体" w:cs="新宋体"/>
          <w:color w:val="auto"/>
          <w:sz w:val="22"/>
          <w:szCs w:val="22"/>
          <w:highlight w:val="none"/>
          <w:lang w:val="en-US" w:eastAsia="zh-CN"/>
        </w:rPr>
        <w:t>09点30分</w:t>
      </w:r>
      <w:r>
        <w:rPr>
          <w:rFonts w:hint="eastAsia" w:ascii="新宋体" w:hAnsi="新宋体" w:eastAsia="新宋体" w:cs="新宋体"/>
          <w:color w:val="auto"/>
          <w:sz w:val="22"/>
          <w:highlight w:val="none"/>
        </w:rPr>
        <w:t>（北京时间）前递交（上传）投标文件。</w:t>
      </w:r>
    </w:p>
    <w:p w14:paraId="606459D3">
      <w:pPr>
        <w:pStyle w:val="48"/>
        <w:spacing w:before="0" w:beforeAutospacing="0" w:after="0" w:afterAutospacing="0"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一、项目基本情况</w:t>
      </w:r>
      <w:r>
        <w:rPr>
          <w:rFonts w:hint="eastAsia" w:ascii="新宋体" w:hAnsi="新宋体" w:eastAsia="新宋体" w:cs="新宋体"/>
          <w:color w:val="auto"/>
          <w:sz w:val="22"/>
          <w:szCs w:val="22"/>
          <w:highlight w:val="none"/>
        </w:rPr>
        <w:t>                                           </w:t>
      </w:r>
    </w:p>
    <w:p w14:paraId="182DBFED">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项目编号：</w:t>
      </w:r>
      <w:r>
        <w:rPr>
          <w:rFonts w:hint="eastAsia" w:ascii="新宋体" w:hAnsi="新宋体" w:eastAsia="新宋体" w:cs="新宋体"/>
          <w:color w:val="auto"/>
          <w:sz w:val="22"/>
          <w:szCs w:val="22"/>
          <w:highlight w:val="none"/>
          <w:lang w:eastAsia="zh-CN"/>
        </w:rPr>
        <w:t>WZLCZB（L）-2025-03069</w:t>
      </w:r>
    </w:p>
    <w:p w14:paraId="7A67AD6A">
      <w:pPr>
        <w:pStyle w:val="48"/>
        <w:spacing w:before="0" w:beforeAutospacing="0" w:after="0" w:afterAutospacing="0"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项目名称：</w:t>
      </w:r>
      <w:r>
        <w:rPr>
          <w:rFonts w:hint="eastAsia" w:ascii="新宋体" w:hAnsi="新宋体" w:eastAsia="新宋体" w:cs="新宋体"/>
          <w:color w:val="auto"/>
          <w:sz w:val="22"/>
          <w:szCs w:val="22"/>
          <w:highlight w:val="none"/>
          <w:lang w:eastAsia="zh-CN"/>
        </w:rPr>
        <w:t>多导睡眠监测系统、便携睡眠监测仪、呼吸机</w:t>
      </w:r>
    </w:p>
    <w:p w14:paraId="4CA78E78">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预算金额（元）：</w:t>
      </w:r>
      <w:r>
        <w:rPr>
          <w:rFonts w:hint="eastAsia" w:ascii="新宋体" w:hAnsi="新宋体" w:eastAsia="新宋体" w:cs="新宋体"/>
          <w:color w:val="auto"/>
          <w:sz w:val="22"/>
          <w:szCs w:val="22"/>
          <w:highlight w:val="none"/>
          <w:lang w:eastAsia="zh-CN"/>
        </w:rPr>
        <w:t>685000</w:t>
      </w:r>
    </w:p>
    <w:p w14:paraId="0A0CA3F0">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最高限价（元）：</w:t>
      </w:r>
      <w:r>
        <w:rPr>
          <w:rFonts w:hint="eastAsia" w:ascii="新宋体" w:hAnsi="新宋体" w:eastAsia="新宋体" w:cs="新宋体"/>
          <w:color w:val="auto"/>
          <w:sz w:val="22"/>
          <w:szCs w:val="22"/>
          <w:highlight w:val="none"/>
          <w:lang w:eastAsia="zh-CN"/>
        </w:rPr>
        <w:t>685000</w:t>
      </w:r>
    </w:p>
    <w:p w14:paraId="3ACFD3FC">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采购需求：</w:t>
      </w:r>
    </w:p>
    <w:p w14:paraId="3E78EDC3">
      <w:pPr>
        <w:pStyle w:val="48"/>
        <w:spacing w:before="0" w:beforeAutospacing="0" w:after="0" w:afterAutospacing="0" w:line="460" w:lineRule="exact"/>
        <w:ind w:firstLine="440" w:firstLineChars="200"/>
        <w:rPr>
          <w:rFonts w:hint="eastAsia" w:ascii="新宋体" w:hAnsi="新宋体" w:eastAsia="新宋体" w:cs="新宋体"/>
          <w:color w:val="auto"/>
          <w:sz w:val="22"/>
          <w:szCs w:val="22"/>
          <w:highlight w:val="none"/>
        </w:rPr>
      </w:pPr>
    </w:p>
    <w:p w14:paraId="16FF2615">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标项名称：</w:t>
      </w:r>
      <w:r>
        <w:rPr>
          <w:rFonts w:hint="eastAsia" w:ascii="新宋体" w:hAnsi="新宋体" w:eastAsia="新宋体" w:cs="新宋体"/>
          <w:color w:val="auto"/>
          <w:sz w:val="22"/>
          <w:szCs w:val="22"/>
          <w:highlight w:val="none"/>
          <w:lang w:eastAsia="zh-CN"/>
        </w:rPr>
        <w:t>多导睡眠监测系统、便携睡眠监测仪、呼吸机</w:t>
      </w:r>
    </w:p>
    <w:p w14:paraId="1122B191">
      <w:pPr>
        <w:pStyle w:val="48"/>
        <w:spacing w:before="0" w:beforeAutospacing="0" w:after="0" w:afterAutospacing="0"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数量：1</w:t>
      </w:r>
      <w:r>
        <w:rPr>
          <w:rFonts w:hint="eastAsia" w:ascii="新宋体" w:hAnsi="新宋体" w:eastAsia="新宋体" w:cs="新宋体"/>
          <w:color w:val="auto"/>
          <w:sz w:val="22"/>
          <w:szCs w:val="22"/>
          <w:highlight w:val="none"/>
          <w:lang w:val="en-US" w:eastAsia="zh-CN"/>
        </w:rPr>
        <w:t>批</w:t>
      </w:r>
    </w:p>
    <w:p w14:paraId="0CD4B0A3">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预算金额（元）：</w:t>
      </w:r>
      <w:r>
        <w:rPr>
          <w:rFonts w:hint="eastAsia" w:ascii="新宋体" w:hAnsi="新宋体" w:eastAsia="新宋体" w:cs="新宋体"/>
          <w:color w:val="auto"/>
          <w:sz w:val="22"/>
          <w:szCs w:val="22"/>
          <w:highlight w:val="none"/>
          <w:lang w:eastAsia="zh-CN"/>
        </w:rPr>
        <w:t>685000</w:t>
      </w:r>
    </w:p>
    <w:p w14:paraId="5C070323">
      <w:pPr>
        <w:pStyle w:val="48"/>
        <w:spacing w:before="0" w:beforeAutospacing="0" w:after="0" w:afterAutospacing="0"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简要规格描述或项目基本概况介绍、用途：</w:t>
      </w:r>
      <w:r>
        <w:rPr>
          <w:rFonts w:hint="eastAsia" w:ascii="新宋体" w:hAnsi="新宋体" w:eastAsia="新宋体" w:cs="新宋体"/>
          <w:color w:val="auto"/>
          <w:sz w:val="22"/>
          <w:szCs w:val="22"/>
          <w:highlight w:val="none"/>
          <w:lang w:val="en-US" w:eastAsia="zh-CN"/>
        </w:rPr>
        <w:t>多导睡眠监测系统</w:t>
      </w:r>
      <w:r>
        <w:rPr>
          <w:rFonts w:hint="eastAsia" w:ascii="新宋体" w:hAnsi="新宋体" w:eastAsia="新宋体" w:cs="新宋体"/>
          <w:color w:val="auto"/>
          <w:sz w:val="22"/>
          <w:szCs w:val="22"/>
          <w:highlight w:val="none"/>
          <w:lang w:val="en-US" w:eastAsia="zh-CN"/>
        </w:rPr>
        <w:t>1套，便携睡眠监测仪2套，压力滴定呼吸机1台，</w:t>
      </w:r>
      <w:r>
        <w:rPr>
          <w:rFonts w:hint="eastAsia" w:ascii="新宋体" w:hAnsi="新宋体" w:eastAsia="新宋体" w:cs="新宋体"/>
          <w:color w:val="auto"/>
          <w:sz w:val="22"/>
          <w:szCs w:val="22"/>
          <w:highlight w:val="none"/>
        </w:rPr>
        <w:t>具体详见招标文件</w:t>
      </w:r>
      <w:r>
        <w:rPr>
          <w:rFonts w:hint="eastAsia" w:ascii="新宋体" w:hAnsi="新宋体" w:eastAsia="新宋体" w:cs="新宋体"/>
          <w:color w:val="auto"/>
          <w:sz w:val="22"/>
          <w:szCs w:val="22"/>
          <w:highlight w:val="none"/>
          <w:lang w:eastAsia="zh-CN"/>
        </w:rPr>
        <w:t>。</w:t>
      </w:r>
    </w:p>
    <w:p w14:paraId="3211166A">
      <w:pPr>
        <w:pStyle w:val="48"/>
        <w:spacing w:before="0" w:beforeAutospacing="0" w:after="0" w:afterAutospacing="0"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备注：本项目允许进口设备投标</w:t>
      </w:r>
      <w:r>
        <w:rPr>
          <w:rFonts w:hint="eastAsia" w:ascii="新宋体" w:hAnsi="新宋体" w:eastAsia="新宋体" w:cs="新宋体"/>
          <w:color w:val="auto"/>
          <w:sz w:val="22"/>
          <w:szCs w:val="22"/>
          <w:highlight w:val="none"/>
          <w:lang w:eastAsia="zh-CN"/>
        </w:rPr>
        <w:t>。</w:t>
      </w:r>
    </w:p>
    <w:p w14:paraId="46180401">
      <w:pPr>
        <w:pStyle w:val="48"/>
        <w:spacing w:before="0" w:beforeAutospacing="0" w:after="0" w:afterAutospacing="0" w:line="460" w:lineRule="exact"/>
        <w:ind w:firstLine="440" w:firstLineChars="200"/>
        <w:rPr>
          <w:rFonts w:hint="eastAsia" w:ascii="新宋体" w:hAnsi="新宋体" w:eastAsia="新宋体" w:cs="新宋体"/>
          <w:color w:val="auto"/>
          <w:sz w:val="22"/>
          <w:szCs w:val="22"/>
          <w:highlight w:val="none"/>
        </w:rPr>
      </w:pPr>
    </w:p>
    <w:p w14:paraId="68C9AC9E">
      <w:pPr>
        <w:pStyle w:val="48"/>
        <w:spacing w:before="0" w:beforeAutospacing="0" w:after="0" w:afterAutospacing="0"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合同履约期限：标项 1，具体详见招标文件</w:t>
      </w:r>
      <w:r>
        <w:rPr>
          <w:rFonts w:hint="eastAsia" w:ascii="新宋体" w:hAnsi="新宋体" w:eastAsia="新宋体" w:cs="新宋体"/>
          <w:color w:val="auto"/>
          <w:sz w:val="22"/>
          <w:szCs w:val="22"/>
          <w:highlight w:val="none"/>
          <w:lang w:eastAsia="zh-CN"/>
        </w:rPr>
        <w:t>。</w:t>
      </w:r>
    </w:p>
    <w:p w14:paraId="2D3ADA92">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本项目（</w:t>
      </w:r>
      <w:r>
        <w:rPr>
          <w:rFonts w:hint="eastAsia" w:ascii="新宋体" w:hAnsi="新宋体" w:eastAsia="新宋体" w:cs="新宋体"/>
          <w:color w:val="auto"/>
          <w:sz w:val="22"/>
          <w:szCs w:val="22"/>
          <w:highlight w:val="none"/>
          <w:lang w:val="en-US" w:eastAsia="zh-CN"/>
        </w:rPr>
        <w:t>是</w:t>
      </w:r>
      <w:r>
        <w:rPr>
          <w:rFonts w:hint="eastAsia" w:ascii="新宋体" w:hAnsi="新宋体" w:eastAsia="新宋体" w:cs="新宋体"/>
          <w:color w:val="auto"/>
          <w:sz w:val="22"/>
          <w:szCs w:val="22"/>
          <w:highlight w:val="none"/>
        </w:rPr>
        <w:t>）接受联合体投标。</w:t>
      </w:r>
    </w:p>
    <w:p w14:paraId="452C109E">
      <w:pPr>
        <w:pStyle w:val="48"/>
        <w:spacing w:before="0" w:beforeAutospacing="0" w:after="0" w:afterAutospacing="0"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二、申请人的资格要求：</w:t>
      </w:r>
    </w:p>
    <w:p w14:paraId="712DC8BD">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p>
    <w:p w14:paraId="7A567370">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2.落实政府采购政策需满足的资格要求：标项1：无</w:t>
      </w:r>
    </w:p>
    <w:p w14:paraId="55BA0DB4">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3.本项目的特定资格要求：无</w:t>
      </w:r>
    </w:p>
    <w:p w14:paraId="23EAF3AD">
      <w:pPr>
        <w:pStyle w:val="48"/>
        <w:spacing w:before="0" w:beforeAutospacing="0" w:after="0" w:afterAutospacing="0" w:line="460" w:lineRule="exact"/>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三、获取招标文件 </w:t>
      </w:r>
    </w:p>
    <w:p w14:paraId="67C44C38">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时间：</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rPr>
        <w:t>至</w:t>
      </w:r>
      <w:r>
        <w:rPr>
          <w:rFonts w:hint="eastAsia" w:ascii="新宋体" w:hAnsi="新宋体" w:eastAsia="新宋体" w:cs="新宋体"/>
          <w:color w:val="auto"/>
          <w:sz w:val="22"/>
          <w:szCs w:val="22"/>
          <w:highlight w:val="none"/>
          <w:lang w:eastAsia="zh-CN"/>
        </w:rPr>
        <w:t>2025年</w:t>
      </w:r>
      <w:r>
        <w:rPr>
          <w:rFonts w:hint="eastAsia" w:ascii="新宋体" w:hAnsi="新宋体" w:eastAsia="新宋体" w:cs="新宋体"/>
          <w:color w:val="auto"/>
          <w:sz w:val="22"/>
          <w:szCs w:val="22"/>
          <w:highlight w:val="none"/>
          <w:lang w:val="en-US" w:eastAsia="zh-CN"/>
        </w:rPr>
        <w:t>04</w:t>
      </w:r>
      <w:r>
        <w:rPr>
          <w:rFonts w:hint="eastAsia" w:ascii="新宋体" w:hAnsi="新宋体" w:eastAsia="新宋体" w:cs="新宋体"/>
          <w:color w:val="auto"/>
          <w:sz w:val="22"/>
          <w:szCs w:val="22"/>
          <w:highlight w:val="none"/>
          <w:lang w:eastAsia="zh-CN"/>
        </w:rPr>
        <w:t>月</w:t>
      </w:r>
      <w:r>
        <w:rPr>
          <w:rFonts w:hint="eastAsia" w:ascii="新宋体" w:hAnsi="新宋体" w:eastAsia="新宋体" w:cs="新宋体"/>
          <w:color w:val="auto"/>
          <w:sz w:val="22"/>
          <w:szCs w:val="22"/>
          <w:highlight w:val="none"/>
          <w:lang w:val="en-US" w:eastAsia="zh-CN"/>
        </w:rPr>
        <w:t>02</w:t>
      </w:r>
      <w:r>
        <w:rPr>
          <w:rFonts w:hint="eastAsia" w:ascii="新宋体" w:hAnsi="新宋体" w:eastAsia="新宋体" w:cs="新宋体"/>
          <w:color w:val="auto"/>
          <w:sz w:val="22"/>
          <w:szCs w:val="22"/>
          <w:highlight w:val="none"/>
          <w:lang w:eastAsia="zh-CN"/>
        </w:rPr>
        <w:t>日</w:t>
      </w:r>
      <w:r>
        <w:rPr>
          <w:rFonts w:hint="eastAsia" w:ascii="新宋体" w:hAnsi="新宋体" w:eastAsia="新宋体" w:cs="新宋体"/>
          <w:color w:val="auto"/>
          <w:sz w:val="22"/>
          <w:szCs w:val="22"/>
          <w:highlight w:val="none"/>
        </w:rPr>
        <w:t>，每天上午00：00至12：00，下午12：00至23：59（北京时间，线上获取法定节假日均可，线下获取文件法定节假日除外）</w:t>
      </w:r>
    </w:p>
    <w:p w14:paraId="34EA2D61">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地点（网址）：政采云平台线上获取</w:t>
      </w:r>
    </w:p>
    <w:p w14:paraId="002AE783">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方式：供应商登录政采云平台https</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rPr>
        <w:t>//www.zcygov.cn/在线申请获取采购文件（进入“项目采购”应用，在获取采购文件菜单中选择项目，申请获取采购文件）</w:t>
      </w:r>
    </w:p>
    <w:p w14:paraId="5D676FB9">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售价（元）：0</w:t>
      </w:r>
    </w:p>
    <w:p w14:paraId="4C9042EC">
      <w:pPr>
        <w:pStyle w:val="48"/>
        <w:spacing w:before="0" w:beforeAutospacing="0" w:after="0" w:afterAutospacing="0" w:line="460" w:lineRule="exact"/>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四、提交投标文件截止时间、开标时间和地点</w:t>
      </w:r>
    </w:p>
    <w:p w14:paraId="22DE6CF4">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提交投标文件截止时间：</w:t>
      </w:r>
      <w:r>
        <w:rPr>
          <w:rFonts w:hint="eastAsia" w:ascii="新宋体" w:hAnsi="新宋体" w:eastAsia="新宋体" w:cs="新宋体"/>
          <w:color w:val="auto"/>
          <w:sz w:val="22"/>
          <w:szCs w:val="22"/>
          <w:highlight w:val="none"/>
          <w:lang w:eastAsia="zh-CN"/>
        </w:rPr>
        <w:t>2025年</w:t>
      </w:r>
      <w:r>
        <w:rPr>
          <w:rFonts w:hint="eastAsia" w:ascii="新宋体" w:hAnsi="新宋体" w:eastAsia="新宋体" w:cs="新宋体"/>
          <w:color w:val="auto"/>
          <w:sz w:val="22"/>
          <w:szCs w:val="22"/>
          <w:highlight w:val="none"/>
          <w:lang w:val="en-US" w:eastAsia="zh-CN"/>
        </w:rPr>
        <w:t>04</w:t>
      </w:r>
      <w:r>
        <w:rPr>
          <w:rFonts w:hint="eastAsia" w:ascii="新宋体" w:hAnsi="新宋体" w:eastAsia="新宋体" w:cs="新宋体"/>
          <w:color w:val="auto"/>
          <w:sz w:val="22"/>
          <w:szCs w:val="22"/>
          <w:highlight w:val="none"/>
          <w:lang w:eastAsia="zh-CN"/>
        </w:rPr>
        <w:t>月</w:t>
      </w:r>
      <w:r>
        <w:rPr>
          <w:rFonts w:hint="eastAsia" w:ascii="新宋体" w:hAnsi="新宋体" w:eastAsia="新宋体" w:cs="新宋体"/>
          <w:color w:val="auto"/>
          <w:sz w:val="22"/>
          <w:szCs w:val="22"/>
          <w:highlight w:val="none"/>
          <w:lang w:val="en-US" w:eastAsia="zh-CN"/>
        </w:rPr>
        <w:t>02</w:t>
      </w:r>
      <w:r>
        <w:rPr>
          <w:rFonts w:hint="eastAsia" w:ascii="新宋体" w:hAnsi="新宋体" w:eastAsia="新宋体" w:cs="新宋体"/>
          <w:color w:val="auto"/>
          <w:sz w:val="22"/>
          <w:szCs w:val="22"/>
          <w:highlight w:val="none"/>
          <w:lang w:eastAsia="zh-CN"/>
        </w:rPr>
        <w:t>日</w:t>
      </w:r>
      <w:r>
        <w:rPr>
          <w:rFonts w:hint="eastAsia" w:ascii="新宋体" w:hAnsi="新宋体" w:eastAsia="新宋体" w:cs="新宋体"/>
          <w:color w:val="auto"/>
          <w:sz w:val="22"/>
          <w:szCs w:val="22"/>
          <w:highlight w:val="none"/>
          <w:lang w:val="en-US" w:eastAsia="zh-CN"/>
        </w:rPr>
        <w:t>09：30</w:t>
      </w:r>
      <w:r>
        <w:rPr>
          <w:rFonts w:hint="eastAsia" w:ascii="新宋体" w:hAnsi="新宋体" w:eastAsia="新宋体" w:cs="新宋体"/>
          <w:color w:val="auto"/>
          <w:sz w:val="22"/>
          <w:szCs w:val="22"/>
          <w:highlight w:val="none"/>
        </w:rPr>
        <w:t>（北京时间）</w:t>
      </w:r>
    </w:p>
    <w:p w14:paraId="251201E1">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投标地点（网址）：请登录</w:t>
      </w:r>
      <w:r>
        <w:rPr>
          <w:rFonts w:hint="eastAsia" w:ascii="新宋体" w:hAnsi="新宋体" w:eastAsia="新宋体" w:cs="新宋体"/>
          <w:color w:val="auto"/>
          <w:sz w:val="22"/>
          <w:szCs w:val="22"/>
          <w:highlight w:val="none"/>
          <w:lang w:val="en-US" w:eastAsia="zh-CN"/>
        </w:rPr>
        <w:t>政采云</w:t>
      </w:r>
      <w:r>
        <w:rPr>
          <w:rFonts w:hint="eastAsia" w:ascii="新宋体" w:hAnsi="新宋体" w:eastAsia="新宋体" w:cs="新宋体"/>
          <w:color w:val="auto"/>
          <w:sz w:val="22"/>
          <w:szCs w:val="22"/>
          <w:highlight w:val="none"/>
        </w:rPr>
        <w:t>投标客户端投标</w:t>
      </w:r>
    </w:p>
    <w:p w14:paraId="0BEF8AE3">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开标时间：</w:t>
      </w:r>
      <w:r>
        <w:rPr>
          <w:rFonts w:hint="eastAsia" w:ascii="新宋体" w:hAnsi="新宋体" w:eastAsia="新宋体" w:cs="新宋体"/>
          <w:color w:val="auto"/>
          <w:sz w:val="22"/>
          <w:szCs w:val="22"/>
          <w:highlight w:val="none"/>
          <w:lang w:eastAsia="zh-CN"/>
        </w:rPr>
        <w:t>2025年</w:t>
      </w:r>
      <w:r>
        <w:rPr>
          <w:rFonts w:hint="eastAsia" w:ascii="新宋体" w:hAnsi="新宋体" w:eastAsia="新宋体" w:cs="新宋体"/>
          <w:color w:val="auto"/>
          <w:sz w:val="22"/>
          <w:szCs w:val="22"/>
          <w:highlight w:val="none"/>
          <w:lang w:val="en-US" w:eastAsia="zh-CN"/>
        </w:rPr>
        <w:t>04</w:t>
      </w:r>
      <w:r>
        <w:rPr>
          <w:rFonts w:hint="eastAsia" w:ascii="新宋体" w:hAnsi="新宋体" w:eastAsia="新宋体" w:cs="新宋体"/>
          <w:color w:val="auto"/>
          <w:sz w:val="22"/>
          <w:szCs w:val="22"/>
          <w:highlight w:val="none"/>
          <w:lang w:eastAsia="zh-CN"/>
        </w:rPr>
        <w:t>月</w:t>
      </w:r>
      <w:r>
        <w:rPr>
          <w:rFonts w:hint="eastAsia" w:ascii="新宋体" w:hAnsi="新宋体" w:eastAsia="新宋体" w:cs="新宋体"/>
          <w:color w:val="auto"/>
          <w:sz w:val="22"/>
          <w:szCs w:val="22"/>
          <w:highlight w:val="none"/>
          <w:lang w:val="en-US" w:eastAsia="zh-CN"/>
        </w:rPr>
        <w:t>02</w:t>
      </w:r>
      <w:r>
        <w:rPr>
          <w:rFonts w:hint="eastAsia" w:ascii="新宋体" w:hAnsi="新宋体" w:eastAsia="新宋体" w:cs="新宋体"/>
          <w:color w:val="auto"/>
          <w:sz w:val="22"/>
          <w:szCs w:val="22"/>
          <w:highlight w:val="none"/>
          <w:lang w:eastAsia="zh-CN"/>
        </w:rPr>
        <w:t>日</w:t>
      </w:r>
      <w:r>
        <w:rPr>
          <w:rFonts w:hint="eastAsia" w:ascii="新宋体" w:hAnsi="新宋体" w:eastAsia="新宋体" w:cs="新宋体"/>
          <w:color w:val="auto"/>
          <w:sz w:val="22"/>
          <w:szCs w:val="22"/>
          <w:highlight w:val="none"/>
          <w:lang w:val="en-US" w:eastAsia="zh-CN"/>
        </w:rPr>
        <w:t>09：30</w:t>
      </w:r>
    </w:p>
    <w:p w14:paraId="6C6CAD53">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开标地点（网址）：政府采购云平台</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http</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rPr>
        <w:t>//www.zcygov.cn</w:t>
      </w:r>
      <w:r>
        <w:rPr>
          <w:rFonts w:hint="eastAsia" w:ascii="新宋体" w:hAnsi="新宋体" w:eastAsia="新宋体" w:cs="新宋体"/>
          <w:color w:val="auto"/>
          <w:sz w:val="22"/>
          <w:szCs w:val="22"/>
          <w:highlight w:val="none"/>
          <w:lang w:eastAsia="zh-CN"/>
        </w:rPr>
        <w:t>）</w:t>
      </w:r>
    </w:p>
    <w:p w14:paraId="357BA9CA">
      <w:pPr>
        <w:pStyle w:val="48"/>
        <w:spacing w:before="0" w:beforeAutospacing="0" w:after="0" w:afterAutospacing="0"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五、公告期限</w:t>
      </w:r>
      <w:r>
        <w:rPr>
          <w:rFonts w:hint="eastAsia" w:ascii="新宋体" w:hAnsi="新宋体" w:eastAsia="新宋体" w:cs="新宋体"/>
          <w:color w:val="auto"/>
          <w:sz w:val="22"/>
          <w:szCs w:val="22"/>
          <w:highlight w:val="none"/>
        </w:rPr>
        <w:t> </w:t>
      </w:r>
    </w:p>
    <w:p w14:paraId="03CCEA9D">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自本公告发布之日起5个工作日。</w:t>
      </w:r>
    </w:p>
    <w:p w14:paraId="33E03CB7">
      <w:pPr>
        <w:pStyle w:val="48"/>
        <w:spacing w:before="0" w:beforeAutospacing="0" w:after="0" w:afterAutospacing="0" w:line="460" w:lineRule="exact"/>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六、其他补充事宜</w:t>
      </w:r>
    </w:p>
    <w:p w14:paraId="3CCD50F2">
      <w:pPr>
        <w:pStyle w:val="48"/>
        <w:spacing w:before="0" w:beforeAutospacing="0" w:after="0" w:afterAutospacing="0"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1.《浙江省财政厅关于进一步发挥政府采购政策功能全力推动经济稳进提质的通知》 （浙财采监（2022）3号）、《浙江省财政厅关于进一步促进政府采购公平竞争打造最优营商环境的通知》（浙财采监（2021）22号）已分别于2022年1月29日和2022年2月1日开始实施，此前有关规定与上述文件内容不一致的，按上述文件要求执行。</w:t>
      </w:r>
    </w:p>
    <w:p w14:paraId="365F7934">
      <w:pPr>
        <w:pStyle w:val="48"/>
        <w:spacing w:before="0" w:beforeAutospacing="0" w:after="0" w:afterAutospacing="0"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务服务网-政府采购投诉处理-在线办理。</w:t>
      </w:r>
    </w:p>
    <w:p w14:paraId="212ABECE">
      <w:pPr>
        <w:pStyle w:val="48"/>
        <w:spacing w:before="0" w:beforeAutospacing="0" w:after="0" w:afterAutospacing="0"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3.供应商认为采购文件使自己的权益受到损害的，可以自获取采购文件之日或者采购公告期限届满之日（公告期限届满后获取采购文件的，以公告期限届满之日为准）起7个工作日内，对采购文件需求的以书面形式向采购人提出质疑，对其他内容的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14:paraId="2852A08C">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highlight w:val="none"/>
          <w:lang w:val="en-US" w:eastAsia="zh-CN"/>
        </w:rPr>
        <w:t>4</w:t>
      </w:r>
      <w:r>
        <w:rPr>
          <w:rFonts w:hint="eastAsia" w:ascii="新宋体" w:hAnsi="新宋体" w:eastAsia="新宋体" w:cs="新宋体"/>
          <w:color w:val="auto"/>
          <w:sz w:val="22"/>
          <w:highlight w:val="none"/>
        </w:rPr>
        <w:t>.其他事项：（一）电子招投标的说明：①电子招投标：本项目以数据电文形式，依托“政府采购云平台（www.zcygov.cn）”进行招投标活动，不接受纸质投标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招标文件的获取：使用账号登录或者使用CA登录政采云平台；进入“项目采购”应用，在获取采购文件菜单中选择项目，获取招标文件；④投标文件的制作：在“政采云电子交易客户端”中完成“填写基本信息”、“导入投标文件”、“标书关联”、“标书检查”、“电子签名”、“生成电子标书”等操作；⑤投标文件的传输递交：投标人在投标截止时间前将加密的投标文件上传至政府采购云平台； ⑥投标文件的解密：投标人按照平台提示和招标文件的规定在半小时内完成在线解密；⑦ 具体操作指南：详见政采云平台“服务中心-帮助文档-项目采购-操作流程-电子招投标-政府采购项目电子交易管理操作指南-供应商”：浙江省政府采购项目政采云平台学习专题https：//edu.zcygov.cn/luban/e-biding。（二）招标公告附件的采购文件仅供阅览使用，未按照本公告规定的方式获取采购文件的潜在供应商提起的质疑采购组织机构将不予受理、答复。</w:t>
      </w:r>
    </w:p>
    <w:p w14:paraId="47158EAC">
      <w:pPr>
        <w:tabs>
          <w:tab w:val="left" w:pos="360"/>
        </w:tabs>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七、对本次招标提出询问，请按以下方式联系</w:t>
      </w:r>
      <w:r>
        <w:rPr>
          <w:rFonts w:hint="eastAsia" w:ascii="新宋体" w:hAnsi="新宋体" w:eastAsia="新宋体" w:cs="新宋体"/>
          <w:color w:val="auto"/>
          <w:sz w:val="22"/>
          <w:szCs w:val="22"/>
          <w:highlight w:val="none"/>
        </w:rPr>
        <w:t>　　　　　　　　　　　　</w:t>
      </w:r>
    </w:p>
    <w:p w14:paraId="201C58A4">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信息</w:t>
      </w:r>
    </w:p>
    <w:p w14:paraId="112E64F5">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 xml:space="preserve">  </w:t>
      </w:r>
    </w:p>
    <w:p w14:paraId="2AD3049D">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r>
        <w:rPr>
          <w:rFonts w:hint="eastAsia" w:ascii="新宋体" w:hAnsi="新宋体" w:eastAsia="新宋体" w:cs="新宋体"/>
          <w:color w:val="auto"/>
          <w:sz w:val="22"/>
          <w:szCs w:val="22"/>
          <w:highlight w:val="none"/>
        </w:rPr>
        <w:t xml:space="preserve">  </w:t>
      </w:r>
    </w:p>
    <w:p w14:paraId="2AFA4410">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   　　</w:t>
      </w:r>
    </w:p>
    <w:p w14:paraId="39E958A7">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项目联系人（询问）：王女士 </w:t>
      </w:r>
    </w:p>
    <w:p w14:paraId="07C27C23">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项目联系方式（询问）：0577-89870153</w:t>
      </w:r>
    </w:p>
    <w:p w14:paraId="5E44A055">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质疑联系人：王女士</w:t>
      </w:r>
    </w:p>
    <w:p w14:paraId="7F4A81E1">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质疑联系方式：0577-89870153</w:t>
      </w:r>
    </w:p>
    <w:p w14:paraId="132B079E">
      <w:pPr>
        <w:pStyle w:val="48"/>
        <w:spacing w:before="0" w:beforeAutospacing="0" w:after="0" w:afterAutospacing="0"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2.</w:t>
      </w:r>
      <w:r>
        <w:rPr>
          <w:rFonts w:hint="eastAsia" w:ascii="新宋体" w:hAnsi="新宋体" w:eastAsia="新宋体" w:cs="新宋体"/>
          <w:color w:val="auto"/>
          <w:sz w:val="22"/>
          <w:szCs w:val="22"/>
          <w:highlight w:val="none"/>
          <w:lang w:eastAsia="zh-CN"/>
        </w:rPr>
        <w:t>招标代理机构</w:t>
      </w:r>
      <w:r>
        <w:rPr>
          <w:rFonts w:hint="eastAsia" w:ascii="新宋体" w:hAnsi="新宋体" w:eastAsia="新宋体" w:cs="新宋体"/>
          <w:color w:val="auto"/>
          <w:sz w:val="22"/>
          <w:szCs w:val="22"/>
          <w:highlight w:val="none"/>
        </w:rPr>
        <w:t>信息</w:t>
      </w:r>
    </w:p>
    <w:p w14:paraId="3CFB75B0">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称：温州历程招标有限公司 </w:t>
      </w:r>
    </w:p>
    <w:p w14:paraId="31442FF4">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址：温州市鹿城区勤民路鹿城壹号18幢803室</w:t>
      </w:r>
    </w:p>
    <w:p w14:paraId="01C477C5">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真：0577-89887255 </w:t>
      </w:r>
    </w:p>
    <w:p w14:paraId="01D92569">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项目联系人（询问）：郑永强</w:t>
      </w:r>
    </w:p>
    <w:p w14:paraId="2E5D069B">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项目联系方式（询问）：0577-89887322、13757727199</w:t>
      </w:r>
    </w:p>
    <w:p w14:paraId="4A4D5E75">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质疑联系人：肖忠文</w:t>
      </w:r>
    </w:p>
    <w:p w14:paraId="2290348B">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质疑联系方式：13757727199 </w:t>
      </w:r>
    </w:p>
    <w:p w14:paraId="126F6400">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3.同级政府采购监督管理部门</w:t>
      </w:r>
    </w:p>
    <w:p w14:paraId="38AB050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称：温州市财政局政府采购监管处 </w:t>
      </w:r>
    </w:p>
    <w:p w14:paraId="5A9D104A">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温州市鹿城区绣山路299号（建议使用邮政EMS寄送材料）</w:t>
      </w:r>
    </w:p>
    <w:p w14:paraId="212FC16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 </w:t>
      </w:r>
    </w:p>
    <w:p w14:paraId="49FC7B8B">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联系人：</w:t>
      </w:r>
      <w:r>
        <w:rPr>
          <w:rFonts w:hint="eastAsia" w:ascii="新宋体" w:hAnsi="新宋体" w:eastAsia="新宋体" w:cs="新宋体"/>
          <w:color w:val="auto"/>
          <w:sz w:val="22"/>
          <w:szCs w:val="22"/>
          <w:highlight w:val="none"/>
          <w:lang w:eastAsia="zh-CN"/>
        </w:rPr>
        <w:t>项先生、缪女士</w:t>
      </w:r>
    </w:p>
    <w:p w14:paraId="246DC3B6">
      <w:pPr>
        <w:pStyle w:val="48"/>
        <w:spacing w:before="0" w:beforeAutospacing="0" w:after="0" w:afterAutospacing="0"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监督投诉电话：</w:t>
      </w:r>
      <w:r>
        <w:rPr>
          <w:rFonts w:hint="eastAsia" w:ascii="新宋体" w:hAnsi="新宋体" w:eastAsia="新宋体" w:cs="新宋体"/>
          <w:color w:val="auto"/>
          <w:sz w:val="22"/>
          <w:szCs w:val="22"/>
          <w:highlight w:val="none"/>
          <w:lang w:eastAsia="zh-CN"/>
        </w:rPr>
        <w:t>0577-88532725、88503817</w:t>
      </w:r>
      <w:r>
        <w:rPr>
          <w:rFonts w:hint="eastAsia" w:ascii="新宋体" w:hAnsi="新宋体" w:eastAsia="新宋体" w:cs="新宋体"/>
          <w:color w:val="auto"/>
          <w:sz w:val="22"/>
          <w:szCs w:val="22"/>
          <w:highlight w:val="none"/>
        </w:rPr>
        <w:t> </w:t>
      </w:r>
    </w:p>
    <w:p w14:paraId="6090D0AF">
      <w:pPr>
        <w:spacing w:line="460" w:lineRule="exact"/>
        <w:rPr>
          <w:rFonts w:ascii="新宋体" w:hAnsi="新宋体" w:eastAsia="新宋体" w:cs="新宋体"/>
          <w:color w:val="auto"/>
          <w:sz w:val="20"/>
          <w:szCs w:val="20"/>
          <w:highlight w:val="none"/>
        </w:rPr>
      </w:pPr>
    </w:p>
    <w:p w14:paraId="3B25B5FC">
      <w:pPr>
        <w:spacing w:line="460" w:lineRule="exact"/>
        <w:rPr>
          <w:rFonts w:ascii="新宋体" w:hAnsi="新宋体" w:eastAsia="新宋体" w:cs="新宋体"/>
          <w:color w:val="auto"/>
          <w:sz w:val="20"/>
          <w:szCs w:val="20"/>
          <w:highlight w:val="none"/>
        </w:rPr>
      </w:pPr>
      <w:r>
        <w:rPr>
          <w:rFonts w:hint="eastAsia" w:ascii="新宋体" w:hAnsi="新宋体" w:eastAsia="新宋体" w:cs="新宋体"/>
          <w:color w:val="auto"/>
          <w:sz w:val="20"/>
          <w:szCs w:val="20"/>
          <w:highlight w:val="none"/>
        </w:rPr>
        <w:t>若对项目采购电子交易系统操作有疑问，可登录政采云（https</w:t>
      </w:r>
      <w:r>
        <w:rPr>
          <w:rFonts w:hint="eastAsia" w:ascii="新宋体" w:hAnsi="新宋体" w:eastAsia="新宋体" w:cs="新宋体"/>
          <w:color w:val="auto"/>
          <w:sz w:val="20"/>
          <w:szCs w:val="20"/>
          <w:highlight w:val="none"/>
          <w:lang w:val="en-US" w:eastAsia="zh-CN"/>
        </w:rPr>
        <w:t>:</w:t>
      </w:r>
      <w:r>
        <w:rPr>
          <w:rFonts w:hint="eastAsia" w:ascii="新宋体" w:hAnsi="新宋体" w:eastAsia="新宋体" w:cs="新宋体"/>
          <w:color w:val="auto"/>
          <w:sz w:val="20"/>
          <w:szCs w:val="20"/>
          <w:highlight w:val="none"/>
        </w:rPr>
        <w:t>//www.zcygov.cn/），点击右侧咨询小采，获取采小蜜智能服务管家帮助，或拨打政采云服务热线95763获取热线服务帮助。</w:t>
      </w:r>
    </w:p>
    <w:p w14:paraId="53142EE6">
      <w:pPr>
        <w:pStyle w:val="48"/>
        <w:spacing w:before="0" w:beforeAutospacing="0" w:after="0" w:afterAutospacing="0" w:line="460" w:lineRule="exact"/>
        <w:rPr>
          <w:rFonts w:ascii="新宋体" w:hAnsi="新宋体" w:eastAsia="新宋体" w:cs="新宋体"/>
          <w:color w:val="auto"/>
          <w:sz w:val="22"/>
          <w:szCs w:val="22"/>
          <w:highlight w:val="none"/>
        </w:rPr>
      </w:pPr>
    </w:p>
    <w:p w14:paraId="287717BD">
      <w:pPr>
        <w:pStyle w:val="48"/>
        <w:spacing w:before="0" w:beforeAutospacing="0" w:after="0" w:afterAutospacing="0" w:line="460" w:lineRule="exact"/>
        <w:rPr>
          <w:rFonts w:ascii="新宋体" w:hAnsi="新宋体" w:eastAsia="新宋体" w:cs="新宋体"/>
          <w:color w:val="auto"/>
          <w:sz w:val="20"/>
          <w:szCs w:val="20"/>
          <w:highlight w:val="none"/>
        </w:rPr>
      </w:pPr>
      <w:r>
        <w:rPr>
          <w:rFonts w:ascii="新宋体" w:hAnsi="新宋体" w:eastAsia="新宋体" w:cs="新宋体"/>
          <w:color w:val="auto"/>
          <w:sz w:val="20"/>
          <w:szCs w:val="20"/>
          <w:highlight w:val="none"/>
        </w:rPr>
        <w:t>CA问题联系电话（人工）：汇信CA 400-888-4636；天谷CA 400-087-8198。</w:t>
      </w:r>
    </w:p>
    <w:p w14:paraId="5A61CAA9">
      <w:pPr>
        <w:pStyle w:val="48"/>
        <w:spacing w:before="0" w:beforeAutospacing="0" w:after="0" w:afterAutospacing="0" w:line="460" w:lineRule="exact"/>
        <w:rPr>
          <w:rFonts w:ascii="新宋体" w:hAnsi="新宋体" w:eastAsia="新宋体" w:cs="新宋体"/>
          <w:color w:val="auto"/>
          <w:sz w:val="22"/>
          <w:szCs w:val="22"/>
          <w:highlight w:val="none"/>
        </w:rPr>
      </w:pPr>
    </w:p>
    <w:p w14:paraId="4BA4A2CF">
      <w:pPr>
        <w:rPr>
          <w:rFonts w:hint="eastAsia" w:ascii="新宋体" w:hAnsi="新宋体" w:eastAsia="新宋体" w:cs="新宋体"/>
          <w:color w:val="auto"/>
          <w:highlight w:val="none"/>
        </w:rPr>
      </w:pPr>
      <w:bookmarkStart w:id="3" w:name="_Toc5772"/>
      <w:r>
        <w:rPr>
          <w:rFonts w:hint="eastAsia" w:ascii="新宋体" w:hAnsi="新宋体" w:eastAsia="新宋体" w:cs="新宋体"/>
          <w:color w:val="auto"/>
          <w:highlight w:val="none"/>
        </w:rPr>
        <w:br w:type="page"/>
      </w:r>
    </w:p>
    <w:p w14:paraId="69589580">
      <w:pPr>
        <w:pStyle w:val="3"/>
        <w:rPr>
          <w:rFonts w:ascii="新宋体" w:hAnsi="新宋体" w:eastAsia="新宋体" w:cs="新宋体"/>
          <w:color w:val="auto"/>
          <w:highlight w:val="none"/>
        </w:rPr>
      </w:pPr>
      <w:bookmarkStart w:id="4" w:name="_Toc11212"/>
      <w:r>
        <w:rPr>
          <w:rFonts w:hint="eastAsia" w:ascii="新宋体" w:hAnsi="新宋体" w:eastAsia="新宋体" w:cs="新宋体"/>
          <w:color w:val="auto"/>
          <w:highlight w:val="none"/>
        </w:rPr>
        <w:t>第一部分   投标人须知</w:t>
      </w:r>
      <w:bookmarkEnd w:id="3"/>
      <w:bookmarkEnd w:id="4"/>
    </w:p>
    <w:p w14:paraId="0C6BD51E">
      <w:pPr>
        <w:keepNext/>
        <w:keepLines/>
        <w:shd w:val="clear" w:color="auto" w:fill="FFFFFF"/>
        <w:tabs>
          <w:tab w:val="left" w:pos="706"/>
        </w:tabs>
        <w:snapToGrid w:val="0"/>
        <w:spacing w:line="360" w:lineRule="auto"/>
        <w:jc w:val="center"/>
        <w:outlineLvl w:val="1"/>
        <w:rPr>
          <w:rFonts w:ascii="新宋体" w:hAnsi="新宋体" w:eastAsia="新宋体" w:cs="新宋体"/>
          <w:b/>
          <w:bCs/>
          <w:color w:val="auto"/>
          <w:sz w:val="24"/>
          <w:highlight w:val="none"/>
        </w:rPr>
      </w:pPr>
      <w:bookmarkStart w:id="5" w:name="_Toc22273"/>
      <w:bookmarkStart w:id="6" w:name="_Toc233618971"/>
      <w:bookmarkStart w:id="7" w:name="_Toc1839"/>
      <w:bookmarkStart w:id="8" w:name="_Toc354996695"/>
      <w:bookmarkStart w:id="9" w:name="_Toc33194387"/>
      <w:r>
        <w:rPr>
          <w:rFonts w:hint="eastAsia" w:ascii="新宋体" w:hAnsi="新宋体" w:eastAsia="新宋体" w:cs="新宋体"/>
          <w:b/>
          <w:bCs/>
          <w:color w:val="auto"/>
          <w:sz w:val="24"/>
          <w:highlight w:val="none"/>
        </w:rPr>
        <w:t>前 附 表</w:t>
      </w:r>
      <w:bookmarkEnd w:id="5"/>
      <w:bookmarkEnd w:id="6"/>
      <w:bookmarkEnd w:id="7"/>
      <w:bookmarkEnd w:id="8"/>
      <w:bookmarkEnd w:id="9"/>
    </w:p>
    <w:tbl>
      <w:tblPr>
        <w:tblStyle w:val="52"/>
        <w:tblW w:w="1005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0"/>
        <w:gridCol w:w="9490"/>
      </w:tblGrid>
      <w:tr w14:paraId="565012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8" w:space="0"/>
              <w:left w:val="single" w:color="000000" w:sz="8" w:space="0"/>
              <w:bottom w:val="single" w:color="000000" w:sz="2" w:space="0"/>
              <w:right w:val="single" w:color="000000" w:sz="2" w:space="0"/>
            </w:tcBorders>
            <w:vAlign w:val="center"/>
          </w:tcPr>
          <w:p w14:paraId="78C7C3ED">
            <w:pPr>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w:t>
            </w:r>
          </w:p>
        </w:tc>
        <w:tc>
          <w:tcPr>
            <w:tcW w:w="9490" w:type="dxa"/>
            <w:tcBorders>
              <w:top w:val="single" w:color="000000" w:sz="8" w:space="0"/>
              <w:left w:val="single" w:color="000000" w:sz="2" w:space="0"/>
              <w:bottom w:val="single" w:color="000000" w:sz="2" w:space="0"/>
              <w:right w:val="single" w:color="000000" w:sz="8" w:space="0"/>
            </w:tcBorders>
            <w:vAlign w:val="center"/>
          </w:tcPr>
          <w:p w14:paraId="3973AE65">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内容规定</w:t>
            </w:r>
          </w:p>
        </w:tc>
      </w:tr>
      <w:tr w14:paraId="1EDC8C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4" w:hRule="atLeast"/>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507C3370">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9490" w:type="dxa"/>
            <w:tcBorders>
              <w:top w:val="single" w:color="000000" w:sz="2" w:space="0"/>
              <w:left w:val="single" w:color="000000" w:sz="2" w:space="0"/>
              <w:bottom w:val="single" w:color="000000" w:sz="2" w:space="0"/>
              <w:right w:val="single" w:color="000000" w:sz="8" w:space="0"/>
            </w:tcBorders>
          </w:tcPr>
          <w:p w14:paraId="12AB3E97">
            <w:pPr>
              <w:tabs>
                <w:tab w:val="left" w:pos="3780"/>
              </w:tabs>
              <w:snapToGrid w:val="0"/>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b/>
                <w:bCs/>
                <w:color w:val="auto"/>
                <w:sz w:val="22"/>
                <w:szCs w:val="22"/>
                <w:highlight w:val="none"/>
              </w:rPr>
              <w:t>一、项目名称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多导睡眠监测系统、便携睡眠监测仪、呼吸机</w:t>
            </w:r>
          </w:p>
          <w:p w14:paraId="6860FB79">
            <w:pPr>
              <w:spacing w:line="460" w:lineRule="exact"/>
              <w:rPr>
                <w:rFonts w:ascii="新宋体" w:hAnsi="新宋体" w:eastAsia="新宋体" w:cs="新宋体"/>
                <w:b/>
                <w:bCs/>
                <w:color w:val="auto"/>
                <w:sz w:val="22"/>
                <w:szCs w:val="22"/>
                <w:highlight w:val="none"/>
              </w:rPr>
            </w:pPr>
            <w:bookmarkStart w:id="10" w:name="_Hlt75139851"/>
            <w:bookmarkEnd w:id="10"/>
            <w:r>
              <w:rPr>
                <w:rFonts w:hint="eastAsia" w:ascii="新宋体" w:hAnsi="新宋体" w:eastAsia="新宋体" w:cs="新宋体"/>
                <w:b/>
                <w:bCs/>
                <w:color w:val="auto"/>
                <w:sz w:val="22"/>
                <w:szCs w:val="22"/>
                <w:highlight w:val="none"/>
              </w:rPr>
              <w:t>二、采购内容：</w:t>
            </w:r>
          </w:p>
          <w:tbl>
            <w:tblPr>
              <w:tblStyle w:val="52"/>
              <w:tblW w:w="926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9"/>
              <w:gridCol w:w="2947"/>
              <w:gridCol w:w="1200"/>
              <w:gridCol w:w="2790"/>
              <w:gridCol w:w="1656"/>
            </w:tblGrid>
            <w:tr w14:paraId="4877E1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5" w:hRule="atLeast"/>
                <w:jc w:val="center"/>
              </w:trPr>
              <w:tc>
                <w:tcPr>
                  <w:tcW w:w="669" w:type="dxa"/>
                  <w:tcBorders>
                    <w:top w:val="single" w:color="auto" w:sz="4" w:space="0"/>
                    <w:left w:val="single" w:color="auto" w:sz="4" w:space="0"/>
                    <w:bottom w:val="single" w:color="auto" w:sz="4" w:space="0"/>
                    <w:right w:val="single" w:color="auto" w:sz="4" w:space="0"/>
                  </w:tcBorders>
                  <w:vAlign w:val="center"/>
                </w:tcPr>
                <w:p w14:paraId="358B4814">
                  <w:pPr>
                    <w:tabs>
                      <w:tab w:val="left" w:pos="360"/>
                    </w:tabs>
                    <w:spacing w:line="460" w:lineRule="exact"/>
                    <w:jc w:val="center"/>
                    <w:rPr>
                      <w:rFonts w:ascii="新宋体" w:hAnsi="新宋体" w:eastAsia="新宋体" w:cs="新宋体"/>
                      <w:b/>
                      <w:bCs/>
                      <w:color w:val="auto"/>
                      <w:sz w:val="22"/>
                      <w:szCs w:val="22"/>
                      <w:highlight w:val="none"/>
                      <w:shd w:val="clear" w:color="auto" w:fill="FFFFFF"/>
                    </w:rPr>
                  </w:pPr>
                  <w:r>
                    <w:rPr>
                      <w:rFonts w:hint="eastAsia" w:ascii="新宋体" w:hAnsi="新宋体" w:eastAsia="新宋体" w:cs="新宋体"/>
                      <w:b/>
                      <w:bCs/>
                      <w:color w:val="auto"/>
                      <w:sz w:val="22"/>
                      <w:szCs w:val="22"/>
                      <w:highlight w:val="none"/>
                    </w:rPr>
                    <w:t>序号</w:t>
                  </w:r>
                </w:p>
              </w:tc>
              <w:tc>
                <w:tcPr>
                  <w:tcW w:w="2947" w:type="dxa"/>
                  <w:tcBorders>
                    <w:top w:val="single" w:color="auto" w:sz="4" w:space="0"/>
                    <w:left w:val="single" w:color="auto" w:sz="4" w:space="0"/>
                    <w:bottom w:val="single" w:color="auto" w:sz="4" w:space="0"/>
                    <w:right w:val="single" w:color="auto" w:sz="4" w:space="0"/>
                  </w:tcBorders>
                  <w:vAlign w:val="center"/>
                </w:tcPr>
                <w:p w14:paraId="1FAA456A">
                  <w:pPr>
                    <w:tabs>
                      <w:tab w:val="left" w:pos="360"/>
                    </w:tabs>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项目内容</w:t>
                  </w:r>
                </w:p>
              </w:tc>
              <w:tc>
                <w:tcPr>
                  <w:tcW w:w="1200" w:type="dxa"/>
                  <w:tcBorders>
                    <w:top w:val="single" w:color="auto" w:sz="4" w:space="0"/>
                    <w:left w:val="single" w:color="auto" w:sz="4" w:space="0"/>
                    <w:bottom w:val="single" w:color="auto" w:sz="4" w:space="0"/>
                    <w:right w:val="single" w:color="auto" w:sz="4" w:space="0"/>
                  </w:tcBorders>
                  <w:vAlign w:val="center"/>
                </w:tcPr>
                <w:p w14:paraId="49B7EEAB">
                  <w:pPr>
                    <w:tabs>
                      <w:tab w:val="left" w:pos="360"/>
                    </w:tabs>
                    <w:spacing w:line="460" w:lineRule="exact"/>
                    <w:jc w:val="center"/>
                    <w:rPr>
                      <w:rFonts w:ascii="新宋体" w:hAnsi="新宋体" w:eastAsia="新宋体" w:cs="新宋体"/>
                      <w:b/>
                      <w:bCs/>
                      <w:color w:val="auto"/>
                      <w:sz w:val="22"/>
                      <w:szCs w:val="22"/>
                      <w:highlight w:val="none"/>
                      <w:shd w:val="clear" w:color="auto" w:fill="FFFFFF"/>
                    </w:rPr>
                  </w:pPr>
                  <w:r>
                    <w:rPr>
                      <w:rFonts w:hint="eastAsia" w:ascii="新宋体" w:hAnsi="新宋体" w:eastAsia="新宋体" w:cs="新宋体"/>
                      <w:b/>
                      <w:bCs/>
                      <w:color w:val="auto"/>
                      <w:sz w:val="22"/>
                      <w:szCs w:val="22"/>
                      <w:highlight w:val="none"/>
                      <w:shd w:val="clear" w:color="auto" w:fill="FFFFFF"/>
                    </w:rPr>
                    <w:t>预算金额</w:t>
                  </w:r>
                </w:p>
              </w:tc>
              <w:tc>
                <w:tcPr>
                  <w:tcW w:w="2790" w:type="dxa"/>
                  <w:tcBorders>
                    <w:top w:val="single" w:color="auto" w:sz="4" w:space="0"/>
                    <w:left w:val="single" w:color="auto" w:sz="4" w:space="0"/>
                    <w:bottom w:val="single" w:color="auto" w:sz="4" w:space="0"/>
                    <w:right w:val="single" w:color="auto" w:sz="4" w:space="0"/>
                  </w:tcBorders>
                  <w:vAlign w:val="center"/>
                </w:tcPr>
                <w:p w14:paraId="0AD69359">
                  <w:pPr>
                    <w:widowControl/>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rPr>
                    <w:t>简要技术要求、用途</w:t>
                  </w:r>
                </w:p>
              </w:tc>
              <w:tc>
                <w:tcPr>
                  <w:tcW w:w="1656" w:type="dxa"/>
                  <w:tcBorders>
                    <w:top w:val="single" w:color="auto" w:sz="4" w:space="0"/>
                    <w:left w:val="single" w:color="auto" w:sz="4" w:space="0"/>
                    <w:bottom w:val="single" w:color="auto" w:sz="4" w:space="0"/>
                    <w:right w:val="single" w:color="auto" w:sz="4" w:space="0"/>
                  </w:tcBorders>
                  <w:vAlign w:val="center"/>
                </w:tcPr>
                <w:p w14:paraId="2ED99959">
                  <w:pPr>
                    <w:widowControl/>
                    <w:snapToGrid w:val="0"/>
                    <w:spacing w:line="460" w:lineRule="exact"/>
                    <w:jc w:val="center"/>
                    <w:rPr>
                      <w:rFonts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备注</w:t>
                  </w:r>
                </w:p>
              </w:tc>
            </w:tr>
            <w:tr w14:paraId="2A7FC7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669" w:type="dxa"/>
                  <w:tcBorders>
                    <w:top w:val="single" w:color="auto" w:sz="4" w:space="0"/>
                    <w:left w:val="single" w:color="auto" w:sz="4" w:space="0"/>
                    <w:right w:val="single" w:color="auto" w:sz="4" w:space="0"/>
                  </w:tcBorders>
                  <w:vAlign w:val="center"/>
                </w:tcPr>
                <w:p w14:paraId="458EC7A8">
                  <w:pPr>
                    <w:tabs>
                      <w:tab w:val="left" w:pos="360"/>
                    </w:tabs>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947" w:type="dxa"/>
                  <w:tcBorders>
                    <w:top w:val="single" w:color="auto" w:sz="4" w:space="0"/>
                    <w:left w:val="single" w:color="auto" w:sz="4" w:space="0"/>
                    <w:right w:val="single" w:color="auto" w:sz="4" w:space="0"/>
                  </w:tcBorders>
                  <w:vAlign w:val="center"/>
                </w:tcPr>
                <w:p w14:paraId="1F717AF5">
                  <w:pPr>
                    <w:spacing w:line="460" w:lineRule="exact"/>
                    <w:jc w:val="center"/>
                    <w:rPr>
                      <w:rFonts w:hint="eastAsia" w:ascii="新宋体" w:hAnsi="新宋体" w:eastAsia="新宋体" w:cs="新宋体"/>
                      <w:color w:val="auto"/>
                      <w:sz w:val="22"/>
                      <w:highlight w:val="none"/>
                      <w:lang w:eastAsia="zh-CN"/>
                    </w:rPr>
                  </w:pPr>
                  <w:r>
                    <w:rPr>
                      <w:rFonts w:hint="eastAsia" w:ascii="新宋体" w:hAnsi="新宋体" w:eastAsia="新宋体" w:cs="新宋体"/>
                      <w:color w:val="auto"/>
                      <w:sz w:val="22"/>
                      <w:szCs w:val="22"/>
                      <w:highlight w:val="none"/>
                      <w:lang w:eastAsia="zh-CN"/>
                    </w:rPr>
                    <w:t>多导睡眠监测系统、便携睡眠监测仪、呼吸机</w:t>
                  </w:r>
                </w:p>
              </w:tc>
              <w:tc>
                <w:tcPr>
                  <w:tcW w:w="1200" w:type="dxa"/>
                  <w:tcBorders>
                    <w:top w:val="single" w:color="auto" w:sz="4" w:space="0"/>
                    <w:left w:val="single" w:color="auto" w:sz="4" w:space="0"/>
                    <w:right w:val="single" w:color="auto" w:sz="4" w:space="0"/>
                  </w:tcBorders>
                  <w:vAlign w:val="center"/>
                </w:tcPr>
                <w:p w14:paraId="1060E68F">
                  <w:pPr>
                    <w:tabs>
                      <w:tab w:val="left" w:pos="360"/>
                    </w:tabs>
                    <w:spacing w:line="460" w:lineRule="exact"/>
                    <w:jc w:val="center"/>
                    <w:rPr>
                      <w:rFonts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lang w:eastAsia="zh-CN"/>
                    </w:rPr>
                    <w:t>685000</w:t>
                  </w:r>
                  <w:r>
                    <w:rPr>
                      <w:rFonts w:hint="eastAsia" w:ascii="新宋体" w:hAnsi="新宋体" w:eastAsia="新宋体" w:cs="新宋体"/>
                      <w:color w:val="auto"/>
                      <w:sz w:val="22"/>
                      <w:szCs w:val="22"/>
                      <w:highlight w:val="none"/>
                    </w:rPr>
                    <w:t>元</w:t>
                  </w:r>
                </w:p>
              </w:tc>
              <w:tc>
                <w:tcPr>
                  <w:tcW w:w="2790" w:type="dxa"/>
                  <w:tcBorders>
                    <w:top w:val="single" w:color="auto" w:sz="4" w:space="0"/>
                    <w:left w:val="single" w:color="auto" w:sz="4" w:space="0"/>
                    <w:right w:val="single" w:color="auto" w:sz="4" w:space="0"/>
                  </w:tcBorders>
                  <w:vAlign w:val="center"/>
                </w:tcPr>
                <w:p w14:paraId="6C521750">
                  <w:pPr>
                    <w:tabs>
                      <w:tab w:val="left" w:pos="360"/>
                    </w:tabs>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详见招标文件第四部分“项目技术规范和服务要求”</w:t>
                  </w:r>
                </w:p>
              </w:tc>
              <w:tc>
                <w:tcPr>
                  <w:tcW w:w="1656" w:type="dxa"/>
                  <w:tcBorders>
                    <w:top w:val="single" w:color="auto" w:sz="4" w:space="0"/>
                    <w:left w:val="single" w:color="auto" w:sz="4" w:space="0"/>
                    <w:right w:val="single" w:color="auto" w:sz="4" w:space="0"/>
                  </w:tcBorders>
                  <w:vAlign w:val="center"/>
                </w:tcPr>
                <w:p w14:paraId="3553F5C7">
                  <w:pPr>
                    <w:tabs>
                      <w:tab w:val="left" w:pos="360"/>
                    </w:tabs>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本项目允许进口设备投标</w:t>
                  </w:r>
                </w:p>
              </w:tc>
            </w:tr>
          </w:tbl>
          <w:p w14:paraId="336FA64A">
            <w:pPr>
              <w:tabs>
                <w:tab w:val="left" w:pos="360"/>
              </w:tabs>
              <w:spacing w:line="460" w:lineRule="exact"/>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rPr>
              <w:t>如投标人报价超过预算金额按无效标处理。</w:t>
            </w:r>
          </w:p>
          <w:p w14:paraId="656E8C63">
            <w:pPr>
              <w:tabs>
                <w:tab w:val="left" w:pos="360"/>
              </w:tabs>
              <w:spacing w:line="460" w:lineRule="exact"/>
              <w:rPr>
                <w:rFonts w:ascii="新宋体" w:hAnsi="新宋体" w:eastAsia="新宋体" w:cs="新宋体"/>
                <w:color w:val="auto"/>
                <w:highlight w:val="none"/>
              </w:rPr>
            </w:pPr>
            <w:r>
              <w:rPr>
                <w:rFonts w:hint="eastAsia" w:ascii="新宋体" w:hAnsi="新宋体" w:eastAsia="新宋体" w:cs="新宋体"/>
                <w:b/>
                <w:bCs/>
                <w:color w:val="auto"/>
                <w:sz w:val="22"/>
                <w:szCs w:val="22"/>
                <w:highlight w:val="none"/>
                <w:lang w:val="en-US" w:eastAsia="zh-CN"/>
              </w:rPr>
              <w:t>三、本项目（是）接受联合体投标，组成的联合体须满足：①出具联合体共同投标协议书（须明确牵头人）；②以联合体形式参加政府采购活动的，联合体各方不得再单独参加或者与其他供应商另外组成联合体参加同一合同项下的政府采购活动。③联合体组成成员（含牵头人）不得超过2家。</w:t>
            </w:r>
          </w:p>
        </w:tc>
      </w:tr>
      <w:tr w14:paraId="70341D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0777F70B">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w:t>
            </w:r>
          </w:p>
        </w:tc>
        <w:tc>
          <w:tcPr>
            <w:tcW w:w="9490" w:type="dxa"/>
            <w:tcBorders>
              <w:top w:val="single" w:color="000000" w:sz="2" w:space="0"/>
              <w:left w:val="single" w:color="000000" w:sz="2" w:space="0"/>
              <w:bottom w:val="single" w:color="000000" w:sz="2" w:space="0"/>
              <w:right w:val="single" w:color="000000" w:sz="8" w:space="0"/>
            </w:tcBorders>
            <w:vAlign w:val="center"/>
          </w:tcPr>
          <w:p w14:paraId="24CD1D7F">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w:t>
            </w:r>
            <w:r>
              <w:rPr>
                <w:rFonts w:hint="eastAsia" w:ascii="新宋体" w:hAnsi="新宋体" w:eastAsia="新宋体" w:cs="新宋体"/>
                <w:b/>
                <w:bCs/>
                <w:color w:val="auto"/>
                <w:sz w:val="22"/>
                <w:szCs w:val="22"/>
                <w:highlight w:val="none"/>
              </w:rPr>
              <w:t>有效期：</w:t>
            </w:r>
            <w:r>
              <w:rPr>
                <w:rFonts w:hint="eastAsia" w:ascii="新宋体" w:hAnsi="新宋体" w:eastAsia="新宋体" w:cs="新宋体"/>
                <w:color w:val="auto"/>
                <w:sz w:val="22"/>
                <w:szCs w:val="22"/>
                <w:highlight w:val="none"/>
              </w:rPr>
              <w:t>自投标截止日起90天。</w:t>
            </w:r>
          </w:p>
        </w:tc>
      </w:tr>
      <w:tr w14:paraId="3715D6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7F499208">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w:t>
            </w:r>
          </w:p>
        </w:tc>
        <w:tc>
          <w:tcPr>
            <w:tcW w:w="9490" w:type="dxa"/>
            <w:tcBorders>
              <w:top w:val="single" w:color="000000" w:sz="2" w:space="0"/>
              <w:left w:val="single" w:color="000000" w:sz="2" w:space="0"/>
              <w:bottom w:val="single" w:color="000000" w:sz="2" w:space="0"/>
              <w:right w:val="single" w:color="000000" w:sz="8" w:space="0"/>
            </w:tcBorders>
            <w:vAlign w:val="center"/>
          </w:tcPr>
          <w:p w14:paraId="6B316939">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投标保证金数额：无</w:t>
            </w:r>
            <w:r>
              <w:rPr>
                <w:rFonts w:hint="eastAsia" w:ascii="新宋体" w:hAnsi="新宋体" w:eastAsia="新宋体" w:cs="新宋体"/>
                <w:color w:val="auto"/>
                <w:sz w:val="22"/>
                <w:szCs w:val="22"/>
                <w:highlight w:val="none"/>
              </w:rPr>
              <w:t>。</w:t>
            </w:r>
          </w:p>
        </w:tc>
      </w:tr>
      <w:tr w14:paraId="4E4B61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23CEDEF8">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w:t>
            </w:r>
          </w:p>
        </w:tc>
        <w:tc>
          <w:tcPr>
            <w:tcW w:w="9490" w:type="dxa"/>
            <w:tcBorders>
              <w:top w:val="single" w:color="000000" w:sz="2" w:space="0"/>
              <w:left w:val="single" w:color="000000" w:sz="2" w:space="0"/>
              <w:bottom w:val="single" w:color="000000" w:sz="2" w:space="0"/>
              <w:right w:val="single" w:color="000000" w:sz="8" w:space="0"/>
            </w:tcBorders>
            <w:vAlign w:val="center"/>
          </w:tcPr>
          <w:p w14:paraId="51E5C30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招标服务费：根据国家计委计价格【2002】1980号《招标代理服务收费管理暂行办法》规定标准计算后下浮25%收取，由中标人在领取中标通知书时支付。</w:t>
            </w:r>
            <w:r>
              <w:rPr>
                <w:rFonts w:hint="eastAsia" w:ascii="新宋体" w:hAnsi="新宋体" w:eastAsia="新宋体" w:cs="新宋体"/>
                <w:color w:val="auto"/>
                <w:sz w:val="22"/>
                <w:szCs w:val="22"/>
                <w:highlight w:val="none"/>
                <w:lang w:eastAsia="zh-CN"/>
              </w:rPr>
              <w:t>（注：本次招标为货物招标）</w:t>
            </w:r>
          </w:p>
          <w:p w14:paraId="1D9CD264">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  名：温州历程招标有限公司乐清分公司</w:t>
            </w:r>
          </w:p>
          <w:p w14:paraId="6890D679">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  号：33050162870400000619</w:t>
            </w:r>
          </w:p>
          <w:p w14:paraId="68BA3715">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14:paraId="52232A46">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行  号：105333000038</w:t>
            </w:r>
          </w:p>
        </w:tc>
      </w:tr>
      <w:tr w14:paraId="789057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4F45B62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w:t>
            </w:r>
          </w:p>
        </w:tc>
        <w:tc>
          <w:tcPr>
            <w:tcW w:w="9490" w:type="dxa"/>
            <w:tcBorders>
              <w:top w:val="single" w:color="000000" w:sz="2" w:space="0"/>
              <w:left w:val="single" w:color="000000" w:sz="2" w:space="0"/>
              <w:bottom w:val="single" w:color="000000" w:sz="2" w:space="0"/>
              <w:right w:val="single" w:color="000000" w:sz="8" w:space="0"/>
            </w:tcBorders>
            <w:vAlign w:val="center"/>
          </w:tcPr>
          <w:p w14:paraId="3E5DDA80">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投标文件的组成：</w:t>
            </w:r>
            <w:r>
              <w:rPr>
                <w:rFonts w:hint="eastAsia" w:ascii="新宋体" w:hAnsi="新宋体" w:eastAsia="新宋体" w:cs="新宋体"/>
                <w:color w:val="auto"/>
                <w:sz w:val="22"/>
                <w:szCs w:val="22"/>
                <w:highlight w:val="none"/>
              </w:rPr>
              <w:t>完整的《投标文件》由“资格文件”、“报价文件”和“商务技术文件”三个部分组成。</w:t>
            </w:r>
          </w:p>
        </w:tc>
      </w:tr>
      <w:tr w14:paraId="2B23AB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07FD33DF">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w:t>
            </w:r>
          </w:p>
        </w:tc>
        <w:tc>
          <w:tcPr>
            <w:tcW w:w="9490" w:type="dxa"/>
            <w:tcBorders>
              <w:top w:val="single" w:color="000000" w:sz="2" w:space="0"/>
              <w:left w:val="single" w:color="000000" w:sz="2" w:space="0"/>
              <w:bottom w:val="single" w:color="000000" w:sz="2" w:space="0"/>
              <w:right w:val="single" w:color="000000" w:sz="8" w:space="0"/>
            </w:tcBorders>
            <w:vAlign w:val="center"/>
          </w:tcPr>
          <w:p w14:paraId="7343020C">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投标文件的编制：</w:t>
            </w:r>
            <w:r>
              <w:rPr>
                <w:rFonts w:hint="eastAsia" w:ascii="新宋体" w:hAnsi="新宋体" w:eastAsia="新宋体" w:cs="新宋体"/>
                <w:color w:val="auto"/>
                <w:sz w:val="22"/>
                <w:szCs w:val="22"/>
                <w:highlight w:val="none"/>
              </w:rPr>
              <w:t>供应商应先安装“政采云电子交易客户端”，并按照本招标文件和“政府采购云平台”的要求，通过“政采云电子交易客户端”编制并加密投标文件。</w:t>
            </w:r>
          </w:p>
        </w:tc>
      </w:tr>
      <w:tr w14:paraId="24F18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1C62783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w:t>
            </w:r>
          </w:p>
        </w:tc>
        <w:tc>
          <w:tcPr>
            <w:tcW w:w="9490" w:type="dxa"/>
            <w:tcBorders>
              <w:top w:val="single" w:color="000000" w:sz="2" w:space="0"/>
              <w:left w:val="single" w:color="000000" w:sz="2" w:space="0"/>
              <w:bottom w:val="single" w:color="000000" w:sz="2" w:space="0"/>
              <w:right w:val="single" w:color="000000" w:sz="8" w:space="0"/>
            </w:tcBorders>
            <w:vAlign w:val="center"/>
          </w:tcPr>
          <w:p w14:paraId="770920C8">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投标文件的签章：</w:t>
            </w:r>
            <w:r>
              <w:rPr>
                <w:rFonts w:hint="eastAsia" w:ascii="新宋体" w:hAnsi="新宋体" w:eastAsia="新宋体" w:cs="新宋体"/>
                <w:color w:val="auto"/>
                <w:sz w:val="22"/>
                <w:szCs w:val="22"/>
                <w:highlight w:val="none"/>
              </w:rPr>
              <w:t>电子签章。</w:t>
            </w:r>
            <w:r>
              <w:rPr>
                <w:rFonts w:hint="eastAsia" w:ascii="新宋体" w:hAnsi="新宋体" w:eastAsia="新宋体" w:cs="新宋体"/>
                <w:b/>
                <w:bCs/>
                <w:color w:val="auto"/>
                <w:sz w:val="22"/>
                <w:szCs w:val="22"/>
                <w:highlight w:val="none"/>
                <w:lang w:val="en-US" w:eastAsia="zh-CN"/>
              </w:rPr>
              <w:t>如为联合体投标的，采购文件中需联合体所有成员分别填写的格式，联合体成员（除牵头人外）按采购文件格式分别进行编制（格式中要求提供相关证明材料的还需后附相关证明材料），并按格式要求在指定位置根据要求进行签字（或盖章）后将扫描件提交给牵头人（联合体共同投标协议书须签字或盖章的地方须由联合体双方均签字或盖章）。牵头人在完成投标文件编制后扫描上传加密电子投保文件，电子投标文件中所须加盖公章的地方均加盖牵头人的电子签章。</w:t>
            </w:r>
          </w:p>
        </w:tc>
      </w:tr>
      <w:tr w14:paraId="244812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61B180C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w:t>
            </w:r>
          </w:p>
        </w:tc>
        <w:tc>
          <w:tcPr>
            <w:tcW w:w="9490" w:type="dxa"/>
            <w:tcBorders>
              <w:top w:val="single" w:color="000000" w:sz="2" w:space="0"/>
              <w:left w:val="single" w:color="000000" w:sz="2" w:space="0"/>
              <w:bottom w:val="single" w:color="000000" w:sz="2" w:space="0"/>
              <w:right w:val="single" w:color="000000" w:sz="8" w:space="0"/>
            </w:tcBorders>
            <w:vAlign w:val="center"/>
          </w:tcPr>
          <w:p w14:paraId="0ED6F4F8">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投标文件的形式：</w:t>
            </w:r>
            <w:r>
              <w:rPr>
                <w:rFonts w:eastAsia="新宋体"/>
                <w:color w:val="auto"/>
                <w:sz w:val="22"/>
                <w:szCs w:val="22"/>
                <w:highlight w:val="none"/>
              </w:rPr>
              <w:t>☑</w:t>
            </w:r>
            <w:r>
              <w:rPr>
                <w:rFonts w:hint="eastAsia" w:ascii="新宋体" w:hAnsi="新宋体" w:eastAsia="新宋体" w:cs="新宋体"/>
                <w:color w:val="auto"/>
                <w:sz w:val="22"/>
                <w:szCs w:val="22"/>
                <w:highlight w:val="none"/>
              </w:rPr>
              <w:t>电子投标文件（包括“电子加密投标文件”和“备份投标文件”，在投标文件编制完成后同时生成）；</w:t>
            </w:r>
          </w:p>
          <w:p w14:paraId="4DE2164E">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（1）“电子加密投标文件”是指通过“政采云电子交易客户端”完成投标文件编制后生成并加密的数据电文形式的投标文件。</w:t>
            </w:r>
          </w:p>
          <w:p w14:paraId="103FD9F4">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（2）“备份投标文件”是指与“电子加密投标文件”同时生成的数据电文形式的电子文件（备份标书），其他方式编制的备份投标文件视为无效备份投标文件。</w:t>
            </w:r>
          </w:p>
        </w:tc>
      </w:tr>
      <w:tr w14:paraId="7F5B73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02997A6B">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9</w:t>
            </w:r>
          </w:p>
        </w:tc>
        <w:tc>
          <w:tcPr>
            <w:tcW w:w="9490" w:type="dxa"/>
            <w:tcBorders>
              <w:top w:val="single" w:color="000000" w:sz="2" w:space="0"/>
              <w:left w:val="single" w:color="000000" w:sz="2" w:space="0"/>
              <w:bottom w:val="single" w:color="000000" w:sz="2" w:space="0"/>
              <w:right w:val="single" w:color="000000" w:sz="8" w:space="0"/>
            </w:tcBorders>
            <w:vAlign w:val="center"/>
          </w:tcPr>
          <w:p w14:paraId="25BB7411">
            <w:pPr>
              <w:spacing w:line="460" w:lineRule="exact"/>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投标文件份数：</w:t>
            </w:r>
          </w:p>
          <w:p w14:paraId="32B93ADC">
            <w:pPr>
              <w:numPr>
                <w:ilvl w:val="0"/>
                <w:numId w:val="1"/>
              </w:numPr>
              <w:spacing w:line="460" w:lineRule="exact"/>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“电子加密投标文件”：在线上传递交、一份。</w:t>
            </w:r>
          </w:p>
          <w:p w14:paraId="146D1B36">
            <w:pPr>
              <w:numPr>
                <w:ilvl w:val="0"/>
                <w:numId w:val="1"/>
              </w:numPr>
              <w:spacing w:line="460" w:lineRule="exact"/>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“备份投标文件”：密封包装后投标截止时间前递交、一份</w:t>
            </w:r>
          </w:p>
          <w:p w14:paraId="6C4856D3">
            <w:pPr>
              <w:spacing w:line="460" w:lineRule="exact"/>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（若不提供备份投标文件，开标当天电子加密投标文件解密失败，投标人自行负责。）</w:t>
            </w:r>
          </w:p>
          <w:p w14:paraId="7ACEF49F">
            <w:pPr>
              <w:tabs>
                <w:tab w:val="left" w:pos="360"/>
              </w:tabs>
              <w:spacing w:line="460" w:lineRule="exact"/>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可以（邮寄形式，建议顺丰）在投标截止时间前递交，并需</w:t>
            </w:r>
            <w:r>
              <w:rPr>
                <w:rFonts w:hint="eastAsia" w:ascii="新宋体" w:hAnsi="新宋体" w:eastAsia="新宋体" w:cs="新宋体"/>
                <w:color w:val="auto"/>
                <w:sz w:val="22"/>
                <w:szCs w:val="28"/>
                <w:highlight w:val="none"/>
                <w:lang w:eastAsia="zh-CN"/>
              </w:rPr>
              <w:t>招标代理机构</w:t>
            </w:r>
            <w:r>
              <w:rPr>
                <w:rFonts w:hint="eastAsia" w:ascii="新宋体" w:hAnsi="新宋体" w:eastAsia="新宋体" w:cs="新宋体"/>
                <w:color w:val="auto"/>
                <w:sz w:val="22"/>
                <w:szCs w:val="28"/>
                <w:highlight w:val="none"/>
              </w:rPr>
              <w:t>确认是否收到，</w:t>
            </w:r>
          </w:p>
          <w:p w14:paraId="007ABB2F">
            <w:pPr>
              <w:spacing w:line="460" w:lineRule="exact"/>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邮寄地址：温州市鹿城区勤民路鹿城壹号18幢803室</w:t>
            </w:r>
          </w:p>
          <w:p w14:paraId="51792860">
            <w:pPr>
              <w:spacing w:line="460" w:lineRule="exact"/>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收件人：肖忠文，联系方式：13757727199</w:t>
            </w:r>
          </w:p>
        </w:tc>
      </w:tr>
      <w:tr w14:paraId="1D0ADC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1726FF91">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0</w:t>
            </w:r>
          </w:p>
        </w:tc>
        <w:tc>
          <w:tcPr>
            <w:tcW w:w="9490" w:type="dxa"/>
            <w:tcBorders>
              <w:top w:val="single" w:color="000000" w:sz="2" w:space="0"/>
              <w:left w:val="single" w:color="000000" w:sz="2" w:space="0"/>
              <w:bottom w:val="single" w:color="000000" w:sz="2" w:space="0"/>
              <w:right w:val="single" w:color="000000" w:sz="8" w:space="0"/>
            </w:tcBorders>
            <w:vAlign w:val="center"/>
          </w:tcPr>
          <w:p w14:paraId="0E9C8C50">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投标文件的上传和递交：</w:t>
            </w:r>
          </w:p>
          <w:p w14:paraId="4E092B54">
            <w:pPr>
              <w:keepNext w:val="0"/>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（1）“电子加密投标文件”的上传、递交：</w:t>
            </w:r>
          </w:p>
          <w:p w14:paraId="603371D5">
            <w:pPr>
              <w:keepNext w:val="0"/>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a.投标人应在投标截止时间前将“电子加密投标文件”成功上传递交至“政府采购云平台”，否则投标无效。</w:t>
            </w:r>
          </w:p>
          <w:p w14:paraId="3CF038D8">
            <w:pPr>
              <w:keepNext w:val="0"/>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b.“电子加密投标文件”成功上传递交后，供应商可自行打印投标文件接收回执。</w:t>
            </w:r>
          </w:p>
          <w:p w14:paraId="0B7F6776">
            <w:pPr>
              <w:keepNext w:val="0"/>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（2）“备份投标文件”的密封包装、递交：</w:t>
            </w:r>
          </w:p>
          <w:p w14:paraId="5C7EE944">
            <w:pPr>
              <w:keepNext w:val="0"/>
              <w:keepLines w:val="0"/>
              <w:pageBreakBefore w:val="0"/>
              <w:kinsoku/>
              <w:wordWrap/>
              <w:overflowPunct/>
              <w:topLinePunct w:val="0"/>
              <w:autoSpaceDE/>
              <w:autoSpaceDN/>
              <w:bidi w:val="0"/>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a.投标人在“政府采购云平台”完成“电子加密投标文件”的上传递交后，</w:t>
            </w:r>
            <w:r>
              <w:rPr>
                <w:rFonts w:hint="eastAsia" w:ascii="新宋体" w:hAnsi="新宋体" w:eastAsia="新宋体" w:cs="新宋体"/>
                <w:b/>
                <w:bCs/>
                <w:color w:val="auto"/>
                <w:sz w:val="22"/>
                <w:szCs w:val="22"/>
                <w:highlight w:val="none"/>
              </w:rPr>
              <w:t>还可以在投标截止时间前递交以介质（U盘）存储的数据电文形式的“备份投标文件”，（可以</w:t>
            </w:r>
            <w:r>
              <w:rPr>
                <w:rFonts w:hint="eastAsia" w:ascii="新宋体" w:hAnsi="新宋体" w:eastAsia="新宋体" w:cs="新宋体"/>
                <w:b/>
                <w:color w:val="auto"/>
                <w:sz w:val="22"/>
                <w:szCs w:val="22"/>
                <w:highlight w:val="none"/>
                <w:u w:val="single"/>
              </w:rPr>
              <w:t>（邮寄形式，建议顺丰）在投标截止时间前递交，并需</w:t>
            </w:r>
            <w:r>
              <w:rPr>
                <w:rFonts w:hint="eastAsia" w:ascii="新宋体" w:hAnsi="新宋体" w:eastAsia="新宋体" w:cs="新宋体"/>
                <w:b/>
                <w:color w:val="auto"/>
                <w:sz w:val="22"/>
                <w:szCs w:val="22"/>
                <w:highlight w:val="none"/>
                <w:u w:val="single"/>
                <w:lang w:eastAsia="zh-CN"/>
              </w:rPr>
              <w:t>招标代理机构</w:t>
            </w:r>
            <w:r>
              <w:rPr>
                <w:rFonts w:hint="eastAsia" w:ascii="新宋体" w:hAnsi="新宋体" w:eastAsia="新宋体" w:cs="新宋体"/>
                <w:b/>
                <w:color w:val="auto"/>
                <w:sz w:val="22"/>
                <w:szCs w:val="22"/>
                <w:highlight w:val="none"/>
                <w:u w:val="single"/>
              </w:rPr>
              <w:t>确认是否收到</w:t>
            </w:r>
            <w:r>
              <w:rPr>
                <w:rFonts w:hint="eastAsia" w:ascii="新宋体" w:hAnsi="新宋体" w:eastAsia="新宋体" w:cs="新宋体"/>
                <w:b/>
                <w:bCs/>
                <w:color w:val="auto"/>
                <w:sz w:val="22"/>
                <w:szCs w:val="22"/>
                <w:highlight w:val="none"/>
              </w:rPr>
              <w:t>）</w:t>
            </w:r>
          </w:p>
          <w:p w14:paraId="05D82E1E">
            <w:pPr>
              <w:keepNext w:val="0"/>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b.“备份投标文件”应当密封包装，并在包装上标注投标项目名称、投标人名称并加盖公章。没有密封包装或者逾期（邮寄）送达至投标地点的“备份投标文件”将不予接收；</w:t>
            </w:r>
          </w:p>
          <w:p w14:paraId="125A9343">
            <w:pPr>
              <w:keepNext w:val="0"/>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c.通过“政府采购云平台”成功上传递交的“电子加密投标文件”已按时解密的，“备份投标文件”自动失效。投标截止时间前，投标人仅递交了“备份投标文件”而未将“电子加密投标文件”成功上传至“政府采购云平台”的，投标无效。</w:t>
            </w:r>
          </w:p>
          <w:p w14:paraId="4E40557E">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d.供应商（联合体投标的，须由牵头人制作并递交电子加密投标文件）通过“政采云电子投标客户端”完成投标文件编制。</w:t>
            </w:r>
          </w:p>
        </w:tc>
      </w:tr>
      <w:tr w14:paraId="106FE6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1A538A73">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1</w:t>
            </w:r>
          </w:p>
        </w:tc>
        <w:tc>
          <w:tcPr>
            <w:tcW w:w="9490" w:type="dxa"/>
            <w:tcBorders>
              <w:top w:val="single" w:color="000000" w:sz="2" w:space="0"/>
              <w:left w:val="single" w:color="000000" w:sz="2" w:space="0"/>
              <w:bottom w:val="single" w:color="000000" w:sz="2" w:space="0"/>
              <w:right w:val="single" w:color="000000" w:sz="8" w:space="0"/>
            </w:tcBorders>
            <w:vAlign w:val="center"/>
          </w:tcPr>
          <w:p w14:paraId="608CF0C7">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电子加密投标文件的解密和异常情况处理：</w:t>
            </w:r>
          </w:p>
          <w:p w14:paraId="1BC9D1E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（1）开标后，采购组织机构将向各投标人发出“电子加密投标文件”的解密通知，各投标人代表应当在接到解密通知后在系统规定的时间自行完成“电子加密投标文件”的在线解密。</w:t>
            </w:r>
          </w:p>
          <w:p w14:paraId="0B530FFF">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通过“政府采购云平台”成功上传递交的“电子加密投标文件”无法按时解密，投标人如按规定递交了“备份投标文件”的，以“备份投标文件”为依据（由采购组织机构按“政府采购云平台”操作规范将“备份投标文件”上传至“政府采购云平台”，上传成功后，“电子加密投标文件”自动失效），否则视为投标文件撤回。</w:t>
            </w:r>
          </w:p>
          <w:p w14:paraId="46718CEA">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（3）投标截止时间前，投标人仅递交了“备份投标文件”而未将电子加密投标文件上传至“政府采购云平台”的，投标无效。</w:t>
            </w:r>
          </w:p>
        </w:tc>
      </w:tr>
      <w:tr w14:paraId="2C178A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6D8482E6">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2</w:t>
            </w:r>
          </w:p>
        </w:tc>
        <w:tc>
          <w:tcPr>
            <w:tcW w:w="9490" w:type="dxa"/>
            <w:tcBorders>
              <w:top w:val="single" w:color="000000" w:sz="2" w:space="0"/>
              <w:left w:val="single" w:color="000000" w:sz="2" w:space="0"/>
              <w:bottom w:val="single" w:color="000000" w:sz="2" w:space="0"/>
              <w:right w:val="single" w:color="000000" w:sz="8" w:space="0"/>
            </w:tcBorders>
            <w:vAlign w:val="center"/>
          </w:tcPr>
          <w:p w14:paraId="42752EF7">
            <w:pPr>
              <w:widowControl/>
              <w:snapToGrid w:val="0"/>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提交投标文件截止时间：详见招标公告</w:t>
            </w:r>
          </w:p>
          <w:p w14:paraId="0C3E8B24">
            <w:pPr>
              <w:widowControl/>
              <w:snapToGrid w:val="0"/>
              <w:spacing w:line="460" w:lineRule="exact"/>
              <w:jc w:val="left"/>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投标地点（网址）：详见招标公告</w:t>
            </w:r>
          </w:p>
        </w:tc>
      </w:tr>
      <w:tr w14:paraId="2B04D1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auto" w:sz="4" w:space="0"/>
              <w:right w:val="single" w:color="000000" w:sz="2" w:space="0"/>
            </w:tcBorders>
            <w:vAlign w:val="center"/>
          </w:tcPr>
          <w:p w14:paraId="2CBC4DA7">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3</w:t>
            </w:r>
          </w:p>
        </w:tc>
        <w:tc>
          <w:tcPr>
            <w:tcW w:w="9490" w:type="dxa"/>
            <w:tcBorders>
              <w:top w:val="single" w:color="000000" w:sz="2" w:space="0"/>
              <w:left w:val="single" w:color="000000" w:sz="2" w:space="0"/>
              <w:bottom w:val="single" w:color="auto" w:sz="4" w:space="0"/>
              <w:right w:val="single" w:color="000000" w:sz="8" w:space="0"/>
            </w:tcBorders>
            <w:vAlign w:val="center"/>
          </w:tcPr>
          <w:p w14:paraId="6EC4D651">
            <w:pPr>
              <w:widowControl/>
              <w:snapToGrid w:val="0"/>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开标时间：详见招标公告</w:t>
            </w:r>
          </w:p>
          <w:p w14:paraId="09C06E5F">
            <w:pPr>
              <w:widowControl/>
              <w:snapToGrid w:val="0"/>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开标地点（网址）：详见招标公告</w:t>
            </w:r>
          </w:p>
        </w:tc>
      </w:tr>
      <w:tr w14:paraId="3AD4BA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auto" w:sz="4" w:space="0"/>
              <w:right w:val="single" w:color="000000" w:sz="2" w:space="0"/>
            </w:tcBorders>
            <w:vAlign w:val="center"/>
          </w:tcPr>
          <w:p w14:paraId="411B62EC">
            <w:pPr>
              <w:snapToGrid w:val="0"/>
              <w:spacing w:line="460" w:lineRule="exact"/>
              <w:jc w:val="center"/>
              <w:rPr>
                <w:rFonts w:hint="default"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14</w:t>
            </w:r>
          </w:p>
        </w:tc>
        <w:tc>
          <w:tcPr>
            <w:tcW w:w="9490" w:type="dxa"/>
            <w:tcBorders>
              <w:top w:val="single" w:color="000000" w:sz="2" w:space="0"/>
              <w:left w:val="single" w:color="000000" w:sz="2" w:space="0"/>
              <w:bottom w:val="single" w:color="auto" w:sz="4" w:space="0"/>
              <w:right w:val="single" w:color="000000" w:sz="8" w:space="0"/>
            </w:tcBorders>
            <w:vAlign w:val="center"/>
          </w:tcPr>
          <w:p w14:paraId="2B28A4E3">
            <w:pPr>
              <w:widowControl/>
              <w:snapToGrid w:val="0"/>
              <w:spacing w:line="460" w:lineRule="exact"/>
              <w:jc w:val="lef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评审地址：</w:t>
            </w:r>
            <w:r>
              <w:rPr>
                <w:rFonts w:hint="eastAsia" w:ascii="新宋体" w:hAnsi="新宋体" w:eastAsia="新宋体" w:cs="新宋体"/>
                <w:color w:val="auto"/>
                <w:sz w:val="22"/>
                <w:szCs w:val="22"/>
                <w:highlight w:val="none"/>
              </w:rPr>
              <w:t>温州市鹿城区勤民路鹿城壹号18幢803室</w:t>
            </w:r>
          </w:p>
        </w:tc>
      </w:tr>
      <w:tr w14:paraId="2250CC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auto" w:sz="4" w:space="0"/>
              <w:left w:val="single" w:color="000000" w:sz="8" w:space="0"/>
              <w:bottom w:val="single" w:color="auto" w:sz="4" w:space="0"/>
              <w:right w:val="single" w:color="000000" w:sz="2" w:space="0"/>
            </w:tcBorders>
            <w:vAlign w:val="center"/>
          </w:tcPr>
          <w:p w14:paraId="609D3E53">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5</w:t>
            </w:r>
          </w:p>
        </w:tc>
        <w:tc>
          <w:tcPr>
            <w:tcW w:w="9490" w:type="dxa"/>
            <w:tcBorders>
              <w:top w:val="single" w:color="auto" w:sz="4" w:space="0"/>
              <w:left w:val="single" w:color="000000" w:sz="2" w:space="0"/>
              <w:bottom w:val="single" w:color="auto" w:sz="4" w:space="0"/>
              <w:right w:val="single" w:color="000000" w:sz="8" w:space="0"/>
            </w:tcBorders>
            <w:vAlign w:val="center"/>
          </w:tcPr>
          <w:p w14:paraId="43F5D72F">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带“▲”条款系指实质性要求条款。“★”是关键技术参数及要求。</w:t>
            </w:r>
          </w:p>
        </w:tc>
      </w:tr>
      <w:tr w14:paraId="10C5D0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auto" w:sz="4" w:space="0"/>
              <w:left w:val="single" w:color="000000" w:sz="8" w:space="0"/>
              <w:bottom w:val="single" w:color="auto" w:sz="4" w:space="0"/>
              <w:right w:val="single" w:color="000000" w:sz="2" w:space="0"/>
            </w:tcBorders>
            <w:vAlign w:val="center"/>
          </w:tcPr>
          <w:p w14:paraId="383557DA">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6</w:t>
            </w:r>
          </w:p>
        </w:tc>
        <w:tc>
          <w:tcPr>
            <w:tcW w:w="9490" w:type="dxa"/>
            <w:tcBorders>
              <w:top w:val="single" w:color="auto" w:sz="4" w:space="0"/>
              <w:left w:val="single" w:color="000000" w:sz="2" w:space="0"/>
              <w:bottom w:val="single" w:color="auto" w:sz="4" w:space="0"/>
              <w:right w:val="single" w:color="000000" w:sz="8" w:space="0"/>
            </w:tcBorders>
            <w:vAlign w:val="center"/>
          </w:tcPr>
          <w:p w14:paraId="665E1E8B">
            <w:pPr>
              <w:widowControl/>
              <w:snapToGrid w:val="0"/>
              <w:spacing w:line="460" w:lineRule="exact"/>
              <w:jc w:val="left"/>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为支持和促进中小企业发展，进一步发挥政府采购政策功能，温州市财政局出台了《温州市财政局关于温州市政府采购支持中小企业信用融资的通知》（温财采〔2020〕3号），供应商若有融资意向，可直接登录http</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rPr>
              <w:t>//jinrong.zcygov.cn，查看信用融资政策文件及各相关银行服务方案，也可直接向各银行咨询相关业务。</w:t>
            </w:r>
          </w:p>
        </w:tc>
      </w:tr>
      <w:tr w14:paraId="6FC0F9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53193B61">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7</w:t>
            </w:r>
          </w:p>
        </w:tc>
        <w:tc>
          <w:tcPr>
            <w:tcW w:w="9490" w:type="dxa"/>
            <w:tcBorders>
              <w:top w:val="single" w:color="000000" w:sz="2" w:space="0"/>
              <w:left w:val="single" w:color="000000" w:sz="2" w:space="0"/>
              <w:bottom w:val="single" w:color="000000" w:sz="2" w:space="0"/>
              <w:right w:val="single" w:color="000000" w:sz="8" w:space="0"/>
            </w:tcBorders>
            <w:vAlign w:val="center"/>
          </w:tcPr>
          <w:p w14:paraId="35BDAF35">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color w:val="auto"/>
                <w:kern w:val="10"/>
                <w:sz w:val="22"/>
                <w:szCs w:val="22"/>
                <w:highlight w:val="none"/>
              </w:rPr>
              <w:t>潜在供应商需在浙江政府采购网http：//zfcg.czt.zj.gov.cn/进行免费注册，具体详见浙江政府采购网供应商注册要求。</w:t>
            </w:r>
          </w:p>
        </w:tc>
      </w:tr>
      <w:tr w14:paraId="00FD21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0D6015D5">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8</w:t>
            </w:r>
          </w:p>
        </w:tc>
        <w:tc>
          <w:tcPr>
            <w:tcW w:w="9490" w:type="dxa"/>
            <w:tcBorders>
              <w:top w:val="single" w:color="000000" w:sz="2" w:space="0"/>
              <w:left w:val="single" w:color="000000" w:sz="2" w:space="0"/>
              <w:bottom w:val="single" w:color="000000" w:sz="2" w:space="0"/>
              <w:right w:val="single" w:color="000000" w:sz="8" w:space="0"/>
            </w:tcBorders>
            <w:vAlign w:val="center"/>
          </w:tcPr>
          <w:p w14:paraId="5C304978">
            <w:pPr>
              <w:adjustRightInd w:val="0"/>
              <w:snapToGrid w:val="0"/>
              <w:spacing w:line="460" w:lineRule="exact"/>
              <w:ind w:firstLine="442" w:firstLineChars="200"/>
              <w:rPr>
                <w:rFonts w:ascii="新宋体" w:hAnsi="新宋体" w:eastAsia="新宋体" w:cs="新宋体"/>
                <w:b/>
                <w:bCs/>
                <w:color w:val="auto"/>
                <w:sz w:val="22"/>
                <w:szCs w:val="28"/>
                <w:highlight w:val="none"/>
              </w:rPr>
            </w:pPr>
            <w:r>
              <w:rPr>
                <w:rFonts w:hint="eastAsia" w:ascii="新宋体" w:hAnsi="新宋体" w:eastAsia="新宋体" w:cs="新宋体"/>
                <w:b/>
                <w:bCs/>
                <w:color w:val="auto"/>
                <w:sz w:val="22"/>
                <w:szCs w:val="28"/>
                <w:highlight w:val="none"/>
              </w:rPr>
              <w:t>1、扶持中小企业（监狱企业、残疾人福利性单位）：</w:t>
            </w:r>
          </w:p>
          <w:p w14:paraId="36DA2F43">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根据《政府采购促进中小企业发展管理办法》（财库〔2020〕46号），本单位在政府采购活动中应当通过加强采购需求管理，落实预留采购份额，价格评审优惠、优先采购等措施，提高中小企业在政府采购中的份额，支持中小企业发展。项目相关情况如下：</w:t>
            </w:r>
          </w:p>
          <w:p w14:paraId="7F2F2FC3">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（1）项目预算：</w:t>
            </w:r>
            <w:r>
              <w:rPr>
                <w:rFonts w:hint="eastAsia" w:ascii="新宋体" w:hAnsi="新宋体" w:eastAsia="新宋体" w:cs="新宋体"/>
                <w:color w:val="auto"/>
                <w:sz w:val="22"/>
                <w:szCs w:val="28"/>
                <w:highlight w:val="none"/>
                <w:u w:val="single"/>
              </w:rPr>
              <w:t xml:space="preserve"> </w:t>
            </w:r>
            <w:r>
              <w:rPr>
                <w:rFonts w:hint="eastAsia" w:ascii="新宋体" w:hAnsi="新宋体" w:eastAsia="新宋体" w:cs="新宋体"/>
                <w:color w:val="auto"/>
                <w:sz w:val="22"/>
                <w:szCs w:val="28"/>
                <w:highlight w:val="none"/>
                <w:u w:val="single"/>
                <w:lang w:eastAsia="zh-CN"/>
              </w:rPr>
              <w:t>685000</w:t>
            </w:r>
            <w:r>
              <w:rPr>
                <w:rFonts w:hint="eastAsia" w:ascii="新宋体" w:hAnsi="新宋体" w:eastAsia="新宋体" w:cs="新宋体"/>
                <w:color w:val="auto"/>
                <w:sz w:val="22"/>
                <w:szCs w:val="28"/>
                <w:highlight w:val="none"/>
                <w:u w:val="single"/>
              </w:rPr>
              <w:t xml:space="preserve"> </w:t>
            </w:r>
            <w:r>
              <w:rPr>
                <w:rFonts w:hint="eastAsia" w:ascii="新宋体" w:hAnsi="新宋体" w:eastAsia="新宋体" w:cs="新宋体"/>
                <w:color w:val="auto"/>
                <w:sz w:val="22"/>
                <w:szCs w:val="28"/>
                <w:highlight w:val="none"/>
              </w:rPr>
              <w:t>元</w:t>
            </w:r>
          </w:p>
          <w:p w14:paraId="26F55696">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（2）项目属性：</w:t>
            </w:r>
            <w:r>
              <w:rPr>
                <w:rFonts w:hint="eastAsia" w:ascii="新宋体" w:hAnsi="新宋体" w:eastAsia="新宋体" w:cs="新宋体"/>
                <w:color w:val="auto"/>
                <w:sz w:val="22"/>
                <w:szCs w:val="28"/>
                <w:highlight w:val="none"/>
                <w:u w:val="single"/>
              </w:rPr>
              <w:t>①货物类</w:t>
            </w:r>
            <w:r>
              <w:rPr>
                <w:rFonts w:hint="eastAsia" w:ascii="新宋体" w:hAnsi="新宋体" w:eastAsia="新宋体" w:cs="新宋体"/>
                <w:color w:val="auto"/>
                <w:sz w:val="22"/>
                <w:szCs w:val="28"/>
                <w:highlight w:val="none"/>
              </w:rPr>
              <w:t>（①货物类/②服务类/③工程类）</w:t>
            </w:r>
          </w:p>
          <w:p w14:paraId="48DAF19A">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（3）项目对应的中小企业划分标准所属行业：</w:t>
            </w:r>
            <w:r>
              <w:rPr>
                <w:rFonts w:hint="eastAsia" w:ascii="新宋体" w:hAnsi="新宋体" w:eastAsia="新宋体" w:cs="新宋体"/>
                <w:color w:val="auto"/>
                <w:sz w:val="22"/>
                <w:szCs w:val="28"/>
                <w:highlight w:val="none"/>
                <w:u w:val="single"/>
              </w:rPr>
              <w:t>工业</w:t>
            </w:r>
            <w:r>
              <w:rPr>
                <w:rFonts w:hint="eastAsia" w:ascii="新宋体" w:hAnsi="新宋体" w:eastAsia="新宋体" w:cs="新宋体"/>
                <w:color w:val="auto"/>
                <w:sz w:val="22"/>
                <w:szCs w:val="28"/>
                <w:highlight w:val="none"/>
              </w:rPr>
              <w:t>（具体根据《中小企业划型标准规定》执行）</w:t>
            </w:r>
          </w:p>
          <w:p w14:paraId="5439073E">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14:paraId="20BD03B0">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（4）本项目</w:t>
            </w:r>
            <w:r>
              <w:rPr>
                <w:rFonts w:hint="eastAsia" w:ascii="新宋体" w:hAnsi="新宋体" w:eastAsia="新宋体" w:cs="新宋体"/>
                <w:color w:val="auto"/>
                <w:sz w:val="22"/>
                <w:szCs w:val="28"/>
                <w:highlight w:val="none"/>
                <w:u w:val="single"/>
              </w:rPr>
              <w:t xml:space="preserve"> 否 </w:t>
            </w:r>
            <w:r>
              <w:rPr>
                <w:rFonts w:hint="eastAsia" w:ascii="新宋体" w:hAnsi="新宋体" w:eastAsia="新宋体" w:cs="新宋体"/>
                <w:color w:val="auto"/>
                <w:sz w:val="22"/>
                <w:szCs w:val="28"/>
                <w:highlight w:val="none"/>
              </w:rPr>
              <w:t>属于预留份额专门面向中小企业采购的项目。</w:t>
            </w:r>
          </w:p>
          <w:p w14:paraId="7665D1EA">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（5）上述第4项中确定为“是”的采购项目，预留份额通过（ ）措施进行：</w:t>
            </w:r>
          </w:p>
          <w:p w14:paraId="123001DA">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 xml:space="preserve">①将采购项目整体或者设置采购包专门面向中小企业采购； </w:t>
            </w:r>
          </w:p>
          <w:p w14:paraId="372AB527">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②要求供应商以联合体形式参加采购活动，且联合体中中小企业承担的部分达到</w:t>
            </w:r>
            <w:r>
              <w:rPr>
                <w:rFonts w:hint="eastAsia" w:ascii="新宋体" w:hAnsi="新宋体" w:eastAsia="新宋体" w:cs="新宋体"/>
                <w:color w:val="auto"/>
                <w:sz w:val="22"/>
                <w:szCs w:val="28"/>
                <w:highlight w:val="none"/>
                <w:u w:val="single"/>
              </w:rPr>
              <w:t xml:space="preserve">    </w:t>
            </w:r>
            <w:r>
              <w:rPr>
                <w:rFonts w:hint="eastAsia" w:ascii="新宋体" w:hAnsi="新宋体" w:eastAsia="新宋体" w:cs="新宋体"/>
                <w:color w:val="auto"/>
                <w:sz w:val="22"/>
                <w:szCs w:val="28"/>
                <w:highlight w:val="none"/>
              </w:rPr>
              <w:t xml:space="preserve"> （比例）； </w:t>
            </w:r>
          </w:p>
          <w:p w14:paraId="673BC22F">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 xml:space="preserve">③要求获得采购合同的供应商将采购项目中的 </w:t>
            </w:r>
            <w:r>
              <w:rPr>
                <w:rFonts w:hint="eastAsia" w:ascii="新宋体" w:hAnsi="新宋体" w:eastAsia="新宋体" w:cs="新宋体"/>
                <w:color w:val="auto"/>
                <w:sz w:val="22"/>
                <w:szCs w:val="28"/>
                <w:highlight w:val="none"/>
                <w:u w:val="single"/>
              </w:rPr>
              <w:t xml:space="preserve">    </w:t>
            </w:r>
            <w:r>
              <w:rPr>
                <w:rFonts w:hint="eastAsia" w:ascii="新宋体" w:hAnsi="新宋体" w:eastAsia="新宋体" w:cs="新宋体"/>
                <w:color w:val="auto"/>
                <w:sz w:val="22"/>
                <w:szCs w:val="28"/>
                <w:highlight w:val="none"/>
              </w:rPr>
              <w:t>（比例）分包给一家或者多家中小企业。</w:t>
            </w:r>
          </w:p>
          <w:p w14:paraId="153E2785">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（6）</w:t>
            </w:r>
            <w:r>
              <w:rPr>
                <w:rFonts w:hint="eastAsia" w:ascii="新宋体" w:hAnsi="新宋体" w:eastAsia="新宋体" w:cs="新宋体"/>
                <w:color w:val="auto"/>
                <w:kern w:val="0"/>
                <w:sz w:val="22"/>
                <w:szCs w:val="22"/>
                <w:highlight w:val="none"/>
              </w:rPr>
              <w:t>对于经主管预算单位统筹后未预留份额专门面向中小企业采购的采购项目，以及预留份额项目中的非预留部分采购包，请贵单位明确对符合本办法规定的小微企业报价给予</w:t>
            </w:r>
            <w:r>
              <w:rPr>
                <w:rFonts w:hint="eastAsia" w:ascii="新宋体" w:hAnsi="新宋体" w:eastAsia="新宋体" w:cs="新宋体"/>
                <w:color w:val="auto"/>
                <w:kern w:val="0"/>
                <w:sz w:val="22"/>
                <w:szCs w:val="22"/>
                <w:highlight w:val="none"/>
                <w:u w:val="single"/>
              </w:rPr>
              <w:t>  10%  </w:t>
            </w:r>
            <w:r>
              <w:rPr>
                <w:rFonts w:hint="eastAsia" w:ascii="新宋体" w:hAnsi="新宋体" w:eastAsia="新宋体" w:cs="新宋体"/>
                <w:color w:val="auto"/>
                <w:kern w:val="0"/>
                <w:sz w:val="22"/>
                <w:szCs w:val="22"/>
                <w:highlight w:val="none"/>
              </w:rPr>
              <w:t xml:space="preserve">（10%—20%）（工程项目为 3%—5%）的扣除，用扣除后的价格参加评审。 </w:t>
            </w:r>
          </w:p>
          <w:p w14:paraId="5CED7AFD">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u w:val="single"/>
                <w:lang w:val="en-US" w:eastAsia="zh-CN"/>
              </w:rPr>
              <w:t>4%</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（4%-6%）（工程项目为 1%—2%）的扣除，用扣除后的价格参加评审。</w:t>
            </w:r>
          </w:p>
          <w:p w14:paraId="7F908AE4">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专门面向中小企业采购的项目或者标项，不再执行价格评审优惠的扶持政策。</w:t>
            </w:r>
          </w:p>
          <w:p w14:paraId="027BDC2B">
            <w:pPr>
              <w:widowControl/>
              <w:snapToGrid w:val="0"/>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2、节能产品、环境标志产品的强制采购政策</w:t>
            </w:r>
          </w:p>
          <w:p w14:paraId="178261EB">
            <w:pPr>
              <w:widowControl/>
              <w:snapToGrid w:val="0"/>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w:t>
            </w:r>
            <w:r>
              <w:rPr>
                <w:rFonts w:hint="eastAsia" w:ascii="新宋体" w:hAnsi="新宋体" w:eastAsia="新宋体" w:cs="新宋体"/>
                <w:color w:val="auto"/>
                <w:kern w:val="0"/>
                <w:sz w:val="22"/>
                <w:szCs w:val="22"/>
                <w:highlight w:val="none"/>
                <w:lang w:eastAsia="zh-CN"/>
              </w:rPr>
              <w:t>招标人</w:t>
            </w:r>
            <w:r>
              <w:rPr>
                <w:rFonts w:hint="eastAsia" w:ascii="新宋体" w:hAnsi="新宋体" w:eastAsia="新宋体" w:cs="新宋体"/>
                <w:color w:val="auto"/>
                <w:kern w:val="0"/>
                <w:sz w:val="22"/>
                <w:szCs w:val="22"/>
                <w:highlight w:val="none"/>
              </w:rPr>
              <w:t>拟采购的产品属于品目清单范围内的强制采购品目的，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p w14:paraId="21645156">
            <w:pPr>
              <w:widowControl/>
              <w:snapToGrid w:val="0"/>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3、节能产品、环境标志产品的优先采购政策</w:t>
            </w:r>
          </w:p>
          <w:p w14:paraId="33A46583">
            <w:pPr>
              <w:widowControl/>
              <w:snapToGrid w:val="0"/>
              <w:spacing w:line="460" w:lineRule="exact"/>
              <w:ind w:firstLine="440" w:firstLineChars="200"/>
              <w:jc w:val="left"/>
              <w:rPr>
                <w:rFonts w:ascii="新宋体" w:hAnsi="新宋体" w:eastAsia="新宋体" w:cs="新宋体"/>
                <w:b/>
                <w:color w:val="auto"/>
                <w:kern w:val="1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w:t>
            </w:r>
            <w:r>
              <w:rPr>
                <w:rFonts w:hint="eastAsia" w:ascii="新宋体" w:hAnsi="新宋体" w:eastAsia="新宋体" w:cs="新宋体"/>
                <w:color w:val="auto"/>
                <w:kern w:val="0"/>
                <w:sz w:val="22"/>
                <w:szCs w:val="22"/>
                <w:highlight w:val="none"/>
                <w:lang w:eastAsia="zh-CN"/>
              </w:rPr>
              <w:t>招标人</w:t>
            </w:r>
            <w:r>
              <w:rPr>
                <w:rFonts w:hint="eastAsia" w:ascii="新宋体" w:hAnsi="新宋体" w:eastAsia="新宋体" w:cs="新宋体"/>
                <w:color w:val="auto"/>
                <w:kern w:val="0"/>
                <w:sz w:val="22"/>
                <w:szCs w:val="22"/>
                <w:highlight w:val="none"/>
              </w:rPr>
              <w:t>拟采购的产品属于品目清单范围内的优先采购品目的，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19F338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60" w:type="dxa"/>
            <w:tcBorders>
              <w:top w:val="single" w:color="000000" w:sz="2" w:space="0"/>
              <w:left w:val="single" w:color="000000" w:sz="8" w:space="0"/>
              <w:bottom w:val="single" w:color="000000" w:sz="2" w:space="0"/>
              <w:right w:val="single" w:color="000000" w:sz="2" w:space="0"/>
            </w:tcBorders>
            <w:vAlign w:val="center"/>
          </w:tcPr>
          <w:p w14:paraId="69B35237">
            <w:pPr>
              <w:widowControl/>
              <w:snapToGrid w:val="0"/>
              <w:spacing w:line="460" w:lineRule="exact"/>
              <w:jc w:val="center"/>
              <w:textAlignment w:val="center"/>
              <w:rPr>
                <w:rFonts w:hint="default"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19</w:t>
            </w:r>
          </w:p>
        </w:tc>
        <w:tc>
          <w:tcPr>
            <w:tcW w:w="9490" w:type="dxa"/>
            <w:tcBorders>
              <w:top w:val="single" w:color="000000" w:sz="2" w:space="0"/>
              <w:left w:val="single" w:color="000000" w:sz="2" w:space="0"/>
              <w:bottom w:val="single" w:color="000000" w:sz="2" w:space="0"/>
              <w:right w:val="single" w:color="000000" w:sz="8" w:space="0"/>
            </w:tcBorders>
            <w:vAlign w:val="center"/>
          </w:tcPr>
          <w:p w14:paraId="2E3881AD">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根据《关于在政府采购活动中查询及使用信用记录有关问题的通知》财库[2016]125号的规定：</w:t>
            </w:r>
          </w:p>
          <w:p w14:paraId="783D7CC7">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或</w:t>
            </w:r>
            <w:r>
              <w:rPr>
                <w:rFonts w:hint="eastAsia" w:ascii="新宋体" w:hAnsi="新宋体" w:eastAsia="新宋体" w:cs="新宋体"/>
                <w:color w:val="auto"/>
                <w:sz w:val="22"/>
                <w:szCs w:val="22"/>
                <w:highlight w:val="none"/>
                <w:lang w:eastAsia="zh-CN"/>
              </w:rPr>
              <w:t>招标代理机构</w:t>
            </w:r>
            <w:r>
              <w:rPr>
                <w:rFonts w:hint="eastAsia" w:ascii="新宋体" w:hAnsi="新宋体" w:eastAsia="新宋体" w:cs="新宋体"/>
                <w:color w:val="auto"/>
                <w:sz w:val="22"/>
                <w:szCs w:val="22"/>
                <w:highlight w:val="none"/>
              </w:rPr>
              <w:t>将对本项目供应商的信用记录进行查询。查询渠道为信用中国网站（www.creditchina.gov.cn）、中国政府采购网（www.ccgp.gov.cn）；</w:t>
            </w:r>
          </w:p>
          <w:p w14:paraId="6EBD93C4">
            <w:pPr>
              <w:snapToGrid w:val="0"/>
              <w:spacing w:line="460" w:lineRule="exact"/>
              <w:ind w:firstLine="110" w:firstLineChars="5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2）截止时点：提交投标文件（响应文件）截止时间前3年内；</w:t>
            </w:r>
          </w:p>
          <w:p w14:paraId="3D9C9538">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3）查询记录和证据的留存：信用信息查询记录和证据以网页截图等方式留存。</w:t>
            </w:r>
          </w:p>
          <w:p w14:paraId="46A00EEB">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56DC6FDC">
            <w:pPr>
              <w:snapToGrid w:val="0"/>
              <w:spacing w:line="460" w:lineRule="exact"/>
              <w:ind w:left="105" w:leftChars="50"/>
              <w:rPr>
                <w:rFonts w:ascii="新宋体" w:hAnsi="新宋体" w:eastAsia="新宋体" w:cs="新宋体"/>
                <w:b/>
                <w:color w:val="auto"/>
                <w:kern w:val="10"/>
                <w:sz w:val="22"/>
                <w:szCs w:val="22"/>
                <w:highlight w:val="none"/>
              </w:rPr>
            </w:pPr>
            <w:r>
              <w:rPr>
                <w:rFonts w:hint="eastAsia" w:ascii="新宋体" w:hAnsi="新宋体" w:eastAsia="新宋体" w:cs="新宋体"/>
                <w:b w:val="0"/>
                <w:bCs w:val="0"/>
                <w:color w:val="auto"/>
                <w:sz w:val="22"/>
                <w:szCs w:val="22"/>
                <w:highlight w:val="none"/>
              </w:rPr>
              <w:t>（5）</w:t>
            </w:r>
            <w:r>
              <w:rPr>
                <w:rFonts w:hint="eastAsia" w:ascii="新宋体" w:hAnsi="新宋体" w:eastAsia="新宋体" w:cs="新宋体"/>
                <w:b w:val="0"/>
                <w:bCs w:val="0"/>
                <w:color w:val="auto"/>
                <w:sz w:val="22"/>
                <w:szCs w:val="22"/>
                <w:highlight w:val="none"/>
                <w:u w:val="single"/>
              </w:rPr>
              <w:t>联合体投标时，对所有联合体成员进行信用记录查询，联合体成员任意一方存在不良信用记录的，视同联合体存在不良信用记录。</w:t>
            </w:r>
          </w:p>
        </w:tc>
      </w:tr>
    </w:tbl>
    <w:p w14:paraId="049E4B16">
      <w:pPr>
        <w:rPr>
          <w:rFonts w:ascii="新宋体" w:hAnsi="新宋体" w:eastAsia="新宋体" w:cs="新宋体"/>
          <w:b/>
          <w:bCs/>
          <w:color w:val="auto"/>
          <w:sz w:val="26"/>
          <w:szCs w:val="26"/>
          <w:highlight w:val="none"/>
        </w:rPr>
      </w:pPr>
      <w:r>
        <w:rPr>
          <w:rFonts w:hint="eastAsia" w:ascii="新宋体" w:hAnsi="新宋体" w:eastAsia="新宋体" w:cs="新宋体"/>
          <w:b/>
          <w:bCs/>
          <w:color w:val="auto"/>
          <w:sz w:val="26"/>
          <w:szCs w:val="26"/>
          <w:highlight w:val="none"/>
        </w:rPr>
        <w:br w:type="page"/>
      </w:r>
    </w:p>
    <w:p w14:paraId="5C622F7E">
      <w:pPr>
        <w:spacing w:before="100" w:beforeAutospacing="1" w:after="100" w:afterAutospacing="1" w:line="460" w:lineRule="exact"/>
        <w:jc w:val="center"/>
        <w:outlineLvl w:val="1"/>
        <w:rPr>
          <w:rFonts w:ascii="新宋体" w:hAnsi="新宋体" w:eastAsia="新宋体" w:cs="新宋体"/>
          <w:b/>
          <w:bCs/>
          <w:color w:val="auto"/>
          <w:sz w:val="32"/>
          <w:szCs w:val="32"/>
          <w:highlight w:val="none"/>
        </w:rPr>
      </w:pPr>
      <w:bookmarkStart w:id="11" w:name="_Toc22850"/>
      <w:bookmarkStart w:id="12" w:name="_Toc20846"/>
      <w:r>
        <w:rPr>
          <w:rFonts w:hint="eastAsia" w:ascii="新宋体" w:hAnsi="新宋体" w:eastAsia="新宋体" w:cs="新宋体"/>
          <w:b/>
          <w:bCs/>
          <w:color w:val="auto"/>
          <w:sz w:val="26"/>
          <w:szCs w:val="26"/>
          <w:highlight w:val="none"/>
        </w:rPr>
        <w:t>一、 说   明</w:t>
      </w:r>
      <w:bookmarkEnd w:id="11"/>
      <w:bookmarkEnd w:id="12"/>
    </w:p>
    <w:p w14:paraId="3A540FEE">
      <w:pPr>
        <w:tabs>
          <w:tab w:val="left" w:pos="360"/>
        </w:tabs>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本次招标是按照《中华人民共和国政府采购法》、《政府采购货物和服务招标投标管理办法》、《中华人民共和国政府采购法实施条例》和《关于进一步规范政府采购活动的若干意见》等法律及有关法规组织和实施的。</w:t>
      </w:r>
    </w:p>
    <w:p w14:paraId="0C7AA4B9">
      <w:pPr>
        <w:tabs>
          <w:tab w:val="left" w:pos="360"/>
        </w:tabs>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2、定义</w:t>
      </w:r>
    </w:p>
    <w:p w14:paraId="714A1C5E">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：是指依法进行政府采购的国家机关、事业单位、团体组织</w:t>
      </w:r>
    </w:p>
    <w:p w14:paraId="4F51C6B0">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招标代理机构</w:t>
      </w:r>
      <w:r>
        <w:rPr>
          <w:rFonts w:hint="eastAsia" w:ascii="新宋体" w:hAnsi="新宋体" w:eastAsia="新宋体" w:cs="新宋体"/>
          <w:color w:val="auto"/>
          <w:sz w:val="22"/>
          <w:highlight w:val="none"/>
        </w:rPr>
        <w:t>：受</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委托，在委托的范围内办理政府采购事宜的机构；</w:t>
      </w:r>
    </w:p>
    <w:p w14:paraId="02D4ADC4">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投标人：是指参加本政府采购项目投标的供应商；</w:t>
      </w:r>
    </w:p>
    <w:p w14:paraId="7D7C96C4">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投标人代表：是指参加本项目投标活动的供应商法定代表人或法定代表人授权代表；</w:t>
      </w:r>
    </w:p>
    <w:p w14:paraId="707EAB43">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投标联合体：是指两个以上供应商组成联合体，以一个供应商的身份参加投标；</w:t>
      </w:r>
    </w:p>
    <w:p w14:paraId="6BA6E1CA">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甲方：是指合同签订的一方，一般与</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、用户相同；</w:t>
      </w:r>
    </w:p>
    <w:p w14:paraId="540323BB">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乙方：是指合同签订的另一方，与中标人相同；</w:t>
      </w:r>
    </w:p>
    <w:p w14:paraId="25B39874">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制造商：是指拥有投标产品自主知识产权的单位；</w:t>
      </w:r>
    </w:p>
    <w:p w14:paraId="36922AD2">
      <w:pPr>
        <w:tabs>
          <w:tab w:val="left" w:pos="360"/>
        </w:tabs>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14:paraId="00EBC5F9">
      <w:pPr>
        <w:tabs>
          <w:tab w:val="left" w:pos="360"/>
        </w:tabs>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带“▲”条款系指实质性要求条款。“★”是关键技术参数及要求。</w:t>
      </w:r>
    </w:p>
    <w:p w14:paraId="0870C233">
      <w:pPr>
        <w:tabs>
          <w:tab w:val="left" w:pos="360"/>
        </w:tabs>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3、投标人代表</w:t>
      </w:r>
    </w:p>
    <w:p w14:paraId="374A1E88">
      <w:pPr>
        <w:tabs>
          <w:tab w:val="left" w:pos="360"/>
        </w:tabs>
        <w:spacing w:line="460" w:lineRule="exact"/>
        <w:ind w:firstLine="442" w:firstLineChars="200"/>
        <w:rPr>
          <w:rFonts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t>3.1</w:t>
      </w:r>
      <w:r>
        <w:rPr>
          <w:rFonts w:hint="eastAsia" w:ascii="新宋体" w:hAnsi="新宋体" w:eastAsia="新宋体" w:cs="新宋体"/>
          <w:b/>
          <w:color w:val="auto"/>
          <w:sz w:val="22"/>
          <w:highlight w:val="none"/>
        </w:rPr>
        <w:t>指全权代表投标人参加投标活动并签署投标文件的人。如果投标人代表不是法定代表人，须持有《法定代表人授权书》（见附件）</w:t>
      </w:r>
    </w:p>
    <w:p w14:paraId="1A13D7B9">
      <w:pPr>
        <w:tabs>
          <w:tab w:val="left" w:pos="360"/>
        </w:tabs>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r>
        <w:rPr>
          <w:rFonts w:hint="eastAsia" w:ascii="新宋体" w:hAnsi="新宋体" w:eastAsia="新宋体" w:cs="新宋体"/>
          <w:b/>
          <w:color w:val="auto"/>
          <w:sz w:val="22"/>
          <w:szCs w:val="22"/>
          <w:highlight w:val="none"/>
        </w:rPr>
        <w:t>。</w:t>
      </w:r>
    </w:p>
    <w:p w14:paraId="7E7E3FBB">
      <w:pPr>
        <w:tabs>
          <w:tab w:val="left" w:pos="360"/>
        </w:tabs>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4、投标费用</w:t>
      </w:r>
    </w:p>
    <w:p w14:paraId="3E75C6C0">
      <w:pPr>
        <w:tabs>
          <w:tab w:val="left" w:pos="360"/>
        </w:tabs>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4.1</w:t>
      </w:r>
      <w:r>
        <w:rPr>
          <w:rFonts w:hint="eastAsia" w:ascii="新宋体" w:hAnsi="新宋体" w:eastAsia="新宋体" w:cs="新宋体"/>
          <w:color w:val="auto"/>
          <w:sz w:val="22"/>
          <w:szCs w:val="22"/>
          <w:highlight w:val="none"/>
        </w:rPr>
        <w:t>投标人应承担所有与准备和参加投标有关费用，不论投标的结果如何，</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或</w:t>
      </w:r>
      <w:r>
        <w:rPr>
          <w:rFonts w:hint="eastAsia" w:ascii="新宋体" w:hAnsi="新宋体" w:eastAsia="新宋体" w:cs="新宋体"/>
          <w:color w:val="auto"/>
          <w:sz w:val="22"/>
          <w:szCs w:val="22"/>
          <w:highlight w:val="none"/>
          <w:lang w:eastAsia="zh-CN"/>
        </w:rPr>
        <w:t>招标代理机构</w:t>
      </w:r>
      <w:r>
        <w:rPr>
          <w:rFonts w:hint="eastAsia" w:ascii="新宋体" w:hAnsi="新宋体" w:eastAsia="新宋体" w:cs="新宋体"/>
          <w:color w:val="auto"/>
          <w:sz w:val="22"/>
          <w:szCs w:val="22"/>
          <w:highlight w:val="none"/>
        </w:rPr>
        <w:t>均无义务和责任承担这些费用。</w:t>
      </w:r>
    </w:p>
    <w:p w14:paraId="5F6B0196">
      <w:pPr>
        <w:spacing w:before="100" w:beforeAutospacing="1" w:after="100" w:afterAutospacing="1" w:line="460" w:lineRule="exact"/>
        <w:jc w:val="center"/>
        <w:outlineLvl w:val="1"/>
        <w:rPr>
          <w:rFonts w:ascii="新宋体" w:hAnsi="新宋体" w:eastAsia="新宋体" w:cs="新宋体"/>
          <w:b/>
          <w:bCs/>
          <w:color w:val="auto"/>
          <w:sz w:val="26"/>
          <w:szCs w:val="26"/>
          <w:highlight w:val="none"/>
        </w:rPr>
      </w:pPr>
      <w:bookmarkStart w:id="13" w:name="_Toc9899"/>
      <w:bookmarkStart w:id="14" w:name="_Toc14155"/>
      <w:r>
        <w:rPr>
          <w:rFonts w:hint="eastAsia" w:ascii="新宋体" w:hAnsi="新宋体" w:eastAsia="新宋体" w:cs="新宋体"/>
          <w:b/>
          <w:bCs/>
          <w:color w:val="auto"/>
          <w:sz w:val="26"/>
          <w:szCs w:val="26"/>
          <w:highlight w:val="none"/>
        </w:rPr>
        <w:t>二、 招标文件</w:t>
      </w:r>
      <w:bookmarkEnd w:id="13"/>
      <w:bookmarkEnd w:id="14"/>
    </w:p>
    <w:p w14:paraId="6B0F913A">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1、招标文件由招标文件目录所列内容及相关资料组成。</w:t>
      </w:r>
    </w:p>
    <w:p w14:paraId="22EAC09E">
      <w:pPr>
        <w:tabs>
          <w:tab w:val="left" w:pos="360"/>
        </w:tabs>
        <w:spacing w:line="460" w:lineRule="exact"/>
        <w:ind w:firstLine="442" w:firstLineChars="200"/>
        <w:rPr>
          <w:rFonts w:ascii="新宋体" w:hAnsi="新宋体" w:eastAsia="新宋体" w:cs="新宋体"/>
          <w:b/>
          <w:color w:val="auto"/>
          <w:sz w:val="22"/>
          <w:highlight w:val="none"/>
        </w:rPr>
      </w:pPr>
      <w:bookmarkStart w:id="15" w:name="_Toc12726"/>
      <w:r>
        <w:rPr>
          <w:rFonts w:hint="eastAsia" w:ascii="新宋体" w:hAnsi="新宋体" w:eastAsia="新宋体" w:cs="新宋体"/>
          <w:b/>
          <w:color w:val="auto"/>
          <w:sz w:val="22"/>
          <w:highlight w:val="none"/>
        </w:rPr>
        <w:t>2、招标文件的澄清</w:t>
      </w:r>
    </w:p>
    <w:p w14:paraId="435B0D31">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2.1任何要求对招标文件进行澄清的投标人，均应以书面形式（信函、传真，下同）通知，但该通知在知道或应知道其权益受到损害之日起七个工作日内以使</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或</w:t>
      </w:r>
      <w:r>
        <w:rPr>
          <w:rFonts w:hint="eastAsia" w:ascii="新宋体" w:hAnsi="新宋体" w:eastAsia="新宋体" w:cs="新宋体"/>
          <w:color w:val="auto"/>
          <w:sz w:val="22"/>
          <w:highlight w:val="none"/>
          <w:lang w:eastAsia="zh-CN"/>
        </w:rPr>
        <w:t>招标代理机构</w:t>
      </w:r>
      <w:r>
        <w:rPr>
          <w:rFonts w:hint="eastAsia" w:ascii="新宋体" w:hAnsi="新宋体" w:eastAsia="新宋体" w:cs="新宋体"/>
          <w:color w:val="auto"/>
          <w:sz w:val="22"/>
          <w:highlight w:val="none"/>
        </w:rPr>
        <w:t>收到，</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或</w:t>
      </w:r>
      <w:r>
        <w:rPr>
          <w:rFonts w:hint="eastAsia" w:ascii="新宋体" w:hAnsi="新宋体" w:eastAsia="新宋体" w:cs="新宋体"/>
          <w:color w:val="auto"/>
          <w:sz w:val="22"/>
          <w:highlight w:val="none"/>
          <w:lang w:eastAsia="zh-CN"/>
        </w:rPr>
        <w:t>招标代理机构</w:t>
      </w:r>
      <w:r>
        <w:rPr>
          <w:rFonts w:hint="eastAsia" w:ascii="新宋体" w:hAnsi="新宋体" w:eastAsia="新宋体" w:cs="新宋体"/>
          <w:color w:val="auto"/>
          <w:sz w:val="22"/>
          <w:highlight w:val="none"/>
        </w:rPr>
        <w:t>将以书面形式予以答复。如果招标文件澄清期内未收到有关澄清要求，视为投标人完全同意招标文件所有条款，且对于招标文件有关表述以及未尽事宜如有异议，以</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或</w:t>
      </w:r>
      <w:r>
        <w:rPr>
          <w:rFonts w:hint="eastAsia" w:ascii="新宋体" w:hAnsi="新宋体" w:eastAsia="新宋体" w:cs="新宋体"/>
          <w:color w:val="auto"/>
          <w:sz w:val="22"/>
          <w:highlight w:val="none"/>
          <w:lang w:eastAsia="zh-CN"/>
        </w:rPr>
        <w:t>招标代理机构</w:t>
      </w:r>
      <w:r>
        <w:rPr>
          <w:rFonts w:hint="eastAsia" w:ascii="新宋体" w:hAnsi="新宋体" w:eastAsia="新宋体" w:cs="新宋体"/>
          <w:color w:val="auto"/>
          <w:sz w:val="22"/>
          <w:highlight w:val="none"/>
        </w:rPr>
        <w:t>解释为准。</w:t>
      </w:r>
    </w:p>
    <w:p w14:paraId="7F842F31">
      <w:pPr>
        <w:tabs>
          <w:tab w:val="left" w:pos="360"/>
        </w:tabs>
        <w:spacing w:line="460" w:lineRule="exact"/>
        <w:ind w:firstLine="442" w:firstLineChars="200"/>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3、招标文件的修改</w:t>
      </w:r>
    </w:p>
    <w:p w14:paraId="15B16841">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3.1</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或</w:t>
      </w:r>
      <w:r>
        <w:rPr>
          <w:rFonts w:hint="eastAsia" w:ascii="新宋体" w:hAnsi="新宋体" w:eastAsia="新宋体" w:cs="新宋体"/>
          <w:color w:val="auto"/>
          <w:sz w:val="22"/>
          <w:highlight w:val="none"/>
          <w:lang w:eastAsia="zh-CN"/>
        </w:rPr>
        <w:t>招标代理机构</w:t>
      </w:r>
      <w:r>
        <w:rPr>
          <w:rFonts w:hint="eastAsia" w:ascii="新宋体" w:hAnsi="新宋体" w:eastAsia="新宋体" w:cs="新宋体"/>
          <w:color w:val="auto"/>
          <w:sz w:val="22"/>
          <w:highlight w:val="none"/>
        </w:rPr>
        <w:t>对已发出的招标文件进行必要的澄清或者修改的，应当在招标文件要求递交投标文件截止时间十五日前，在财政部门指定的政府采购信息发布媒体上发布更正公告。该澄清或修改内容为招标文件的组成部分。</w:t>
      </w:r>
    </w:p>
    <w:p w14:paraId="5A771568">
      <w:pPr>
        <w:tabs>
          <w:tab w:val="left" w:pos="360"/>
        </w:tabs>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3.2</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w:t>
      </w:r>
      <w:r>
        <w:rPr>
          <w:rFonts w:hint="eastAsia" w:ascii="新宋体" w:hAnsi="新宋体" w:eastAsia="新宋体" w:cs="新宋体"/>
          <w:color w:val="auto"/>
          <w:sz w:val="22"/>
          <w:highlight w:val="none"/>
          <w:lang w:eastAsia="zh-CN"/>
        </w:rPr>
        <w:t>招标代理机构</w:t>
      </w:r>
      <w:r>
        <w:rPr>
          <w:rFonts w:hint="eastAsia" w:ascii="新宋体" w:hAnsi="新宋体" w:eastAsia="新宋体" w:cs="新宋体"/>
          <w:color w:val="auto"/>
          <w:sz w:val="22"/>
          <w:highlight w:val="none"/>
        </w:rPr>
        <w:t>可以视采购的具体情况决定是否延长投标截止时间和开标时间，并在招标文件要求递交投标文件的截止时间前，在财政部门指定的政府采购信息发布媒体上发布变更公告。</w:t>
      </w:r>
    </w:p>
    <w:p w14:paraId="74160A82">
      <w:pPr>
        <w:spacing w:before="100" w:beforeAutospacing="1" w:after="100" w:afterAutospacing="1" w:line="460" w:lineRule="exact"/>
        <w:jc w:val="center"/>
        <w:outlineLvl w:val="1"/>
        <w:rPr>
          <w:rFonts w:ascii="新宋体" w:hAnsi="新宋体" w:eastAsia="新宋体" w:cs="新宋体"/>
          <w:b/>
          <w:bCs/>
          <w:color w:val="auto"/>
          <w:sz w:val="26"/>
          <w:szCs w:val="26"/>
          <w:highlight w:val="none"/>
        </w:rPr>
      </w:pPr>
      <w:bookmarkStart w:id="16" w:name="_Toc23933"/>
      <w:r>
        <w:rPr>
          <w:rFonts w:hint="eastAsia" w:ascii="新宋体" w:hAnsi="新宋体" w:eastAsia="新宋体" w:cs="新宋体"/>
          <w:b/>
          <w:bCs/>
          <w:color w:val="auto"/>
          <w:sz w:val="26"/>
          <w:szCs w:val="26"/>
          <w:highlight w:val="none"/>
        </w:rPr>
        <w:t>三、 投标文件的编制</w:t>
      </w:r>
      <w:bookmarkEnd w:id="15"/>
      <w:bookmarkEnd w:id="16"/>
    </w:p>
    <w:p w14:paraId="37D2FDAD">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1、投标人应认真阅读招标文件中所有事项、格式、条款和技术规范等。</w:t>
      </w:r>
      <w:r>
        <w:rPr>
          <w:rFonts w:hint="eastAsia" w:ascii="新宋体" w:hAnsi="新宋体" w:eastAsia="新宋体" w:cs="新宋体"/>
          <w:b/>
          <w:color w:val="auto"/>
          <w:sz w:val="22"/>
          <w:highlight w:val="none"/>
        </w:rPr>
        <w:t>投标人没有按照招标文件要求提交全部资料，或者没有对招标文件各个方面做出实质性响应，导致投标被否决的风险由投标人自行承担。</w:t>
      </w:r>
    </w:p>
    <w:p w14:paraId="038F4B34">
      <w:pPr>
        <w:tabs>
          <w:tab w:val="left" w:pos="360"/>
        </w:tabs>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2、投标人应保证所提供文件资料的真实性，所有文件资料必须是针对本次投标的。如发现投标人提供了虚假文件资料，其投标将被否决，并自行承担相应的法律责任。</w:t>
      </w:r>
    </w:p>
    <w:p w14:paraId="334F5FF8">
      <w:pPr>
        <w:tabs>
          <w:tab w:val="left" w:pos="360"/>
        </w:tabs>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bCs/>
          <w:color w:val="auto"/>
          <w:sz w:val="22"/>
          <w:szCs w:val="22"/>
          <w:highlight w:val="none"/>
        </w:rPr>
        <w:t>投标文件的构成：</w:t>
      </w:r>
    </w:p>
    <w:p w14:paraId="3FC0321D">
      <w:pPr>
        <w:tabs>
          <w:tab w:val="left" w:pos="360"/>
        </w:tabs>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rPr>
        <w:t>投标</w:t>
      </w:r>
      <w:r>
        <w:rPr>
          <w:rFonts w:hint="eastAsia" w:ascii="新宋体" w:hAnsi="新宋体" w:eastAsia="新宋体" w:cs="新宋体"/>
          <w:b/>
          <w:bCs/>
          <w:color w:val="auto"/>
          <w:kern w:val="0"/>
          <w:sz w:val="22"/>
          <w:szCs w:val="22"/>
          <w:highlight w:val="none"/>
          <w:lang w:val="zh-CN"/>
        </w:rPr>
        <w:t>文件应当包括以下主要内容：资格文件、报价文件、商务技术文件。</w:t>
      </w:r>
    </w:p>
    <w:p w14:paraId="09612232">
      <w:pPr>
        <w:tabs>
          <w:tab w:val="left" w:pos="360"/>
        </w:tabs>
        <w:spacing w:line="460" w:lineRule="exact"/>
        <w:ind w:firstLine="442" w:firstLineChars="200"/>
        <w:rPr>
          <w:rFonts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rPr>
        <w:t>3.1</w:t>
      </w:r>
      <w:r>
        <w:rPr>
          <w:rFonts w:hint="eastAsia" w:ascii="新宋体" w:hAnsi="新宋体" w:eastAsia="新宋体" w:cs="新宋体"/>
          <w:b/>
          <w:bCs/>
          <w:color w:val="auto"/>
          <w:kern w:val="0"/>
          <w:sz w:val="22"/>
          <w:szCs w:val="22"/>
          <w:highlight w:val="none"/>
          <w:lang w:val="zh-CN"/>
        </w:rPr>
        <w:t xml:space="preserve">投标人的资格文件至少应包括以下内容： </w:t>
      </w:r>
    </w:p>
    <w:p w14:paraId="186D1624">
      <w:pPr>
        <w:tabs>
          <w:tab w:val="left" w:pos="360"/>
        </w:tabs>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基本资格条件审查材料：即证明供应商参加本次采购活动前3年内满足《中华人民共和国政府采购法》的有关资格证明文件。</w:t>
      </w:r>
      <w:r>
        <w:rPr>
          <w:rFonts w:hint="eastAsia" w:ascii="新宋体" w:hAnsi="新宋体" w:eastAsia="新宋体" w:cs="新宋体"/>
          <w:color w:val="auto"/>
          <w:sz w:val="22"/>
          <w:szCs w:val="22"/>
          <w:highlight w:val="none"/>
          <w:u w:val="single"/>
        </w:rPr>
        <w:t>包括：</w:t>
      </w:r>
    </w:p>
    <w:p w14:paraId="6C4B3A6C">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（1）资格条件承诺函；</w:t>
      </w:r>
      <w:r>
        <w:rPr>
          <w:rFonts w:hint="eastAsia" w:ascii="新宋体" w:hAnsi="新宋体" w:eastAsia="新宋体" w:cs="新宋体"/>
          <w:b/>
          <w:bCs/>
          <w:color w:val="auto"/>
          <w:sz w:val="22"/>
          <w:szCs w:val="22"/>
          <w:highlight w:val="none"/>
          <w:u w:val="single"/>
        </w:rPr>
        <w:t>（如为联合体投标，联合体各方均需提供</w:t>
      </w:r>
      <w:r>
        <w:rPr>
          <w:rFonts w:hint="eastAsia" w:ascii="新宋体" w:hAnsi="新宋体" w:eastAsia="新宋体" w:cs="新宋体"/>
          <w:b/>
          <w:bCs/>
          <w:color w:val="auto"/>
          <w:sz w:val="22"/>
          <w:szCs w:val="22"/>
          <w:highlight w:val="none"/>
          <w:u w:val="single"/>
          <w:lang w:eastAsia="zh-CN"/>
        </w:rPr>
        <w:t>）</w:t>
      </w:r>
    </w:p>
    <w:p w14:paraId="792492B2">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 xml:space="preserve">（2）营业执照（或事业法人登记证书或其它工商等登记证明材料；自然人参与政府采购，提供身份证）复印件； </w:t>
      </w:r>
      <w:r>
        <w:rPr>
          <w:rFonts w:hint="eastAsia" w:ascii="新宋体" w:hAnsi="新宋体" w:eastAsia="新宋体" w:cs="新宋体"/>
          <w:b/>
          <w:bCs/>
          <w:color w:val="auto"/>
          <w:sz w:val="22"/>
          <w:szCs w:val="22"/>
          <w:highlight w:val="none"/>
          <w:u w:val="single"/>
        </w:rPr>
        <w:t>（如为联合体投标，联合体各方均需提供</w:t>
      </w:r>
      <w:r>
        <w:rPr>
          <w:rFonts w:hint="eastAsia" w:ascii="新宋体" w:hAnsi="新宋体" w:eastAsia="新宋体" w:cs="新宋体"/>
          <w:b/>
          <w:bCs/>
          <w:color w:val="auto"/>
          <w:sz w:val="22"/>
          <w:szCs w:val="22"/>
          <w:highlight w:val="none"/>
          <w:u w:val="single"/>
          <w:lang w:eastAsia="zh-CN"/>
        </w:rPr>
        <w:t>）</w:t>
      </w:r>
    </w:p>
    <w:p w14:paraId="4DD33FF6">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4E5FDF50">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（3）投标人信用查询；</w:t>
      </w:r>
      <w:r>
        <w:rPr>
          <w:rFonts w:hint="eastAsia" w:ascii="新宋体" w:hAnsi="新宋体" w:eastAsia="新宋体" w:cs="新宋体"/>
          <w:b/>
          <w:bCs/>
          <w:color w:val="auto"/>
          <w:sz w:val="22"/>
          <w:szCs w:val="22"/>
          <w:highlight w:val="none"/>
          <w:u w:val="single"/>
        </w:rPr>
        <w:t>（如为联合体投标，联合体各方均需提供</w:t>
      </w:r>
      <w:r>
        <w:rPr>
          <w:rFonts w:hint="eastAsia" w:ascii="新宋体" w:hAnsi="新宋体" w:eastAsia="新宋体" w:cs="新宋体"/>
          <w:b/>
          <w:bCs/>
          <w:color w:val="auto"/>
          <w:sz w:val="22"/>
          <w:szCs w:val="22"/>
          <w:highlight w:val="none"/>
          <w:u w:val="single"/>
          <w:lang w:eastAsia="zh-CN"/>
        </w:rPr>
        <w:t>）</w:t>
      </w:r>
    </w:p>
    <w:p w14:paraId="3060E0AD">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（4）政府采购活动确认声明书</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b/>
          <w:bCs/>
          <w:color w:val="auto"/>
          <w:sz w:val="22"/>
          <w:szCs w:val="22"/>
          <w:highlight w:val="none"/>
          <w:u w:val="single"/>
        </w:rPr>
        <w:t>（如为联合体投标，联合体各方均需提供</w:t>
      </w:r>
      <w:r>
        <w:rPr>
          <w:rFonts w:hint="eastAsia" w:ascii="新宋体" w:hAnsi="新宋体" w:eastAsia="新宋体" w:cs="新宋体"/>
          <w:b/>
          <w:bCs/>
          <w:color w:val="auto"/>
          <w:sz w:val="22"/>
          <w:szCs w:val="22"/>
          <w:highlight w:val="none"/>
          <w:u w:val="single"/>
          <w:lang w:eastAsia="zh-CN"/>
        </w:rPr>
        <w:t>）</w:t>
      </w:r>
    </w:p>
    <w:p w14:paraId="589EF413">
      <w:pPr>
        <w:tabs>
          <w:tab w:val="left" w:pos="360"/>
        </w:tabs>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5</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联合体共同投标协议书（如有）；</w:t>
      </w:r>
    </w:p>
    <w:p w14:paraId="77C96D84">
      <w:pPr>
        <w:tabs>
          <w:tab w:val="left" w:pos="360"/>
        </w:tabs>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上述资格条件审查材料有一项不提供的，视为资格审查不通过。</w:t>
      </w:r>
    </w:p>
    <w:p w14:paraId="711E6760">
      <w:pPr>
        <w:tabs>
          <w:tab w:val="left" w:pos="360"/>
        </w:tabs>
        <w:spacing w:line="460" w:lineRule="exact"/>
        <w:ind w:firstLine="442" w:firstLineChars="200"/>
        <w:rPr>
          <w:rFonts w:ascii="新宋体" w:hAnsi="新宋体" w:eastAsia="新宋体" w:cs="新宋体"/>
          <w:color w:val="auto"/>
          <w:sz w:val="22"/>
          <w:szCs w:val="22"/>
          <w:highlight w:val="none"/>
          <w:u w:val="single"/>
          <w:lang w:val="zh-CN"/>
        </w:rPr>
      </w:pPr>
      <w:r>
        <w:rPr>
          <w:rFonts w:hint="eastAsia" w:ascii="新宋体" w:hAnsi="新宋体" w:eastAsia="新宋体" w:cs="新宋体"/>
          <w:b/>
          <w:bCs/>
          <w:color w:val="auto"/>
          <w:sz w:val="22"/>
          <w:szCs w:val="22"/>
          <w:highlight w:val="none"/>
        </w:rPr>
        <w:t xml:space="preserve">3.2投标人的报价文件至少应包括以下内容： </w:t>
      </w:r>
    </w:p>
    <w:p w14:paraId="0676B7E2">
      <w:pPr>
        <w:tabs>
          <w:tab w:val="left" w:pos="360"/>
        </w:tabs>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（1）投标报价一览表；</w:t>
      </w:r>
    </w:p>
    <w:p w14:paraId="53C467FC">
      <w:pPr>
        <w:tabs>
          <w:tab w:val="left" w:pos="360"/>
        </w:tabs>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（2）投标分项报价表</w:t>
      </w:r>
    </w:p>
    <w:p w14:paraId="335C9DEF">
      <w:pPr>
        <w:tabs>
          <w:tab w:val="left" w:pos="360"/>
        </w:tabs>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（3）符合财政价格优惠政策</w:t>
      </w:r>
      <w:r>
        <w:rPr>
          <w:rFonts w:hint="eastAsia" w:ascii="新宋体" w:hAnsi="新宋体" w:eastAsia="新宋体" w:cs="新宋体"/>
          <w:color w:val="auto"/>
          <w:sz w:val="22"/>
          <w:szCs w:val="22"/>
          <w:highlight w:val="none"/>
          <w:lang w:val="en-US" w:eastAsia="zh-CN"/>
        </w:rPr>
        <w:t>的证明材料</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中小企业声明函、监狱企业、残疾人福利性单位及其他相关的充分的证明材料。（如有）</w:t>
      </w:r>
    </w:p>
    <w:p w14:paraId="57C1EF29">
      <w:pPr>
        <w:tabs>
          <w:tab w:val="left" w:pos="360"/>
        </w:tabs>
        <w:spacing w:line="460" w:lineRule="exact"/>
        <w:ind w:firstLine="440"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rPr>
        <w:t>3.3</w:t>
      </w:r>
      <w:r>
        <w:rPr>
          <w:rFonts w:hint="eastAsia" w:ascii="新宋体" w:hAnsi="新宋体" w:eastAsia="新宋体" w:cs="新宋体"/>
          <w:color w:val="auto"/>
          <w:kern w:val="0"/>
          <w:sz w:val="22"/>
          <w:szCs w:val="22"/>
          <w:highlight w:val="none"/>
          <w:lang w:val="zh-CN"/>
        </w:rPr>
        <w:t>投标人的</w:t>
      </w:r>
      <w:r>
        <w:rPr>
          <w:rFonts w:hint="eastAsia" w:ascii="新宋体" w:hAnsi="新宋体" w:eastAsia="新宋体" w:cs="新宋体"/>
          <w:b/>
          <w:bCs/>
          <w:color w:val="auto"/>
          <w:kern w:val="0"/>
          <w:sz w:val="22"/>
          <w:szCs w:val="22"/>
          <w:highlight w:val="none"/>
          <w:lang w:val="zh-CN"/>
        </w:rPr>
        <w:t>商务技术文件</w:t>
      </w:r>
      <w:r>
        <w:rPr>
          <w:rFonts w:hint="eastAsia" w:ascii="新宋体" w:hAnsi="新宋体" w:eastAsia="新宋体" w:cs="新宋体"/>
          <w:color w:val="auto"/>
          <w:kern w:val="0"/>
          <w:sz w:val="22"/>
          <w:szCs w:val="22"/>
          <w:highlight w:val="none"/>
          <w:lang w:val="zh-CN"/>
        </w:rPr>
        <w:t xml:space="preserve">应包括以下内容： </w:t>
      </w:r>
    </w:p>
    <w:p w14:paraId="25B249DE">
      <w:pPr>
        <w:tabs>
          <w:tab w:val="left" w:pos="360"/>
        </w:tabs>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（1）投标响应函；</w:t>
      </w:r>
    </w:p>
    <w:p w14:paraId="753AB380">
      <w:pPr>
        <w:tabs>
          <w:tab w:val="left" w:pos="360"/>
        </w:tabs>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（2）法定代表人授权委托书（需提供法定代表人及授权委托人的身份证复印件加盖公章）；</w:t>
      </w:r>
    </w:p>
    <w:p w14:paraId="44340347">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）廉政承诺书</w:t>
      </w:r>
    </w:p>
    <w:p w14:paraId="30D05EA0">
      <w:pPr>
        <w:tabs>
          <w:tab w:val="left" w:pos="360"/>
        </w:tabs>
        <w:spacing w:line="460" w:lineRule="exact"/>
        <w:ind w:firstLine="442"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b/>
          <w:bCs/>
          <w:color w:val="auto"/>
          <w:sz w:val="22"/>
          <w:szCs w:val="22"/>
          <w:highlight w:val="none"/>
          <w:u w:val="single"/>
        </w:rPr>
        <w:t>（4）</w:t>
      </w:r>
      <w:r>
        <w:rPr>
          <w:rFonts w:hint="eastAsia" w:ascii="新宋体" w:hAnsi="新宋体" w:eastAsia="新宋体" w:cs="新宋体"/>
          <w:b/>
          <w:bCs/>
          <w:color w:val="auto"/>
          <w:kern w:val="0"/>
          <w:sz w:val="22"/>
          <w:szCs w:val="22"/>
          <w:highlight w:val="none"/>
          <w:u w:val="singl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销售许可文件（适用于按医疗器械管理的货物）；</w:t>
      </w:r>
    </w:p>
    <w:p w14:paraId="3B69F935">
      <w:pPr>
        <w:tabs>
          <w:tab w:val="left" w:pos="360"/>
        </w:tabs>
        <w:spacing w:line="460" w:lineRule="exact"/>
        <w:ind w:firstLine="442" w:firstLineChars="200"/>
        <w:rPr>
          <w:rFonts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rPr>
        <w:t>5</w:t>
      </w:r>
      <w:r>
        <w:rPr>
          <w:rFonts w:hint="eastAsia" w:ascii="新宋体" w:hAnsi="新宋体" w:eastAsia="新宋体" w:cs="新宋体"/>
          <w:b/>
          <w:bCs/>
          <w:color w:val="auto"/>
          <w:kern w:val="0"/>
          <w:sz w:val="22"/>
          <w:szCs w:val="22"/>
          <w:highlight w:val="none"/>
          <w:u w:val="single"/>
          <w:lang w:val="zh-CN"/>
        </w:rPr>
        <w:t>）货物制造商或其它有销售资格（提供证明材料）的供应商出具的授权书</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销售许可文件（适用于投标人是进口货物代理商的情形）；</w:t>
      </w:r>
    </w:p>
    <w:p w14:paraId="4E1184A8">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lang w:val="zh-CN"/>
        </w:rPr>
        <w:t>）详细供货清单说明一览表；</w:t>
      </w:r>
    </w:p>
    <w:p w14:paraId="70CD649E">
      <w:pPr>
        <w:tabs>
          <w:tab w:val="left" w:pos="360"/>
        </w:tabs>
        <w:spacing w:line="460" w:lineRule="exact"/>
        <w:ind w:firstLine="442"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lang w:val="en-US" w:eastAsia="zh-CN"/>
        </w:rPr>
        <w:t>7</w:t>
      </w:r>
      <w:r>
        <w:rPr>
          <w:rFonts w:hint="eastAsia" w:ascii="新宋体" w:hAnsi="新宋体" w:eastAsia="新宋体" w:cs="新宋体"/>
          <w:b/>
          <w:bCs/>
          <w:color w:val="auto"/>
          <w:kern w:val="0"/>
          <w:sz w:val="22"/>
          <w:szCs w:val="22"/>
          <w:highlight w:val="none"/>
          <w:u w:val="single"/>
          <w:lang w:val="zh-CN"/>
        </w:rPr>
        <w:t>）提供食品药品监督管理部门核发的完整有效的医疗器械注册或备案证明</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销售许可文件（适用于按医疗器械管理的设备）；</w:t>
      </w:r>
    </w:p>
    <w:p w14:paraId="086DD620">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偏离表（</w:t>
      </w:r>
      <w:r>
        <w:rPr>
          <w:rFonts w:hint="eastAsia" w:ascii="新宋体" w:hAnsi="新宋体" w:eastAsia="新宋体" w:cs="新宋体"/>
          <w:color w:val="auto"/>
          <w:sz w:val="22"/>
          <w:szCs w:val="22"/>
          <w:highlight w:val="none"/>
        </w:rPr>
        <w:t>商务、技术偏离</w:t>
      </w:r>
      <w:r>
        <w:rPr>
          <w:rFonts w:hint="eastAsia" w:ascii="新宋体" w:hAnsi="新宋体" w:eastAsia="新宋体" w:cs="新宋体"/>
          <w:color w:val="auto"/>
          <w:sz w:val="22"/>
          <w:szCs w:val="22"/>
          <w:highlight w:val="none"/>
          <w:lang w:val="zh-CN"/>
        </w:rPr>
        <w:t>）</w:t>
      </w:r>
    </w:p>
    <w:p w14:paraId="595E1B37">
      <w:pPr>
        <w:snapToGrid w:val="0"/>
        <w:spacing w:line="460" w:lineRule="exact"/>
        <w:ind w:firstLine="440" w:firstLineChars="200"/>
        <w:rPr>
          <w:rFonts w:ascii="新宋体" w:hAnsi="新宋体" w:eastAsia="新宋体" w:cs="新宋体"/>
          <w:b/>
          <w:bCs/>
          <w:color w:val="auto"/>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9</w:t>
      </w:r>
      <w:r>
        <w:rPr>
          <w:rFonts w:hint="eastAsia" w:ascii="新宋体" w:hAnsi="新宋体" w:eastAsia="新宋体" w:cs="新宋体"/>
          <w:color w:val="auto"/>
          <w:sz w:val="22"/>
          <w:szCs w:val="22"/>
          <w:highlight w:val="none"/>
          <w:lang w:val="zh-CN"/>
        </w:rPr>
        <w:t>）备品、易损件、备件、专用工具清单</w:t>
      </w:r>
    </w:p>
    <w:p w14:paraId="48F826DE">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lang w:val="zh-CN"/>
        </w:rPr>
        <w:t>）投标配套设备</w:t>
      </w:r>
    </w:p>
    <w:p w14:paraId="65367EC4">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lang w:val="zh-CN"/>
        </w:rPr>
        <w:t>）投标设备技术指标</w:t>
      </w:r>
    </w:p>
    <w:p w14:paraId="23286BCE">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lang w:val="zh-CN"/>
        </w:rPr>
        <w:t>）投标机型的档次</w:t>
      </w:r>
    </w:p>
    <w:p w14:paraId="050DAAE1">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lang w:val="zh-CN"/>
        </w:rPr>
        <w:t>）运行成本</w:t>
      </w:r>
    </w:p>
    <w:p w14:paraId="3448DA79">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vertAlign w:val="baseline"/>
        </w:rPr>
        <w:t>维修成本</w:t>
      </w:r>
    </w:p>
    <w:p w14:paraId="4326FD49">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lang w:val="zh-CN"/>
        </w:rPr>
        <w:t>）业绩</w:t>
      </w:r>
    </w:p>
    <w:p w14:paraId="00638036">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val="zh-CN"/>
        </w:rPr>
        <w:t>）制造商或代理商在华东地区的售后服务和维修能力</w:t>
      </w:r>
    </w:p>
    <w:p w14:paraId="18A38733">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val="zh-CN"/>
        </w:rPr>
        <w:t>）环境标志产品、节能产品</w:t>
      </w:r>
    </w:p>
    <w:p w14:paraId="19FB94D3">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资质文件（如有）、其他必要提供的资料</w:t>
      </w:r>
    </w:p>
    <w:p w14:paraId="03BFE3DF">
      <w:pPr>
        <w:tabs>
          <w:tab w:val="left" w:pos="360"/>
        </w:tabs>
        <w:spacing w:line="460" w:lineRule="exact"/>
        <w:ind w:firstLine="442" w:firstLineChars="200"/>
        <w:rPr>
          <w:rFonts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投标文件中所需的各种证书、证件、证明资料如是复印件，须在复印件上加盖有效公章。</w:t>
      </w:r>
    </w:p>
    <w:p w14:paraId="73437C5C">
      <w:pPr>
        <w:pStyle w:val="29"/>
        <w:snapToGrid w:val="0"/>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zh-CN"/>
        </w:rPr>
        <w:t>投标人的</w:t>
      </w:r>
      <w:r>
        <w:rPr>
          <w:rFonts w:hint="eastAsia" w:ascii="新宋体" w:hAnsi="新宋体" w:eastAsia="新宋体" w:cs="新宋体"/>
          <w:color w:val="auto"/>
          <w:sz w:val="22"/>
          <w:szCs w:val="22"/>
          <w:highlight w:val="none"/>
        </w:rPr>
        <w:t>投标文件必须按照招标文件要求制作</w:t>
      </w:r>
      <w:r>
        <w:rPr>
          <w:rFonts w:hint="eastAsia" w:ascii="新宋体" w:hAnsi="新宋体" w:eastAsia="新宋体" w:cs="新宋体"/>
          <w:bCs/>
          <w:color w:val="auto"/>
          <w:sz w:val="22"/>
          <w:szCs w:val="22"/>
          <w:highlight w:val="none"/>
        </w:rPr>
        <w:t>。</w:t>
      </w:r>
    </w:p>
    <w:p w14:paraId="6148BDEF">
      <w:pPr>
        <w:pStyle w:val="29"/>
        <w:snapToGrid w:val="0"/>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投标人可在招标文件中对招标货物的技术规格和要求选用替代标准，但这些替代标准必须相当于或优于招标文件中提出的相应要求，并使</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满意，同时在技术偏离表中作出详细说明。</w:t>
      </w:r>
    </w:p>
    <w:p w14:paraId="41291692">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4、投标报价</w:t>
      </w:r>
    </w:p>
    <w:p w14:paraId="555882B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14:paraId="31CE9A7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4.2投标人必须按附件中的投标报价一览表</w:t>
      </w:r>
      <w:r>
        <w:rPr>
          <w:rFonts w:hint="eastAsia" w:ascii="新宋体" w:hAnsi="新宋体" w:eastAsia="新宋体" w:cs="新宋体"/>
          <w:b/>
          <w:bCs/>
          <w:color w:val="auto"/>
          <w:sz w:val="22"/>
          <w:szCs w:val="22"/>
          <w:highlight w:val="none"/>
        </w:rPr>
        <w:t>、</w:t>
      </w:r>
      <w:r>
        <w:rPr>
          <w:rFonts w:hint="eastAsia" w:ascii="新宋体" w:hAnsi="新宋体" w:eastAsia="新宋体" w:cs="新宋体"/>
          <w:color w:val="auto"/>
          <w:sz w:val="22"/>
          <w:szCs w:val="22"/>
          <w:highlight w:val="none"/>
        </w:rPr>
        <w:t>投标分项报价表内容填写价格，并由投标人代表签署。</w:t>
      </w:r>
    </w:p>
    <w:p w14:paraId="067DA1C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4.3</w:t>
      </w:r>
      <w:r>
        <w:rPr>
          <w:rFonts w:hint="eastAsia" w:ascii="新宋体" w:hAnsi="新宋体" w:eastAsia="新宋体" w:cs="新宋体"/>
          <w:b/>
          <w:color w:val="auto"/>
          <w:sz w:val="22"/>
          <w:highlight w:val="none"/>
        </w:rPr>
        <w:t>投标货币以人民币进行投标</w:t>
      </w:r>
      <w:r>
        <w:rPr>
          <w:rFonts w:hint="eastAsia" w:ascii="新宋体" w:hAnsi="新宋体" w:eastAsia="新宋体" w:cs="新宋体"/>
          <w:b/>
          <w:color w:val="auto"/>
          <w:sz w:val="22"/>
          <w:szCs w:val="22"/>
          <w:highlight w:val="none"/>
        </w:rPr>
        <w:t>。</w:t>
      </w:r>
    </w:p>
    <w:p w14:paraId="0548A83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4.4</w:t>
      </w:r>
      <w:r>
        <w:rPr>
          <w:rFonts w:hint="eastAsia" w:ascii="新宋体" w:hAnsi="新宋体" w:eastAsia="新宋体" w:cs="新宋体"/>
          <w:b/>
          <w:color w:val="auto"/>
          <w:sz w:val="22"/>
          <w:highlight w:val="none"/>
        </w:rPr>
        <w:t>招标人和招标代理机构不接受任何选择投标，对任何货物或服务只允许一个价格。</w:t>
      </w:r>
    </w:p>
    <w:p w14:paraId="3594DC5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4.5招标人和</w:t>
      </w:r>
      <w:r>
        <w:rPr>
          <w:rFonts w:hint="eastAsia" w:ascii="新宋体" w:hAnsi="新宋体" w:eastAsia="新宋体" w:cs="新宋体"/>
          <w:color w:val="auto"/>
          <w:sz w:val="22"/>
          <w:highlight w:val="none"/>
        </w:rPr>
        <w:t>招标代理机构</w:t>
      </w:r>
      <w:r>
        <w:rPr>
          <w:rFonts w:hint="eastAsia" w:ascii="新宋体" w:hAnsi="新宋体" w:eastAsia="新宋体" w:cs="新宋体"/>
          <w:color w:val="auto"/>
          <w:sz w:val="22"/>
          <w:szCs w:val="22"/>
          <w:highlight w:val="none"/>
        </w:rPr>
        <w:t>要求分类报价是为了方便评标，但在任何情况下不限制招标人以其认为最合适的条款、条件签订合同的权利。</w:t>
      </w:r>
    </w:p>
    <w:p w14:paraId="4F4B5019">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4.6投标报价报出后，投标人不得以任何理由予以变更。任何包含价格调整的要求，将被认为是非实质性响应投标而予以否决。</w:t>
      </w:r>
    </w:p>
    <w:p w14:paraId="3BE59C80">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4.7最低报价不能作为中标的保证。</w:t>
      </w:r>
    </w:p>
    <w:p w14:paraId="51915939">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5、投标有效期</w:t>
      </w:r>
    </w:p>
    <w:p w14:paraId="7180171B">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5.1自开标之日起</w:t>
      </w:r>
      <w:r>
        <w:rPr>
          <w:rFonts w:hint="eastAsia" w:ascii="新宋体" w:hAnsi="新宋体" w:eastAsia="新宋体" w:cs="新宋体"/>
          <w:b/>
          <w:bCs/>
          <w:color w:val="auto"/>
          <w:sz w:val="22"/>
          <w:szCs w:val="22"/>
          <w:highlight w:val="none"/>
        </w:rPr>
        <w:t>90</w:t>
      </w:r>
      <w:r>
        <w:rPr>
          <w:rFonts w:hint="eastAsia" w:ascii="新宋体" w:hAnsi="新宋体" w:eastAsia="新宋体" w:cs="新宋体"/>
          <w:b/>
          <w:color w:val="auto"/>
          <w:sz w:val="22"/>
          <w:szCs w:val="22"/>
          <w:highlight w:val="none"/>
        </w:rPr>
        <w:t>天内投标应保持有效。</w:t>
      </w:r>
    </w:p>
    <w:p w14:paraId="778786A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5.2特殊情况下，在原投标有效期截止前，</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招标代理机构</w:t>
      </w:r>
      <w:r>
        <w:rPr>
          <w:rFonts w:hint="eastAsia" w:ascii="新宋体" w:hAnsi="新宋体" w:eastAsia="新宋体" w:cs="新宋体"/>
          <w:color w:val="auto"/>
          <w:sz w:val="22"/>
          <w:szCs w:val="22"/>
          <w:highlight w:val="none"/>
        </w:rPr>
        <w:t>可与投标人协商延长投标有效期，这种要求和答复均以书面形式进行。投标人可拒绝接受延期要求。同意延长投标有效期的投标人不得修改投标文件。</w:t>
      </w:r>
    </w:p>
    <w:p w14:paraId="53E0BC75">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6、投标保证金</w:t>
      </w:r>
    </w:p>
    <w:p w14:paraId="2CC90F7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w:t>
      </w:r>
    </w:p>
    <w:p w14:paraId="2A05ABFD">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7、投标文件编制</w:t>
      </w:r>
    </w:p>
    <w:p w14:paraId="630BFB61">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7.1本项目通过“政府采购云平台（http：//zfcg.czt.zj.gov.cn）”实行在线投标响应（电子投标）。供应商应通过“政采云电子交易客户端”，并按照本招标文件和“政府采购云平台”的要求编制并加密投标文件。</w:t>
      </w:r>
    </w:p>
    <w:p w14:paraId="78992088">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7.2投标人应当按照本章节 “投标文件的构成”规定的内容及顺序在“政采云电子交易客户端”编制投标文件。其中《资格文件》和《商务技术文件》中不得出现本项目投标报价。</w:t>
      </w:r>
    </w:p>
    <w:p w14:paraId="1C038586">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7.3本文件《附件》中有提供格式的，投标人须参照格式进行编制（格式中要求提供相关证明材料的还需后附相关证明材料），并按格式要求在指定位置根据要求进行签章，否则视为未提供；本文件《附件》未提供格式的，请各投标人自行拟定格式，并加盖单位公章并由法定代表人或其授权代表签署（签字或盖章），否则视为未提供。</w:t>
      </w:r>
    </w:p>
    <w:p w14:paraId="199FA494">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7.4《投标文件》内容不完整、编排混乱导致《投标文件》被误读、漏读或者查找不到相关内容的，投标人自行负责。</w:t>
      </w:r>
    </w:p>
    <w:p w14:paraId="6990A98D">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7.5《投标文件》因字迹潦草或表达不清所引起的后果由投标人负责。</w:t>
      </w:r>
    </w:p>
    <w:p w14:paraId="52638B78">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14:paraId="64DDA0E6">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8、投标文件的签章</w:t>
      </w:r>
    </w:p>
    <w:p w14:paraId="3A5857BA">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8.1《投标文件》的签章：见《前附表》；</w:t>
      </w:r>
    </w:p>
    <w:p w14:paraId="736ED3F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8.2《投标文件》应由投标人法定代表人或其授权代表签字（或盖章），并时加盖投标人公章。</w:t>
      </w:r>
    </w:p>
    <w:p w14:paraId="7B34AD6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8.3电子签章操作指南详见采购公告附件《供应商项目采购-电子招投标操作指南》。</w:t>
      </w:r>
    </w:p>
    <w:p w14:paraId="6453000E">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9、投标文件的形式</w:t>
      </w:r>
    </w:p>
    <w:p w14:paraId="15994906">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9.1投标文件的形式：见《前附表》；</w:t>
      </w:r>
    </w:p>
    <w:p w14:paraId="66DFAEB0">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9.2“电子加密投标文件”：“电子加密投标文件”是指通过“政采云电子交易客户端”完成投标文件编制后生成并加密的数据电文形式的投标文件。</w:t>
      </w:r>
    </w:p>
    <w:p w14:paraId="30BAF8B6">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2107B2AA">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10、投标文件的份数</w:t>
      </w:r>
    </w:p>
    <w:p w14:paraId="2D5E9FB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10.1投标文件的份数：见《前附表》。</w:t>
      </w:r>
    </w:p>
    <w:p w14:paraId="25B0801B">
      <w:pPr>
        <w:spacing w:before="100" w:beforeAutospacing="1" w:after="100" w:afterAutospacing="1" w:line="440" w:lineRule="exact"/>
        <w:jc w:val="center"/>
        <w:outlineLvl w:val="1"/>
        <w:rPr>
          <w:rFonts w:ascii="新宋体" w:hAnsi="新宋体" w:eastAsia="新宋体" w:cs="新宋体"/>
          <w:b/>
          <w:bCs/>
          <w:color w:val="auto"/>
          <w:sz w:val="22"/>
          <w:szCs w:val="22"/>
          <w:highlight w:val="none"/>
        </w:rPr>
      </w:pPr>
      <w:bookmarkStart w:id="17" w:name="_Toc15422"/>
      <w:bookmarkStart w:id="18" w:name="_Toc7667"/>
      <w:r>
        <w:rPr>
          <w:rFonts w:hint="eastAsia" w:ascii="新宋体" w:hAnsi="新宋体" w:eastAsia="新宋体" w:cs="新宋体"/>
          <w:b/>
          <w:bCs/>
          <w:color w:val="auto"/>
          <w:sz w:val="22"/>
          <w:szCs w:val="22"/>
          <w:highlight w:val="none"/>
        </w:rPr>
        <w:t>四、 投标文件的递交</w:t>
      </w:r>
      <w:bookmarkEnd w:id="17"/>
      <w:bookmarkEnd w:id="18"/>
    </w:p>
    <w:p w14:paraId="00E1088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1、投标文件的上传和递交</w:t>
      </w:r>
    </w:p>
    <w:p w14:paraId="52D5469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1.1“投标文件”的上传、递交：见《前附表》。</w:t>
      </w:r>
    </w:p>
    <w:p w14:paraId="382DB59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2、“电子加密投标文件”解密和异常情况处理</w:t>
      </w:r>
    </w:p>
    <w:p w14:paraId="68846B7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2.1“电子加密投标文件”解密：见《前附表》。</w:t>
      </w:r>
    </w:p>
    <w:p w14:paraId="024499A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3、投标文件的补充、修改或撤回</w:t>
      </w:r>
    </w:p>
    <w:p w14:paraId="11F600D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供应商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政府采购云平台”将予以拒收。</w:t>
      </w:r>
    </w:p>
    <w:p w14:paraId="54C0C6A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3.2投标截止时间后，投标人不得撤回、修改《投标文件》。</w:t>
      </w:r>
    </w:p>
    <w:p w14:paraId="35CA290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4、投标文件的备选方案</w:t>
      </w:r>
    </w:p>
    <w:p w14:paraId="7F634F4E">
      <w:pPr>
        <w:spacing w:line="460" w:lineRule="exact"/>
        <w:ind w:firstLine="440" w:firstLineChars="20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21884D1A">
      <w:pPr>
        <w:spacing w:before="100" w:beforeAutospacing="1" w:after="100" w:afterAutospacing="1" w:line="460" w:lineRule="exact"/>
        <w:jc w:val="center"/>
        <w:outlineLvl w:val="1"/>
        <w:rPr>
          <w:rFonts w:ascii="新宋体" w:hAnsi="新宋体" w:eastAsia="新宋体" w:cs="新宋体"/>
          <w:b/>
          <w:bCs/>
          <w:color w:val="auto"/>
          <w:sz w:val="22"/>
          <w:szCs w:val="22"/>
          <w:highlight w:val="none"/>
        </w:rPr>
      </w:pPr>
      <w:bookmarkStart w:id="19" w:name="_Toc30172"/>
      <w:bookmarkStart w:id="20" w:name="_Toc10144"/>
      <w:r>
        <w:rPr>
          <w:rFonts w:hint="eastAsia" w:ascii="新宋体" w:hAnsi="新宋体" w:eastAsia="新宋体" w:cs="新宋体"/>
          <w:b/>
          <w:bCs/>
          <w:color w:val="auto"/>
          <w:sz w:val="22"/>
          <w:szCs w:val="22"/>
          <w:highlight w:val="none"/>
        </w:rPr>
        <w:t>五、 开标和评标</w:t>
      </w:r>
      <w:bookmarkEnd w:id="19"/>
      <w:bookmarkEnd w:id="20"/>
    </w:p>
    <w:p w14:paraId="677DCDC0">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1、评标委员会</w:t>
      </w:r>
    </w:p>
    <w:p w14:paraId="1166A99A">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lang w:eastAsia="zh-CN"/>
        </w:rPr>
        <w:t>招标人</w:t>
      </w:r>
      <w:r>
        <w:rPr>
          <w:rFonts w:hint="eastAsia" w:ascii="新宋体" w:hAnsi="新宋体" w:eastAsia="新宋体" w:cs="新宋体"/>
          <w:bCs/>
          <w:color w:val="auto"/>
          <w:sz w:val="22"/>
          <w:szCs w:val="22"/>
          <w:highlight w:val="none"/>
        </w:rPr>
        <w:t>和</w:t>
      </w:r>
      <w:r>
        <w:rPr>
          <w:rFonts w:hint="eastAsia" w:ascii="新宋体" w:hAnsi="新宋体" w:eastAsia="新宋体" w:cs="新宋体"/>
          <w:bCs/>
          <w:color w:val="auto"/>
          <w:sz w:val="22"/>
          <w:szCs w:val="22"/>
          <w:highlight w:val="none"/>
          <w:lang w:eastAsia="zh-CN"/>
        </w:rPr>
        <w:t>招标代理机构</w:t>
      </w:r>
      <w:r>
        <w:rPr>
          <w:rFonts w:hint="eastAsia" w:ascii="新宋体" w:hAnsi="新宋体" w:eastAsia="新宋体" w:cs="新宋体"/>
          <w:bCs/>
          <w:color w:val="auto"/>
          <w:sz w:val="22"/>
          <w:szCs w:val="22"/>
          <w:highlight w:val="none"/>
        </w:rPr>
        <w:t>组建评标委员会。评标委员会的成员在评标过程中必须严格遵守《政府采购法》等有关法律、法规的规定。</w:t>
      </w:r>
    </w:p>
    <w:p w14:paraId="2BA189EB">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2、评标过程的保密性</w:t>
      </w:r>
    </w:p>
    <w:p w14:paraId="1083C56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开标后直至向中标人授予合同时止，凡与评审有关的资料均不得向投标人及与评标无关人员透露。如果投标人在评标过程中试图向</w:t>
      </w:r>
      <w:r>
        <w:rPr>
          <w:rFonts w:hint="eastAsia" w:ascii="新宋体" w:hAnsi="新宋体" w:eastAsia="新宋体" w:cs="新宋体"/>
          <w:bCs/>
          <w:color w:val="auto"/>
          <w:sz w:val="22"/>
          <w:szCs w:val="22"/>
          <w:highlight w:val="none"/>
          <w:lang w:eastAsia="zh-CN"/>
        </w:rPr>
        <w:t>招标人</w:t>
      </w:r>
      <w:r>
        <w:rPr>
          <w:rFonts w:hint="eastAsia" w:ascii="新宋体" w:hAnsi="新宋体" w:eastAsia="新宋体" w:cs="新宋体"/>
          <w:bCs/>
          <w:color w:val="auto"/>
          <w:sz w:val="22"/>
          <w:szCs w:val="22"/>
          <w:highlight w:val="none"/>
        </w:rPr>
        <w:t>和</w:t>
      </w:r>
      <w:r>
        <w:rPr>
          <w:rFonts w:hint="eastAsia" w:ascii="新宋体" w:hAnsi="新宋体" w:eastAsia="新宋体" w:cs="新宋体"/>
          <w:bCs/>
          <w:color w:val="auto"/>
          <w:sz w:val="22"/>
          <w:szCs w:val="22"/>
          <w:highlight w:val="none"/>
          <w:lang w:eastAsia="zh-CN"/>
        </w:rPr>
        <w:t>招标代理机构</w:t>
      </w:r>
      <w:r>
        <w:rPr>
          <w:rFonts w:hint="eastAsia" w:ascii="新宋体" w:hAnsi="新宋体" w:eastAsia="新宋体" w:cs="新宋体"/>
          <w:bCs/>
          <w:color w:val="auto"/>
          <w:sz w:val="22"/>
          <w:szCs w:val="22"/>
          <w:highlight w:val="none"/>
        </w:rPr>
        <w:t>施加影响，其投标将被拒绝。</w:t>
      </w:r>
    </w:p>
    <w:p w14:paraId="6245DCAD">
      <w:pPr>
        <w:spacing w:line="460" w:lineRule="exact"/>
        <w:ind w:firstLine="440" w:firstLineChars="20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3、开标形式</w:t>
      </w:r>
    </w:p>
    <w:p w14:paraId="43F976B2">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采购</w:t>
      </w:r>
      <w:r>
        <w:rPr>
          <w:rFonts w:hint="eastAsia" w:ascii="新宋体" w:hAnsi="新宋体" w:eastAsia="新宋体" w:cs="新宋体"/>
          <w:b/>
          <w:color w:val="auto"/>
          <w:sz w:val="22"/>
          <w:szCs w:val="22"/>
          <w:highlight w:val="none"/>
        </w:rPr>
        <w:t>组织机构将按照招标文件规定的时间通过“政府采购云平台”组织开标、开启投标文件，所有供应商均应当准时（在线）参加。</w:t>
      </w:r>
    </w:p>
    <w:p w14:paraId="1136290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4、开标准备</w:t>
      </w:r>
    </w:p>
    <w:p w14:paraId="1B0432EE">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4.1开标的准备工作由采购组织机构负责落实；</w:t>
      </w:r>
    </w:p>
    <w:p w14:paraId="4357150D">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4.2</w:t>
      </w:r>
      <w:r>
        <w:rPr>
          <w:rFonts w:hint="eastAsia" w:ascii="新宋体" w:hAnsi="新宋体" w:eastAsia="新宋体" w:cs="新宋体"/>
          <w:b/>
          <w:color w:val="auto"/>
          <w:sz w:val="22"/>
          <w:szCs w:val="22"/>
          <w:highlight w:val="none"/>
        </w:rPr>
        <w:t>采购组织机构将按照招标文件规定的时间通过“政府采购云平台”组织开标、开启投标文件，所有供应商均应当准时（在线）参加。</w:t>
      </w:r>
      <w:r>
        <w:rPr>
          <w:rFonts w:hint="eastAsia" w:ascii="新宋体" w:hAnsi="新宋体" w:eastAsia="新宋体" w:cs="新宋体"/>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投标人如不参加开标大会的，视同认可开标结果，事后不得对采购相关人员、开标过程和开标结果提出异议，同时投标人因未在线参加开标而导致投标文件无法按时解密等一切后果由供应商自己承担。</w:t>
      </w:r>
    </w:p>
    <w:p w14:paraId="6B03E111">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5、开标流程</w:t>
      </w:r>
    </w:p>
    <w:p w14:paraId="6EF42992">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5.1开标、评标</w:t>
      </w:r>
    </w:p>
    <w:p w14:paraId="692C98B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向各投标人发出电子加密投标文件【开始解密】通知，由供应商按招标文件规定的时间内自行进行投标文件解密。投标人在规定的时间内无法完成已递交的“电子加密投标文件”解密的，如已按规定递交了备份投标文件的，将由采购组织机构按“政府采购云平台”操作规范将备份投标文件上传至“政府采购云平台”，上传成功后，“电子加密投标文件”自动失效；</w:t>
      </w:r>
    </w:p>
    <w:p w14:paraId="00AB4476">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投标人不足3家的，不得开标。</w:t>
      </w:r>
    </w:p>
    <w:p w14:paraId="3022982C">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（2）解密成功后，开启投标人的《报价文件》，由供应商对自己报价文件相关内容进行签字确认，（不予确认的应说明理由，否则视为无异议）。</w:t>
      </w:r>
    </w:p>
    <w:p w14:paraId="7A83F481">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（3）开启《投标文件》，进入资格审查；</w:t>
      </w:r>
      <w:r>
        <w:rPr>
          <w:rFonts w:hint="eastAsia" w:ascii="新宋体" w:hAnsi="新宋体" w:eastAsia="新宋体" w:cs="新宋体"/>
          <w:bCs/>
          <w:color w:val="auto"/>
          <w:sz w:val="22"/>
          <w:szCs w:val="22"/>
          <w:highlight w:val="none"/>
        </w:rPr>
        <w:t>合格投标人不足3家的，不得评标。</w:t>
      </w:r>
    </w:p>
    <w:p w14:paraId="43D416AE">
      <w:pPr>
        <w:spacing w:line="460" w:lineRule="exact"/>
        <w:ind w:firstLine="442" w:firstLineChars="200"/>
        <w:rPr>
          <w:rFonts w:ascii="新宋体" w:hAnsi="新宋体" w:eastAsia="新宋体" w:cs="新宋体"/>
          <w:color w:val="auto"/>
          <w:kern w:val="0"/>
          <w:sz w:val="22"/>
          <w:szCs w:val="22"/>
          <w:highlight w:val="none"/>
        </w:rPr>
      </w:pPr>
      <w:r>
        <w:rPr>
          <w:rFonts w:hint="eastAsia" w:ascii="新宋体" w:hAnsi="新宋体" w:eastAsia="新宋体" w:cs="新宋体"/>
          <w:b/>
          <w:color w:val="auto"/>
          <w:kern w:val="0"/>
          <w:sz w:val="22"/>
          <w:szCs w:val="22"/>
          <w:highlight w:val="none"/>
        </w:rPr>
        <w:t>备注：开标大会的结束后，</w:t>
      </w:r>
      <w:r>
        <w:rPr>
          <w:rFonts w:hint="eastAsia" w:ascii="新宋体" w:hAnsi="新宋体" w:eastAsia="新宋体" w:cs="新宋体"/>
          <w:b/>
          <w:color w:val="auto"/>
          <w:kern w:val="0"/>
          <w:sz w:val="22"/>
          <w:szCs w:val="22"/>
          <w:highlight w:val="none"/>
          <w:lang w:eastAsia="zh-CN"/>
        </w:rPr>
        <w:t>招标人</w:t>
      </w:r>
      <w:r>
        <w:rPr>
          <w:rFonts w:hint="eastAsia" w:ascii="新宋体" w:hAnsi="新宋体" w:eastAsia="新宋体" w:cs="新宋体"/>
          <w:b/>
          <w:color w:val="auto"/>
          <w:kern w:val="0"/>
          <w:sz w:val="22"/>
          <w:szCs w:val="22"/>
          <w:highlight w:val="none"/>
        </w:rPr>
        <w:t>或</w:t>
      </w:r>
      <w:r>
        <w:rPr>
          <w:rFonts w:hint="eastAsia" w:ascii="新宋体" w:hAnsi="新宋体" w:eastAsia="新宋体" w:cs="新宋体"/>
          <w:b/>
          <w:color w:val="auto"/>
          <w:kern w:val="0"/>
          <w:sz w:val="22"/>
          <w:szCs w:val="22"/>
          <w:highlight w:val="none"/>
          <w:lang w:eastAsia="zh-CN"/>
        </w:rPr>
        <w:t>招标代理机构</w:t>
      </w:r>
      <w:r>
        <w:rPr>
          <w:rFonts w:hint="eastAsia" w:ascii="新宋体" w:hAnsi="新宋体" w:eastAsia="新宋体" w:cs="新宋体"/>
          <w:b/>
          <w:color w:val="auto"/>
          <w:kern w:val="0"/>
          <w:sz w:val="22"/>
          <w:szCs w:val="22"/>
          <w:highlight w:val="none"/>
        </w:rPr>
        <w:t>将对依法对投标人的资格进行审查，资格审查结束后进入符合性审查和商务技术的评审工作，具体见本章节“投标人资格审查”相关规定。</w:t>
      </w:r>
    </w:p>
    <w:p w14:paraId="1BAE0196">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（4）开启资格审查通过的投标人的商务技术文件进入符合性审查，</w:t>
      </w:r>
      <w:r>
        <w:rPr>
          <w:rFonts w:hint="eastAsia" w:ascii="新宋体" w:hAnsi="新宋体" w:eastAsia="新宋体" w:cs="新宋体"/>
          <w:bCs/>
          <w:color w:val="auto"/>
          <w:sz w:val="22"/>
          <w:szCs w:val="22"/>
          <w:highlight w:val="none"/>
        </w:rPr>
        <w:t>以确定其是否满足招标文件的实质性要求，合格投标人不足3家的，不得评标。</w:t>
      </w:r>
    </w:p>
    <w:p w14:paraId="5635775E">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14:paraId="2F4DE843">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（5）对通过资格审查、符合性审查的合格供应商进行商务技术部分的评审。</w:t>
      </w:r>
    </w:p>
    <w:p w14:paraId="58A94B30">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（6）评标委员会对报价的合理性、准确性等进行审查核实。</w:t>
      </w:r>
    </w:p>
    <w:p w14:paraId="22054548">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（7）评审结束后，公布中标（成交）候选供应商名单及</w:t>
      </w:r>
      <w:r>
        <w:rPr>
          <w:rFonts w:hint="eastAsia" w:ascii="新宋体" w:hAnsi="新宋体" w:eastAsia="新宋体" w:cs="新宋体"/>
          <w:color w:val="auto"/>
          <w:kern w:val="0"/>
          <w:sz w:val="22"/>
          <w:szCs w:val="22"/>
          <w:highlight w:val="none"/>
          <w:lang w:eastAsia="zh-CN"/>
        </w:rPr>
        <w:t>招标人</w:t>
      </w:r>
      <w:r>
        <w:rPr>
          <w:rFonts w:hint="eastAsia" w:ascii="新宋体" w:hAnsi="新宋体" w:eastAsia="新宋体" w:cs="新宋体"/>
          <w:color w:val="auto"/>
          <w:kern w:val="0"/>
          <w:sz w:val="22"/>
          <w:szCs w:val="22"/>
          <w:highlight w:val="none"/>
        </w:rPr>
        <w:t>最终确定中标或成交供应商名单的时间和公告方式等，未在场的投标人通过发送邮件形式通知。</w:t>
      </w:r>
    </w:p>
    <w:p w14:paraId="248537B7">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特别说明：如遇“政府采购云平台”电子化开标或评审程序调整的，按调整后程序执行。</w:t>
      </w:r>
    </w:p>
    <w:p w14:paraId="4FE60878">
      <w:pPr>
        <w:spacing w:line="460" w:lineRule="exact"/>
        <w:ind w:firstLine="440" w:firstLineChars="200"/>
        <w:rPr>
          <w:rFonts w:ascii="新宋体" w:hAnsi="新宋体" w:eastAsia="新宋体" w:cs="新宋体"/>
          <w:color w:val="auto"/>
          <w:sz w:val="22"/>
          <w:szCs w:val="22"/>
          <w:highlight w:val="none"/>
        </w:rPr>
      </w:pPr>
      <w:bookmarkStart w:id="21" w:name="_Toc24550037"/>
      <w:bookmarkStart w:id="22" w:name="_Toc33194393"/>
      <w:r>
        <w:rPr>
          <w:rFonts w:hint="eastAsia" w:ascii="新宋体" w:hAnsi="新宋体" w:eastAsia="新宋体" w:cs="新宋体"/>
          <w:color w:val="auto"/>
          <w:sz w:val="22"/>
          <w:szCs w:val="22"/>
          <w:highlight w:val="none"/>
        </w:rPr>
        <w:t>6、投标人资格审查</w:t>
      </w:r>
      <w:bookmarkEnd w:id="21"/>
      <w:bookmarkEnd w:id="22"/>
    </w:p>
    <w:p w14:paraId="25E51B9F">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6.1开标大会结束后，</w:t>
      </w:r>
      <w:r>
        <w:rPr>
          <w:rFonts w:hint="eastAsia" w:ascii="新宋体" w:hAnsi="新宋体" w:eastAsia="新宋体" w:cs="新宋体"/>
          <w:b/>
          <w:color w:val="auto"/>
          <w:sz w:val="22"/>
          <w:szCs w:val="22"/>
          <w:highlight w:val="none"/>
          <w:lang w:eastAsia="zh-CN"/>
        </w:rPr>
        <w:t>招标人</w:t>
      </w:r>
      <w:r>
        <w:rPr>
          <w:rFonts w:hint="eastAsia" w:ascii="新宋体" w:hAnsi="新宋体" w:eastAsia="新宋体" w:cs="新宋体"/>
          <w:b/>
          <w:color w:val="auto"/>
          <w:sz w:val="22"/>
          <w:szCs w:val="22"/>
          <w:highlight w:val="none"/>
        </w:rPr>
        <w:t>或</w:t>
      </w:r>
      <w:r>
        <w:rPr>
          <w:rFonts w:hint="eastAsia" w:ascii="新宋体" w:hAnsi="新宋体" w:eastAsia="新宋体" w:cs="新宋体"/>
          <w:b/>
          <w:color w:val="auto"/>
          <w:sz w:val="22"/>
          <w:szCs w:val="22"/>
          <w:highlight w:val="none"/>
          <w:lang w:eastAsia="zh-CN"/>
        </w:rPr>
        <w:t>招标代理机构</w:t>
      </w:r>
      <w:r>
        <w:rPr>
          <w:rFonts w:hint="eastAsia" w:ascii="新宋体" w:hAnsi="新宋体" w:eastAsia="新宋体" w:cs="新宋体"/>
          <w:b/>
          <w:color w:val="auto"/>
          <w:sz w:val="22"/>
          <w:szCs w:val="22"/>
          <w:highlight w:val="none"/>
        </w:rPr>
        <w:t>首先依法对各投标人的资格进行审查，审查各投标人的资格是否满足招标文件的要求。</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或</w:t>
      </w:r>
      <w:r>
        <w:rPr>
          <w:rFonts w:hint="eastAsia" w:ascii="新宋体" w:hAnsi="新宋体" w:eastAsia="新宋体" w:cs="新宋体"/>
          <w:color w:val="auto"/>
          <w:sz w:val="22"/>
          <w:szCs w:val="22"/>
          <w:highlight w:val="none"/>
          <w:lang w:eastAsia="zh-CN"/>
        </w:rPr>
        <w:t>招标代理机构</w:t>
      </w:r>
      <w:r>
        <w:rPr>
          <w:rFonts w:hint="eastAsia" w:ascii="新宋体" w:hAnsi="新宋体" w:eastAsia="新宋体" w:cs="新宋体"/>
          <w:color w:val="auto"/>
          <w:sz w:val="22"/>
          <w:szCs w:val="22"/>
          <w:highlight w:val="none"/>
        </w:rPr>
        <w:t>对投标人所提交的资格证明材料仅负审核的责任。如发现投标人所提交的资格证明材料不合法或与事实不符，</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可取消其中标资格并追究投标人的法律责任。</w:t>
      </w:r>
    </w:p>
    <w:p w14:paraId="2B505029">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sz w:val="22"/>
          <w:szCs w:val="22"/>
          <w:highlight w:val="none"/>
        </w:rPr>
        <w:t>6.2投标人提交的资格证明材料无法证明其符合招标文件规定的“投标人资格要求”的，</w:t>
      </w:r>
      <w:r>
        <w:rPr>
          <w:rFonts w:hint="eastAsia" w:ascii="新宋体" w:hAnsi="新宋体" w:eastAsia="新宋体" w:cs="新宋体"/>
          <w:b/>
          <w:color w:val="auto"/>
          <w:sz w:val="22"/>
          <w:szCs w:val="22"/>
          <w:highlight w:val="none"/>
          <w:lang w:eastAsia="zh-CN"/>
        </w:rPr>
        <w:t>招标人</w:t>
      </w:r>
      <w:r>
        <w:rPr>
          <w:rFonts w:hint="eastAsia" w:ascii="新宋体" w:hAnsi="新宋体" w:eastAsia="新宋体" w:cs="新宋体"/>
          <w:b/>
          <w:color w:val="auto"/>
          <w:sz w:val="22"/>
          <w:szCs w:val="22"/>
          <w:highlight w:val="none"/>
        </w:rPr>
        <w:t>或</w:t>
      </w:r>
      <w:r>
        <w:rPr>
          <w:rFonts w:hint="eastAsia" w:ascii="新宋体" w:hAnsi="新宋体" w:eastAsia="新宋体" w:cs="新宋体"/>
          <w:b/>
          <w:color w:val="auto"/>
          <w:sz w:val="22"/>
          <w:szCs w:val="22"/>
          <w:highlight w:val="none"/>
          <w:lang w:eastAsia="zh-CN"/>
        </w:rPr>
        <w:t>招标代理机构</w:t>
      </w:r>
      <w:r>
        <w:rPr>
          <w:rFonts w:hint="eastAsia" w:ascii="新宋体" w:hAnsi="新宋体" w:eastAsia="新宋体" w:cs="新宋体"/>
          <w:b/>
          <w:color w:val="auto"/>
          <w:kern w:val="0"/>
          <w:sz w:val="22"/>
          <w:szCs w:val="22"/>
          <w:highlight w:val="none"/>
        </w:rPr>
        <w:t>将对其作资格审查不通过处理（无效投标），并不再将其投标提交评标委员会进行后续评审。</w:t>
      </w:r>
    </w:p>
    <w:p w14:paraId="29F7349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6</w:t>
      </w:r>
      <w:r>
        <w:rPr>
          <w:rFonts w:hint="eastAsia" w:ascii="新宋体" w:hAnsi="新宋体" w:eastAsia="新宋体" w:cs="新宋体"/>
          <w:b/>
          <w:color w:val="auto"/>
          <w:kern w:val="0"/>
          <w:sz w:val="22"/>
          <w:szCs w:val="22"/>
          <w:highlight w:val="none"/>
        </w:rPr>
        <w:t>.3单位负责人为同一人或者存在直接控股、管理关系的不同供应商参加同一合同项下的政府采购活动的，相关投标人均作资格无效处理。</w:t>
      </w:r>
    </w:p>
    <w:p w14:paraId="74E17CAD">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7、评标委员按照招标文件中规定的评标方法和标准，对投标文件进行商务和技术评估，综合比较与评价。</w:t>
      </w:r>
    </w:p>
    <w:p w14:paraId="11FEA6ED">
      <w:pPr>
        <w:spacing w:line="460" w:lineRule="exact"/>
        <w:ind w:firstLine="442" w:firstLineChars="200"/>
        <w:rPr>
          <w:rFonts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8、投标人存在下列情况之一的，投标无效：</w:t>
      </w:r>
    </w:p>
    <w:p w14:paraId="2E77900A">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 投标文件未按招标文件要求签署、盖章的；</w:t>
      </w:r>
    </w:p>
    <w:p w14:paraId="5BA30A34">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（2） 不具备招标文件中规定的资格要求的； </w:t>
      </w:r>
    </w:p>
    <w:p w14:paraId="2DA34E3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 明显不符合招标文件中主要技术规格、技术标准的；</w:t>
      </w:r>
    </w:p>
    <w:p w14:paraId="1FEC997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 “</w:t>
      </w: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”标记条款负偏离或不响应的；</w:t>
      </w:r>
    </w:p>
    <w:p w14:paraId="041357AE">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 投标文件内容不全或关键字迹模糊无法辨认的；</w:t>
      </w:r>
    </w:p>
    <w:p w14:paraId="2D7F52F8">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（6） 投标人代表没有法定代表人合法、有效委托的；</w:t>
      </w:r>
    </w:p>
    <w:p w14:paraId="76EBADE2">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（7） 报价超过招标文件中规定的预算金额或者最高限价的；</w:t>
      </w:r>
    </w:p>
    <w:p w14:paraId="50EBA21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 投标文件存在一个或一个以上备选（替代）投标方案的；</w:t>
      </w:r>
    </w:p>
    <w:p w14:paraId="34984EA5">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（9） 仅提交“备份投标文件”的；</w:t>
      </w:r>
    </w:p>
    <w:p w14:paraId="7D926F03">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u w:val="single"/>
        </w:rPr>
        <w:t>（10）未提供食品药品监督管理部门核发的完整有效的医疗器械注册或备案证明，或提供的医疗器械注册或备案证明不足以证明所投设备可合法销售（适用于医疗器械）；</w:t>
      </w:r>
    </w:p>
    <w:p w14:paraId="3CD844E9">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（11）投标文件含有招标人不能接受的附加条件的；</w:t>
      </w:r>
    </w:p>
    <w:p w14:paraId="4A5A5B62">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val="en-US" w:eastAsia="zh-CN"/>
        </w:rPr>
        <w:t>2</w:t>
      </w:r>
      <w:r>
        <w:rPr>
          <w:rFonts w:hint="eastAsia" w:ascii="新宋体" w:hAnsi="新宋体" w:eastAsia="新宋体" w:cs="新宋体"/>
          <w:bCs/>
          <w:color w:val="auto"/>
          <w:sz w:val="22"/>
          <w:szCs w:val="22"/>
          <w:highlight w:val="none"/>
        </w:rPr>
        <w:t>）</w:t>
      </w:r>
      <w:r>
        <w:rPr>
          <w:rFonts w:hint="default" w:ascii="Times New Roman" w:hAnsi="Times New Roman" w:eastAsia="新宋体" w:cs="Times New Roman"/>
          <w:bCs/>
          <w:color w:val="auto"/>
          <w:sz w:val="22"/>
          <w:szCs w:val="22"/>
          <w:highlight w:val="none"/>
          <w:lang w:eastAsia="zh-CN"/>
        </w:rPr>
        <w:t>如为联合体投标，未提供有效的联合体共同投标协议书的</w:t>
      </w:r>
      <w:r>
        <w:rPr>
          <w:rFonts w:hint="default" w:ascii="Times New Roman" w:hAnsi="Times New Roman" w:eastAsia="新宋体" w:cs="Times New Roman"/>
          <w:bCs/>
          <w:color w:val="auto"/>
          <w:sz w:val="22"/>
          <w:szCs w:val="22"/>
          <w:highlight w:val="none"/>
        </w:rPr>
        <w:t>；</w:t>
      </w:r>
    </w:p>
    <w:p w14:paraId="424B8941">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val="en-US" w:eastAsia="zh-CN"/>
        </w:rPr>
        <w:t>3</w:t>
      </w:r>
      <w:r>
        <w:rPr>
          <w:rFonts w:hint="eastAsia" w:ascii="新宋体" w:hAnsi="新宋体" w:eastAsia="新宋体" w:cs="新宋体"/>
          <w:bCs/>
          <w:color w:val="auto"/>
          <w:sz w:val="22"/>
          <w:szCs w:val="22"/>
          <w:highlight w:val="none"/>
        </w:rPr>
        <w:t>）法律、法规和招标文件规定的其他无效情形。</w:t>
      </w:r>
    </w:p>
    <w:p w14:paraId="45A50183">
      <w:pPr>
        <w:spacing w:line="460" w:lineRule="exact"/>
        <w:ind w:firstLine="442" w:firstLineChars="200"/>
        <w:rPr>
          <w:rFonts w:hint="eastAsia" w:ascii="新宋体" w:hAnsi="新宋体" w:eastAsia="新宋体" w:cs="新宋体"/>
          <w:b/>
          <w:bCs/>
          <w:color w:val="auto"/>
          <w:sz w:val="22"/>
          <w:szCs w:val="22"/>
          <w:highlight w:val="none"/>
          <w:u w:val="single"/>
          <w:lang w:val="en-US" w:eastAsia="zh-CN"/>
        </w:rPr>
      </w:pPr>
      <w:r>
        <w:rPr>
          <w:rFonts w:hint="eastAsia" w:ascii="新宋体" w:hAnsi="新宋体" w:eastAsia="新宋体" w:cs="新宋体"/>
          <w:b/>
          <w:bCs/>
          <w:color w:val="auto"/>
          <w:sz w:val="22"/>
          <w:szCs w:val="22"/>
          <w:highlight w:val="none"/>
          <w:u w:val="single"/>
          <w:lang w:val="en-US" w:eastAsia="zh-CN"/>
        </w:rPr>
        <w:t>（14）参与同一个采购包（标段）的供应商存在下列情形之一且无法合理解释的，其投标（响应）文件无效：</w:t>
      </w:r>
      <w:r>
        <w:rPr>
          <w:rFonts w:hint="eastAsia" w:ascii="微软雅黑" w:hAnsi="微软雅黑" w:eastAsia="微软雅黑" w:cs="微软雅黑"/>
          <w:b/>
          <w:bCs/>
          <w:color w:val="auto"/>
          <w:sz w:val="22"/>
          <w:szCs w:val="22"/>
          <w:highlight w:val="none"/>
          <w:u w:val="single"/>
          <w:lang w:val="en-US" w:eastAsia="zh-CN"/>
        </w:rPr>
        <w:t>①</w:t>
      </w:r>
      <w:r>
        <w:rPr>
          <w:rFonts w:hint="eastAsia" w:ascii="新宋体" w:hAnsi="新宋体" w:eastAsia="新宋体" w:cs="新宋体"/>
          <w:b/>
          <w:bCs/>
          <w:color w:val="auto"/>
          <w:sz w:val="22"/>
          <w:szCs w:val="22"/>
          <w:highlight w:val="none"/>
          <w:u w:val="single"/>
          <w:lang w:val="en-US" w:eastAsia="zh-CN"/>
        </w:rPr>
        <w:t>不同供应商的电子投标（响应）文件上传计算机的网卡MAC地址或硬盘序列号等硬件信息相同的；</w:t>
      </w:r>
      <w:r>
        <w:rPr>
          <w:rFonts w:hint="eastAsia" w:ascii="微软雅黑" w:hAnsi="微软雅黑" w:eastAsia="微软雅黑" w:cs="微软雅黑"/>
          <w:b/>
          <w:bCs/>
          <w:color w:val="auto"/>
          <w:sz w:val="22"/>
          <w:szCs w:val="22"/>
          <w:highlight w:val="none"/>
          <w:u w:val="single"/>
          <w:lang w:val="en-US" w:eastAsia="zh-CN"/>
        </w:rPr>
        <w:t>②</w:t>
      </w:r>
      <w:r>
        <w:rPr>
          <w:rFonts w:hint="eastAsia" w:ascii="新宋体" w:hAnsi="新宋体" w:eastAsia="新宋体" w:cs="新宋体"/>
          <w:b/>
          <w:bCs/>
          <w:color w:val="auto"/>
          <w:sz w:val="22"/>
          <w:szCs w:val="22"/>
          <w:highlight w:val="none"/>
          <w:u w:val="single"/>
          <w:lang w:val="en-US" w:eastAsia="zh-CN"/>
        </w:rPr>
        <w:t>上传的电子投标（响应）文件若出现使用本项目其他投标（响应）供应商的数字证书加密的，或者加盖本项目其他投标（响应）供应商的电子印章的；</w:t>
      </w:r>
      <w:r>
        <w:rPr>
          <w:rFonts w:hint="eastAsia" w:ascii="微软雅黑" w:hAnsi="微软雅黑" w:eastAsia="微软雅黑" w:cs="微软雅黑"/>
          <w:b/>
          <w:bCs/>
          <w:color w:val="auto"/>
          <w:sz w:val="22"/>
          <w:szCs w:val="22"/>
          <w:highlight w:val="none"/>
          <w:u w:val="single"/>
          <w:lang w:val="en-US" w:eastAsia="zh-CN"/>
        </w:rPr>
        <w:t>③</w:t>
      </w:r>
      <w:r>
        <w:rPr>
          <w:rFonts w:hint="eastAsia" w:ascii="新宋体" w:hAnsi="新宋体" w:eastAsia="新宋体" w:cs="新宋体"/>
          <w:b/>
          <w:bCs/>
          <w:color w:val="auto"/>
          <w:sz w:val="22"/>
          <w:szCs w:val="22"/>
          <w:highlight w:val="none"/>
          <w:u w:val="single"/>
          <w:lang w:val="en-US" w:eastAsia="zh-CN"/>
        </w:rPr>
        <w:t>不同供应商的投标（响应）文件的内容存在3处（含）以上错误一致的；</w:t>
      </w:r>
      <w:r>
        <w:rPr>
          <w:rFonts w:hint="eastAsia" w:ascii="微软雅黑" w:hAnsi="微软雅黑" w:eastAsia="微软雅黑" w:cs="微软雅黑"/>
          <w:b/>
          <w:bCs/>
          <w:color w:val="auto"/>
          <w:sz w:val="22"/>
          <w:szCs w:val="22"/>
          <w:highlight w:val="none"/>
          <w:u w:val="single"/>
          <w:lang w:val="en-US" w:eastAsia="zh-CN"/>
        </w:rPr>
        <w:t>④</w:t>
      </w:r>
      <w:r>
        <w:rPr>
          <w:rFonts w:hint="eastAsia" w:ascii="新宋体" w:hAnsi="新宋体" w:eastAsia="新宋体" w:cs="新宋体"/>
          <w:b/>
          <w:bCs/>
          <w:color w:val="auto"/>
          <w:sz w:val="22"/>
          <w:szCs w:val="22"/>
          <w:highlight w:val="none"/>
          <w:u w:val="single"/>
          <w:lang w:val="en-US" w:eastAsia="zh-CN"/>
        </w:rPr>
        <w:t>不同供应商联系人为同一人或不同联系人的联系电话一致的。</w:t>
      </w:r>
    </w:p>
    <w:p w14:paraId="56F38295">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9、有下列情形之一的，视为投标人串通投标，其投标无效</w:t>
      </w:r>
    </w:p>
    <w:p w14:paraId="0258891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（1）不同投标人的投标文件由同一单位或者个人编制；</w:t>
      </w:r>
    </w:p>
    <w:p w14:paraId="7CAECDC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（2）不同投标人委托同一单位或者个人办理投标事宜；</w:t>
      </w:r>
    </w:p>
    <w:p w14:paraId="3C8D61F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（3）不同投标人的投标文件载明的项目管理成员或者联系人员为同一人；</w:t>
      </w:r>
    </w:p>
    <w:p w14:paraId="69E59B4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（4）不同投标人的投标文件异常一致或者投标报价呈规律性差异；</w:t>
      </w:r>
    </w:p>
    <w:p w14:paraId="07BF3E5E">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（5）不同投标人的投标文件相互混装</w:t>
      </w:r>
      <w:r>
        <w:rPr>
          <w:rFonts w:hint="eastAsia" w:ascii="新宋体" w:hAnsi="新宋体" w:eastAsia="新宋体" w:cs="新宋体"/>
          <w:color w:val="auto"/>
          <w:sz w:val="22"/>
          <w:szCs w:val="22"/>
          <w:highlight w:val="none"/>
          <w:lang w:eastAsia="zh-CN"/>
        </w:rPr>
        <w:t>。</w:t>
      </w:r>
    </w:p>
    <w:p w14:paraId="4F247EB1">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10、投标文件报价出现前后不一致的，按照下列规定修正：</w:t>
      </w:r>
    </w:p>
    <w:p w14:paraId="152EFD1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（1）系统上传的投标文件中开标一览表（报价表）（加盖公章）内容与投标文件中相应内容不一致的，以系统上传的投标文件中开标一览表（报价表）（加盖公章）为准；</w:t>
      </w:r>
    </w:p>
    <w:p w14:paraId="1484F42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（2）大写金额和小写金额不一致的，以大写金额为准；</w:t>
      </w:r>
    </w:p>
    <w:p w14:paraId="61B4FCC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（3）单价金额小数点或者百分比有明显错位的，以开标一览表的总价为准，并修改单价；</w:t>
      </w:r>
    </w:p>
    <w:p w14:paraId="4E25524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（4）总价金额与按单价汇总金额不一致的，以单价金额计算结果为准。</w:t>
      </w:r>
    </w:p>
    <w:p w14:paraId="2085B20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14:paraId="118C6EF3">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14:paraId="26255BCE">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12、投标文件的澄清</w:t>
      </w:r>
    </w:p>
    <w:p w14:paraId="012ABC73">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12.1在评标期间，评标委员会可要求投标人对于投标文件中含义不明确、同类问题表述不一致或者有明显文字和计算错误的内容，评标委员会应当以书面形式（或通过“政府采购云平台”在线询标）要求投标人在规定的时间内作出必要的澄清、说明或者补正。投标人澄清、说明或补正时间为30分钟。</w:t>
      </w:r>
    </w:p>
    <w:p w14:paraId="244F49E7">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12.2投标人的澄清、说明或者补正应当采用书面形式（或通过“政府采购云平台”在线答复），并加盖公章，或者由法定代表人或其授权的代表签字。投标人的澄清、说明或者补正不得超出投标文件的范围或者改变投标文件的实质性内容。</w:t>
      </w:r>
    </w:p>
    <w:p w14:paraId="3E1ECF02">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拒不按要求对其投标文件进行澄清，说明或补正的投标人，评标委员会可以否决其投标。</w:t>
      </w:r>
    </w:p>
    <w:p w14:paraId="76900EC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12.3</w:t>
      </w:r>
      <w:r>
        <w:rPr>
          <w:rFonts w:hint="eastAsia" w:ascii="新宋体" w:hAnsi="新宋体" w:eastAsia="新宋体" w:cs="新宋体"/>
          <w:b/>
          <w:color w:val="auto"/>
          <w:sz w:val="22"/>
          <w:szCs w:val="22"/>
          <w:highlight w:val="none"/>
        </w:rPr>
        <w:t>经澄清后，若偏差仍存在，且不可接受，投标人则被认为是“没有实质性响应招标文件要求”，其投标将被拒绝。</w:t>
      </w:r>
    </w:p>
    <w:p w14:paraId="7D7FA9C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13、评审结果的修改</w:t>
      </w:r>
    </w:p>
    <w:p w14:paraId="502FA219">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13.1评标结果汇总完成后，除下列情形外，任何人不得修改评标结果：</w:t>
      </w:r>
    </w:p>
    <w:p w14:paraId="7D60528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（1）分值汇总计算错误的；</w:t>
      </w:r>
    </w:p>
    <w:p w14:paraId="2E189E7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（2）分项评分超出评分标准范围的；</w:t>
      </w:r>
    </w:p>
    <w:p w14:paraId="3328F8D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（3）评标委员会成员对客观评审因素评分不一致的；</w:t>
      </w:r>
    </w:p>
    <w:p w14:paraId="636FA51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（4）经评标委员会认定评分畸高、畸低的。</w:t>
      </w:r>
    </w:p>
    <w:p w14:paraId="1DD7509A">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rPr>
        <w:t>评标报告中记载。</w:t>
      </w:r>
    </w:p>
    <w:p w14:paraId="204B777D">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12952C3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14.1由评标委员会确定中标候选人。</w:t>
      </w:r>
    </w:p>
    <w:p w14:paraId="0E62E10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推荐。</w:t>
      </w:r>
    </w:p>
    <w:p w14:paraId="40C776AB">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rPr>
        <w:t>15、确定中标人</w:t>
      </w:r>
    </w:p>
    <w:p w14:paraId="1EAE8426">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15</w:t>
      </w: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eastAsia="zh-CN"/>
        </w:rPr>
        <w:t>招标人</w:t>
      </w:r>
      <w:r>
        <w:rPr>
          <w:rFonts w:hint="eastAsia" w:ascii="新宋体" w:hAnsi="新宋体" w:eastAsia="新宋体" w:cs="新宋体"/>
          <w:b/>
          <w:bCs/>
          <w:color w:val="auto"/>
          <w:sz w:val="22"/>
          <w:szCs w:val="22"/>
          <w:highlight w:val="none"/>
        </w:rPr>
        <w:t>按照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14:paraId="01C44ED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15.2如中标人放弃中标；或未能在规定时间内与</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签订合同的；或者经质疑，</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审查后，确因排名第一的候选人在本次采购活动中存在违法违规行为或其他原因使质疑成立的，</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可以视情况直接确定排名第二的候选人为中标人或重新组织招标。</w:t>
      </w:r>
    </w:p>
    <w:p w14:paraId="778565F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16、起草、签署评审报告</w:t>
      </w:r>
    </w:p>
    <w:p w14:paraId="7B6D0BCC">
      <w:pPr>
        <w:spacing w:line="460" w:lineRule="exact"/>
        <w:ind w:firstLine="440" w:firstLineChars="20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评审结束后，评标委员会将通过“政府采购云平台”起草评审报告，评标委员会成员应当在评审报告上签字，对自己的评审意见承担法律责任。对评审报告有异议的，应当在评审报告上签署不同意见，并说明理由，否则视为同意评审报告。</w:t>
      </w:r>
    </w:p>
    <w:p w14:paraId="5E42FE8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中标人确定后，</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将在政府指定媒体公告中标结果，</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向中标人发出中标通知书。</w:t>
      </w:r>
    </w:p>
    <w:p w14:paraId="047E1648">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18、</w:t>
      </w:r>
      <w:r>
        <w:rPr>
          <w:rFonts w:hint="eastAsia" w:ascii="新宋体" w:hAnsi="新宋体" w:eastAsia="新宋体" w:cs="新宋体"/>
          <w:b/>
          <w:color w:val="auto"/>
          <w:sz w:val="22"/>
          <w:szCs w:val="22"/>
          <w:highlight w:val="none"/>
          <w:lang w:eastAsia="zh-CN"/>
        </w:rPr>
        <w:t>招标人</w:t>
      </w:r>
      <w:r>
        <w:rPr>
          <w:rFonts w:hint="eastAsia" w:ascii="新宋体" w:hAnsi="新宋体" w:eastAsia="新宋体" w:cs="新宋体"/>
          <w:b/>
          <w:color w:val="auto"/>
          <w:sz w:val="22"/>
          <w:szCs w:val="22"/>
          <w:highlight w:val="none"/>
        </w:rPr>
        <w:t>对决标结果不做任何解释，也不保证最低价中标。</w:t>
      </w:r>
    </w:p>
    <w:p w14:paraId="5D590D3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19、评标细则详见“评标原则及方法”。</w:t>
      </w:r>
    </w:p>
    <w:p w14:paraId="163D2CD0">
      <w:pPr>
        <w:spacing w:before="100" w:beforeAutospacing="1" w:after="100" w:afterAutospacing="1" w:line="440" w:lineRule="exact"/>
        <w:jc w:val="center"/>
        <w:outlineLvl w:val="1"/>
        <w:rPr>
          <w:rFonts w:ascii="新宋体" w:hAnsi="新宋体" w:eastAsia="新宋体" w:cs="新宋体"/>
          <w:b/>
          <w:bCs/>
          <w:color w:val="auto"/>
          <w:sz w:val="26"/>
          <w:szCs w:val="26"/>
          <w:highlight w:val="none"/>
        </w:rPr>
      </w:pPr>
      <w:bookmarkStart w:id="23" w:name="_Toc26836"/>
      <w:bookmarkStart w:id="24" w:name="_Toc15583"/>
      <w:r>
        <w:rPr>
          <w:rFonts w:hint="eastAsia" w:ascii="新宋体" w:hAnsi="新宋体" w:eastAsia="新宋体" w:cs="新宋体"/>
          <w:b/>
          <w:bCs/>
          <w:color w:val="auto"/>
          <w:sz w:val="26"/>
          <w:szCs w:val="26"/>
          <w:highlight w:val="none"/>
        </w:rPr>
        <w:t>六、 授予合同</w:t>
      </w:r>
      <w:bookmarkEnd w:id="23"/>
      <w:bookmarkEnd w:id="24"/>
    </w:p>
    <w:p w14:paraId="64604D81">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1、中标通知书</w:t>
      </w:r>
    </w:p>
    <w:p w14:paraId="4072DB0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1.1中标人确定后，</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将向中标人发出中标通知书。</w:t>
      </w:r>
    </w:p>
    <w:p w14:paraId="4B709FC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1.2中标通知书是合同的一个组成部分，对</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和中标人均具有同等法律效力。</w:t>
      </w:r>
    </w:p>
    <w:p w14:paraId="7C0EAA4F">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2、授标时更改采购货物数量的权力</w:t>
      </w:r>
    </w:p>
    <w:p w14:paraId="4A05D027">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2.1</w:t>
      </w:r>
      <w:r>
        <w:rPr>
          <w:rFonts w:hint="eastAsia" w:ascii="新宋体" w:hAnsi="新宋体" w:eastAsia="新宋体" w:cs="新宋体"/>
          <w:bCs/>
          <w:color w:val="auto"/>
          <w:sz w:val="22"/>
          <w:szCs w:val="22"/>
          <w:highlight w:val="none"/>
          <w:lang w:eastAsia="zh-CN"/>
        </w:rPr>
        <w:t>招标人</w:t>
      </w:r>
      <w:r>
        <w:rPr>
          <w:rFonts w:hint="eastAsia" w:ascii="新宋体" w:hAnsi="新宋体" w:eastAsia="新宋体" w:cs="新宋体"/>
          <w:bCs/>
          <w:color w:val="auto"/>
          <w:sz w:val="22"/>
          <w:szCs w:val="22"/>
          <w:highlight w:val="none"/>
        </w:rPr>
        <w:t>在授予合同时有权对采购货物的数量和服务在一定幅度范围内予以增加或减少，但不得对单价和其他的条款和条件作任何改变。</w:t>
      </w:r>
    </w:p>
    <w:p w14:paraId="0ECF5BAF">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3、签订合同</w:t>
      </w:r>
    </w:p>
    <w:p w14:paraId="4FAEEDE2">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3.1中标人应按中标通知书规定的时间、地点与</w:t>
      </w:r>
      <w:r>
        <w:rPr>
          <w:rFonts w:hint="eastAsia" w:ascii="新宋体" w:hAnsi="新宋体" w:eastAsia="新宋体" w:cs="新宋体"/>
          <w:bCs/>
          <w:color w:val="auto"/>
          <w:sz w:val="22"/>
          <w:szCs w:val="22"/>
          <w:highlight w:val="none"/>
          <w:lang w:eastAsia="zh-CN"/>
        </w:rPr>
        <w:t>招标人</w:t>
      </w:r>
      <w:r>
        <w:rPr>
          <w:rFonts w:hint="eastAsia" w:ascii="新宋体" w:hAnsi="新宋体" w:eastAsia="新宋体" w:cs="新宋体"/>
          <w:bCs/>
          <w:color w:val="auto"/>
          <w:sz w:val="22"/>
          <w:szCs w:val="22"/>
          <w:highlight w:val="none"/>
        </w:rPr>
        <w:t>签订合同。</w:t>
      </w:r>
    </w:p>
    <w:p w14:paraId="2E932EDE">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3.2</w:t>
      </w:r>
      <w:r>
        <w:rPr>
          <w:rFonts w:hint="eastAsia" w:ascii="新宋体" w:hAnsi="新宋体" w:eastAsia="新宋体" w:cs="新宋体"/>
          <w:b/>
          <w:color w:val="auto"/>
          <w:spacing w:val="6"/>
          <w:sz w:val="22"/>
          <w:szCs w:val="22"/>
          <w:highlight w:val="none"/>
        </w:rPr>
        <w:t>在签订合同前，</w:t>
      </w:r>
      <w:r>
        <w:rPr>
          <w:rFonts w:hint="eastAsia" w:ascii="新宋体" w:hAnsi="新宋体" w:eastAsia="新宋体" w:cs="新宋体"/>
          <w:b/>
          <w:color w:val="auto"/>
          <w:spacing w:val="6"/>
          <w:sz w:val="22"/>
          <w:szCs w:val="22"/>
          <w:highlight w:val="none"/>
          <w:lang w:eastAsia="zh-CN"/>
        </w:rPr>
        <w:t>招标人</w:t>
      </w:r>
      <w:r>
        <w:rPr>
          <w:rFonts w:hint="eastAsia" w:ascii="新宋体" w:hAnsi="新宋体" w:eastAsia="新宋体" w:cs="新宋体"/>
          <w:b/>
          <w:color w:val="auto"/>
          <w:spacing w:val="6"/>
          <w:sz w:val="22"/>
          <w:szCs w:val="22"/>
          <w:highlight w:val="none"/>
        </w:rPr>
        <w:t>有权在中标总价不变的前提下要求中标人对商务报价中的不平衡报价和缺漏项进行调整，如果中标人无合理理由拒绝调整，其中投标资格将被取消，保证金将不予退还，且将导致其它进一步的赔偿和处罚。</w:t>
      </w:r>
    </w:p>
    <w:p w14:paraId="75BB52FD">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3.3招标文件、中标人的投标文件、投标修改文件、评标过程中有关澄清文件及经投标人和评委双方签字的询标纪要和中标通知书均作为合同附件。</w:t>
      </w:r>
    </w:p>
    <w:p w14:paraId="512BCA9D">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3.4拒签合同的违约责任</w:t>
      </w:r>
    </w:p>
    <w:p w14:paraId="69D58E98">
      <w:pPr>
        <w:spacing w:line="460" w:lineRule="exact"/>
        <w:ind w:firstLine="466" w:firstLineChars="200"/>
        <w:rPr>
          <w:rFonts w:ascii="新宋体" w:hAnsi="新宋体" w:eastAsia="新宋体" w:cs="新宋体"/>
          <w:b/>
          <w:color w:val="auto"/>
          <w:spacing w:val="6"/>
          <w:sz w:val="22"/>
          <w:szCs w:val="22"/>
          <w:highlight w:val="none"/>
        </w:rPr>
      </w:pPr>
      <w:r>
        <w:rPr>
          <w:rFonts w:hint="eastAsia" w:ascii="新宋体" w:hAnsi="新宋体" w:eastAsia="新宋体" w:cs="新宋体"/>
          <w:b/>
          <w:color w:val="auto"/>
          <w:spacing w:val="6"/>
          <w:sz w:val="22"/>
          <w:szCs w:val="22"/>
          <w:highlight w:val="none"/>
        </w:rPr>
        <w:t>中标人接到中标通知书后，在规定时间内借故否认已经承诺的条件而拒签合同的，以违约处理。</w:t>
      </w:r>
    </w:p>
    <w:p w14:paraId="02A4DD8C">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4、履约保证金</w:t>
      </w:r>
    </w:p>
    <w:p w14:paraId="289F5DCA">
      <w:pPr>
        <w:spacing w:line="460" w:lineRule="exact"/>
        <w:ind w:firstLine="440" w:firstLineChars="200"/>
        <w:rPr>
          <w:rFonts w:ascii="新宋体" w:hAnsi="新宋体" w:eastAsia="新宋体" w:cs="新宋体"/>
          <w:bCs/>
          <w:color w:val="auto"/>
          <w:sz w:val="22"/>
          <w:highlight w:val="none"/>
        </w:rPr>
      </w:pPr>
      <w:r>
        <w:rPr>
          <w:rFonts w:hint="eastAsia" w:ascii="新宋体" w:hAnsi="新宋体" w:eastAsia="新宋体" w:cs="新宋体"/>
          <w:bCs/>
          <w:color w:val="auto"/>
          <w:sz w:val="22"/>
          <w:highlight w:val="none"/>
        </w:rPr>
        <w:t>履约保证金用于补偿</w:t>
      </w:r>
      <w:r>
        <w:rPr>
          <w:rFonts w:hint="eastAsia" w:ascii="新宋体" w:hAnsi="新宋体" w:eastAsia="新宋体" w:cs="新宋体"/>
          <w:bCs/>
          <w:color w:val="auto"/>
          <w:sz w:val="22"/>
          <w:highlight w:val="none"/>
          <w:lang w:eastAsia="zh-CN"/>
        </w:rPr>
        <w:t>招标人</w:t>
      </w:r>
      <w:r>
        <w:rPr>
          <w:rFonts w:hint="eastAsia" w:ascii="新宋体" w:hAnsi="新宋体" w:eastAsia="新宋体" w:cs="新宋体"/>
          <w:bCs/>
          <w:color w:val="auto"/>
          <w:sz w:val="22"/>
          <w:highlight w:val="none"/>
        </w:rPr>
        <w:t>因中标人不能履行其合同义务而蒙受的损失。</w:t>
      </w:r>
    </w:p>
    <w:p w14:paraId="55F202C3">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5、质疑与投诉</w:t>
      </w:r>
    </w:p>
    <w:p w14:paraId="5A34F728">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5.1投标人认为招标文件、采购过程、中标和成交结果使自己的合法权益受到损害的，可以在知道或应知道其权益受到损害之日起七个工作日内以书面形式向</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或</w:t>
      </w:r>
      <w:r>
        <w:rPr>
          <w:rFonts w:hint="eastAsia" w:ascii="新宋体" w:hAnsi="新宋体" w:eastAsia="新宋体" w:cs="新宋体"/>
          <w:color w:val="auto"/>
          <w:sz w:val="22"/>
          <w:highlight w:val="none"/>
          <w:lang w:eastAsia="zh-CN"/>
        </w:rPr>
        <w:t>招标代理机构</w:t>
      </w:r>
      <w:r>
        <w:rPr>
          <w:rFonts w:hint="eastAsia" w:ascii="新宋体" w:hAnsi="新宋体" w:eastAsia="新宋体" w:cs="新宋体"/>
          <w:color w:val="auto"/>
          <w:sz w:val="22"/>
          <w:highlight w:val="none"/>
        </w:rPr>
        <w:t>提出质疑。</w:t>
      </w:r>
    </w:p>
    <w:p w14:paraId="64797DD3">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5.2</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或</w:t>
      </w:r>
      <w:r>
        <w:rPr>
          <w:rFonts w:hint="eastAsia" w:ascii="新宋体" w:hAnsi="新宋体" w:eastAsia="新宋体" w:cs="新宋体"/>
          <w:color w:val="auto"/>
          <w:sz w:val="22"/>
          <w:highlight w:val="none"/>
          <w:lang w:eastAsia="zh-CN"/>
        </w:rPr>
        <w:t>招标代理机构</w:t>
      </w:r>
      <w:r>
        <w:rPr>
          <w:rFonts w:hint="eastAsia" w:ascii="新宋体" w:hAnsi="新宋体" w:eastAsia="新宋体" w:cs="新宋体"/>
          <w:color w:val="auto"/>
          <w:sz w:val="22"/>
          <w:highlight w:val="none"/>
        </w:rPr>
        <w:t>在收到投标人的书面质疑后七个工作日内作出答复，但答复的内容不得涉及商业秘密。质疑投标人对</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或</w:t>
      </w:r>
      <w:r>
        <w:rPr>
          <w:rFonts w:hint="eastAsia" w:ascii="新宋体" w:hAnsi="新宋体" w:eastAsia="新宋体" w:cs="新宋体"/>
          <w:color w:val="auto"/>
          <w:sz w:val="22"/>
          <w:highlight w:val="none"/>
          <w:lang w:eastAsia="zh-CN"/>
        </w:rPr>
        <w:t>招标代理机构</w:t>
      </w:r>
      <w:r>
        <w:rPr>
          <w:rFonts w:hint="eastAsia" w:ascii="新宋体" w:hAnsi="新宋体" w:eastAsia="新宋体" w:cs="新宋体"/>
          <w:color w:val="auto"/>
          <w:sz w:val="22"/>
          <w:highlight w:val="none"/>
        </w:rPr>
        <w:t>的答复不满意，可以在答复期满后十五个工作日内向同级政府采购监督管理部门投诉。</w:t>
      </w:r>
    </w:p>
    <w:p w14:paraId="30A0BFBA">
      <w:pPr>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5.3投诉人投诉时，应提交投诉书，投诉书应当由本人并由法定代表人签字盖公章，投诉书应说明具体的投诉事项及事实依据。投诉人对投诉书的真实性负责，恶意投诉将承当相应的法律和民事责任。</w:t>
      </w:r>
    </w:p>
    <w:p w14:paraId="11C2E9B9">
      <w:pPr>
        <w:rPr>
          <w:rFonts w:ascii="新宋体" w:hAnsi="新宋体" w:eastAsia="新宋体" w:cs="新宋体"/>
          <w:color w:val="auto"/>
          <w:highlight w:val="none"/>
        </w:rPr>
      </w:pPr>
      <w:bookmarkStart w:id="25" w:name="_Toc28194"/>
    </w:p>
    <w:p w14:paraId="4D87EE08">
      <w:pPr>
        <w:rPr>
          <w:rFonts w:ascii="新宋体" w:hAnsi="新宋体" w:eastAsia="新宋体" w:cs="新宋体"/>
          <w:color w:val="auto"/>
          <w:highlight w:val="none"/>
        </w:rPr>
      </w:pPr>
      <w:r>
        <w:rPr>
          <w:rFonts w:hint="eastAsia" w:ascii="新宋体" w:hAnsi="新宋体" w:eastAsia="新宋体" w:cs="新宋体"/>
          <w:color w:val="auto"/>
          <w:highlight w:val="none"/>
        </w:rPr>
        <w:br w:type="page"/>
      </w:r>
    </w:p>
    <w:bookmarkEnd w:id="25"/>
    <w:p w14:paraId="5AD2A58B">
      <w:pPr>
        <w:pStyle w:val="3"/>
        <w:rPr>
          <w:rFonts w:ascii="新宋体" w:hAnsi="新宋体" w:eastAsia="新宋体" w:cs="新宋体"/>
          <w:color w:val="auto"/>
          <w:highlight w:val="none"/>
        </w:rPr>
      </w:pPr>
      <w:bookmarkStart w:id="26" w:name="_Toc19105"/>
      <w:bookmarkStart w:id="27" w:name="_Toc8420"/>
      <w:bookmarkStart w:id="28" w:name="_Toc18876"/>
      <w:bookmarkStart w:id="29" w:name="_Toc27647"/>
      <w:r>
        <w:rPr>
          <w:rFonts w:hint="eastAsia" w:ascii="新宋体" w:hAnsi="新宋体" w:eastAsia="新宋体" w:cs="新宋体"/>
          <w:color w:val="auto"/>
          <w:highlight w:val="none"/>
        </w:rPr>
        <w:t>第二部分</w:t>
      </w:r>
      <w:bookmarkEnd w:id="26"/>
      <w:bookmarkEnd w:id="27"/>
      <w:r>
        <w:rPr>
          <w:rFonts w:hint="eastAsia" w:ascii="新宋体" w:hAnsi="新宋体" w:eastAsia="新宋体" w:cs="新宋体"/>
          <w:color w:val="auto"/>
          <w:highlight w:val="none"/>
        </w:rPr>
        <w:t xml:space="preserve">   </w:t>
      </w:r>
      <w:bookmarkEnd w:id="28"/>
      <w:r>
        <w:rPr>
          <w:rFonts w:hint="eastAsia" w:ascii="新宋体" w:hAnsi="新宋体" w:eastAsia="新宋体" w:cs="新宋体"/>
          <w:b/>
          <w:color w:val="auto"/>
          <w:sz w:val="30"/>
          <w:highlight w:val="none"/>
        </w:rPr>
        <w:t>合同主要条款</w:t>
      </w:r>
      <w:bookmarkEnd w:id="29"/>
    </w:p>
    <w:p w14:paraId="3FADCF59">
      <w:pPr>
        <w:pStyle w:val="48"/>
        <w:spacing w:line="380" w:lineRule="exact"/>
        <w:jc w:val="center"/>
        <w:rPr>
          <w:rFonts w:hint="eastAsia" w:ascii="新宋体" w:hAnsi="新宋体" w:eastAsia="新宋体" w:cs="新宋体"/>
          <w:b/>
          <w:color w:val="auto"/>
          <w:sz w:val="32"/>
          <w:szCs w:val="32"/>
          <w:highlight w:val="none"/>
        </w:rPr>
      </w:pPr>
      <w:r>
        <w:rPr>
          <w:rFonts w:hint="eastAsia" w:ascii="新宋体" w:hAnsi="新宋体" w:eastAsia="新宋体" w:cs="新宋体"/>
          <w:b/>
          <w:color w:val="auto"/>
          <w:sz w:val="32"/>
          <w:szCs w:val="32"/>
          <w:highlight w:val="none"/>
        </w:rPr>
        <w:t>合  同</w:t>
      </w:r>
    </w:p>
    <w:p w14:paraId="3A34E5EA">
      <w:pPr>
        <w:pStyle w:val="29"/>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买方：温州市第七人民医院</w:t>
      </w:r>
    </w:p>
    <w:p w14:paraId="1063FD0E">
      <w:pPr>
        <w:pStyle w:val="29"/>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卖方：</w:t>
      </w:r>
    </w:p>
    <w:p w14:paraId="7ABC1295">
      <w:pPr>
        <w:pStyle w:val="29"/>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根据</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招标结果（项目名称：</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采购编号：</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），就买方向卖方采购的货物及服务内容达成以下合同细则：</w:t>
      </w:r>
    </w:p>
    <w:p w14:paraId="18B16BC2">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一、货物、服务内容（详细配置见附件）</w:t>
      </w:r>
    </w:p>
    <w:tbl>
      <w:tblPr>
        <w:tblStyle w:val="5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14:paraId="1A8CA2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79FC1966">
            <w:pPr>
              <w:pStyle w:val="18"/>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187" w:type="dxa"/>
            <w:tcBorders>
              <w:top w:val="single" w:color="auto" w:sz="4" w:space="0"/>
              <w:left w:val="single" w:color="auto" w:sz="4" w:space="0"/>
              <w:bottom w:val="single" w:color="auto" w:sz="4" w:space="0"/>
              <w:right w:val="single" w:color="auto" w:sz="4" w:space="0"/>
            </w:tcBorders>
            <w:vAlign w:val="center"/>
          </w:tcPr>
          <w:p w14:paraId="3E507F71">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14:paraId="6F777DA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型号</w:t>
            </w:r>
          </w:p>
        </w:tc>
        <w:tc>
          <w:tcPr>
            <w:tcW w:w="1485" w:type="dxa"/>
            <w:tcBorders>
              <w:top w:val="single" w:color="auto" w:sz="4" w:space="0"/>
              <w:left w:val="single" w:color="auto" w:sz="4" w:space="0"/>
              <w:bottom w:val="single" w:color="auto" w:sz="4" w:space="0"/>
              <w:right w:val="single" w:color="auto" w:sz="4" w:space="0"/>
            </w:tcBorders>
            <w:vAlign w:val="center"/>
          </w:tcPr>
          <w:p w14:paraId="3B1DE1FE">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w:t>
            </w:r>
          </w:p>
        </w:tc>
        <w:tc>
          <w:tcPr>
            <w:tcW w:w="1545" w:type="dxa"/>
            <w:tcBorders>
              <w:top w:val="single" w:color="auto" w:sz="4" w:space="0"/>
              <w:left w:val="single" w:color="auto" w:sz="4" w:space="0"/>
              <w:bottom w:val="single" w:color="auto" w:sz="4" w:space="0"/>
              <w:right w:val="single" w:color="auto" w:sz="4" w:space="0"/>
            </w:tcBorders>
            <w:vAlign w:val="center"/>
          </w:tcPr>
          <w:p w14:paraId="60F8332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单价</w:t>
            </w:r>
          </w:p>
          <w:p w14:paraId="50A4208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14:paraId="29A5741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471" w:type="dxa"/>
            <w:tcBorders>
              <w:top w:val="single" w:color="auto" w:sz="4" w:space="0"/>
              <w:left w:val="single" w:color="auto" w:sz="4" w:space="0"/>
              <w:bottom w:val="single" w:color="auto" w:sz="4" w:space="0"/>
              <w:right w:val="single" w:color="auto" w:sz="4" w:space="0"/>
            </w:tcBorders>
            <w:vAlign w:val="center"/>
          </w:tcPr>
          <w:p w14:paraId="63CD83AA">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金额</w:t>
            </w:r>
          </w:p>
          <w:p w14:paraId="3952C7C3">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14:paraId="3F2D5099">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4A0B84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5FE96B1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187" w:type="dxa"/>
            <w:tcBorders>
              <w:top w:val="single" w:color="auto" w:sz="4" w:space="0"/>
              <w:left w:val="single" w:color="auto" w:sz="4" w:space="0"/>
              <w:bottom w:val="single" w:color="auto" w:sz="4" w:space="0"/>
              <w:right w:val="single" w:color="auto" w:sz="4" w:space="0"/>
            </w:tcBorders>
            <w:vAlign w:val="center"/>
          </w:tcPr>
          <w:p w14:paraId="3674DE7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909" w:type="dxa"/>
            <w:tcBorders>
              <w:top w:val="single" w:color="auto" w:sz="4" w:space="0"/>
              <w:left w:val="single" w:color="auto" w:sz="4" w:space="0"/>
              <w:bottom w:val="single" w:color="auto" w:sz="4" w:space="0"/>
              <w:right w:val="single" w:color="auto" w:sz="4" w:space="0"/>
            </w:tcBorders>
            <w:vAlign w:val="center"/>
          </w:tcPr>
          <w:p w14:paraId="3CE1A25D">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14:paraId="2150FE0A">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545" w:type="dxa"/>
            <w:tcBorders>
              <w:top w:val="single" w:color="auto" w:sz="4" w:space="0"/>
              <w:left w:val="single" w:color="auto" w:sz="4" w:space="0"/>
              <w:bottom w:val="single" w:color="auto" w:sz="4" w:space="0"/>
              <w:right w:val="single" w:color="auto" w:sz="4" w:space="0"/>
            </w:tcBorders>
            <w:vAlign w:val="center"/>
          </w:tcPr>
          <w:p w14:paraId="77E1C099">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885" w:type="dxa"/>
            <w:tcBorders>
              <w:top w:val="single" w:color="auto" w:sz="4" w:space="0"/>
              <w:left w:val="single" w:color="auto" w:sz="4" w:space="0"/>
              <w:bottom w:val="single" w:color="auto" w:sz="4" w:space="0"/>
              <w:right w:val="single" w:color="auto" w:sz="4" w:space="0"/>
            </w:tcBorders>
            <w:vAlign w:val="center"/>
          </w:tcPr>
          <w:p w14:paraId="6BFE4DC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71" w:type="dxa"/>
            <w:tcBorders>
              <w:top w:val="single" w:color="auto" w:sz="4" w:space="0"/>
              <w:left w:val="single" w:color="auto" w:sz="4" w:space="0"/>
              <w:bottom w:val="single" w:color="auto" w:sz="4" w:space="0"/>
              <w:right w:val="single" w:color="auto" w:sz="4" w:space="0"/>
            </w:tcBorders>
            <w:vAlign w:val="center"/>
          </w:tcPr>
          <w:p w14:paraId="1DD1FCA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770" w:type="dxa"/>
            <w:tcBorders>
              <w:top w:val="single" w:color="auto" w:sz="4" w:space="0"/>
              <w:left w:val="single" w:color="auto" w:sz="4" w:space="0"/>
              <w:bottom w:val="single" w:color="auto" w:sz="4" w:space="0"/>
              <w:right w:val="single" w:color="auto" w:sz="4" w:space="0"/>
            </w:tcBorders>
            <w:vAlign w:val="center"/>
          </w:tcPr>
          <w:p w14:paraId="7DFACC4B">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r>
    </w:tbl>
    <w:p w14:paraId="305023F0">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二、合同总金额</w:t>
      </w:r>
    </w:p>
    <w:p w14:paraId="35B81E16">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货到</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价（含货物进口应交纳的进口环节税等一切税费、进口口岸运至最终目的地的内陆运输费、保险费和伴随服务费、包装费、装邮费、安装调试费、技术服务费以及保修费等所有费用）（大写）：人民币元整（¥元）。</w:t>
      </w:r>
    </w:p>
    <w:p w14:paraId="00DD94B2">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三、保修期及售后服务</w:t>
      </w:r>
    </w:p>
    <w:p w14:paraId="58ED8E6F">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rPr>
        <w:t>1、设备保修期自货物验收合格、完成培训考核后起，整套系统全免费现场保修年。</w:t>
      </w:r>
    </w:p>
    <w:p w14:paraId="3F41034D">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2、售后服务具体条款见附件。</w:t>
      </w:r>
    </w:p>
    <w:p w14:paraId="7F736584">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四、合同签订日期：   年  月  日。</w:t>
      </w:r>
    </w:p>
    <w:p w14:paraId="42935BBA">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五、本合同一式三份，买方执两份，卖方执一份</w:t>
      </w:r>
      <w:r>
        <w:rPr>
          <w:rFonts w:hint="eastAsia" w:ascii="新宋体" w:hAnsi="新宋体" w:eastAsia="新宋体" w:cs="新宋体"/>
          <w:bCs/>
          <w:color w:val="auto"/>
          <w:sz w:val="22"/>
          <w:szCs w:val="22"/>
          <w:highlight w:val="none"/>
        </w:rPr>
        <w:t>，</w:t>
      </w:r>
      <w:r>
        <w:rPr>
          <w:rFonts w:hint="eastAsia" w:ascii="新宋体" w:hAnsi="新宋体" w:eastAsia="新宋体" w:cs="新宋体"/>
          <w:color w:val="auto"/>
          <w:sz w:val="22"/>
          <w:szCs w:val="22"/>
          <w:highlight w:val="none"/>
        </w:rPr>
        <w:t>具有同等法律效力。</w:t>
      </w:r>
    </w:p>
    <w:p w14:paraId="5B75C4E3">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六、合同附件是本合同不可分割的组成部分，如与合同正文有抵触的，以合同正文为准。</w:t>
      </w:r>
    </w:p>
    <w:p w14:paraId="5A8CDC57">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附件1：合同通用条款；</w:t>
      </w:r>
    </w:p>
    <w:p w14:paraId="48F06B43">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售后服务承诺书；</w:t>
      </w:r>
    </w:p>
    <w:p w14:paraId="31CFE58A">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附件3：设备配置清单；</w:t>
      </w:r>
    </w:p>
    <w:p w14:paraId="72AEB774">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附件4：备品备件价格清单</w:t>
      </w:r>
      <w:r>
        <w:rPr>
          <w:rFonts w:hint="eastAsia" w:ascii="新宋体" w:hAnsi="新宋体" w:eastAsia="新宋体" w:cs="新宋体"/>
          <w:color w:val="auto"/>
          <w:sz w:val="22"/>
          <w:szCs w:val="22"/>
          <w:highlight w:val="none"/>
          <w:lang w:eastAsia="zh-CN"/>
        </w:rPr>
        <w:t>；</w:t>
      </w:r>
    </w:p>
    <w:p w14:paraId="546B4E23">
      <w:pPr>
        <w:pStyle w:val="29"/>
        <w:snapToGrid w:val="0"/>
        <w:spacing w:line="460" w:lineRule="exact"/>
        <w:jc w:val="both"/>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附件</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w:t>
      </w:r>
      <w:r>
        <w:rPr>
          <w:rFonts w:ascii="Times New Roman" w:hAnsi="Times New Roman" w:eastAsia="新宋体"/>
          <w:b/>
          <w:color w:val="auto"/>
          <w:sz w:val="22"/>
          <w:szCs w:val="22"/>
          <w:highlight w:val="none"/>
        </w:rPr>
        <w:t>医疗卫生机构医药产品廉洁购销合同（样本）</w:t>
      </w:r>
      <w:r>
        <w:rPr>
          <w:rFonts w:hint="eastAsia" w:ascii="Times New Roman" w:hAnsi="Times New Roman" w:eastAsia="新宋体"/>
          <w:b/>
          <w:color w:val="auto"/>
          <w:sz w:val="22"/>
          <w:szCs w:val="22"/>
          <w:highlight w:val="none"/>
          <w:lang w:eastAsia="zh-CN"/>
        </w:rPr>
        <w:t>。</w:t>
      </w:r>
    </w:p>
    <w:tbl>
      <w:tblPr>
        <w:tblStyle w:val="52"/>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14:paraId="32F9A01F">
        <w:trPr>
          <w:trHeight w:val="993" w:hRule="atLeast"/>
        </w:trPr>
        <w:tc>
          <w:tcPr>
            <w:tcW w:w="4068" w:type="dxa"/>
          </w:tcPr>
          <w:p w14:paraId="5AAF9DA8">
            <w:pPr>
              <w:pStyle w:val="29"/>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w:t>
            </w:r>
          </w:p>
          <w:p w14:paraId="794D96CC">
            <w:pPr>
              <w:pStyle w:val="29"/>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c>
          <w:tcPr>
            <w:tcW w:w="3960" w:type="dxa"/>
          </w:tcPr>
          <w:p w14:paraId="1A1B7719">
            <w:pPr>
              <w:pStyle w:val="29"/>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 xml:space="preserve">卖方： </w:t>
            </w:r>
          </w:p>
          <w:p w14:paraId="6B2EFA9A">
            <w:pPr>
              <w:pStyle w:val="29"/>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r>
      <w:tr w14:paraId="32FF4480">
        <w:tblPrEx>
          <w:tblCellMar>
            <w:top w:w="0" w:type="dxa"/>
            <w:left w:w="108" w:type="dxa"/>
            <w:bottom w:w="0" w:type="dxa"/>
            <w:right w:w="108" w:type="dxa"/>
          </w:tblCellMar>
        </w:tblPrEx>
        <w:trPr>
          <w:trHeight w:val="857" w:hRule="atLeast"/>
        </w:trPr>
        <w:tc>
          <w:tcPr>
            <w:tcW w:w="4068" w:type="dxa"/>
          </w:tcPr>
          <w:p w14:paraId="5E5E970B">
            <w:pPr>
              <w:pStyle w:val="29"/>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c>
          <w:tcPr>
            <w:tcW w:w="3960" w:type="dxa"/>
          </w:tcPr>
          <w:p w14:paraId="5D661974">
            <w:pPr>
              <w:pStyle w:val="29"/>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r>
    </w:tbl>
    <w:p w14:paraId="666ABC86">
      <w:pPr>
        <w:keepNext w:val="0"/>
        <w:keepLines w:val="0"/>
        <w:pageBreakBefore w:val="0"/>
        <w:kinsoku/>
        <w:wordWrap/>
        <w:topLinePunct w:val="0"/>
        <w:bidi w:val="0"/>
        <w:snapToGrid/>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highlight w:val="none"/>
        </w:rPr>
        <w:br w:type="page"/>
      </w:r>
      <w:r>
        <w:rPr>
          <w:rFonts w:hint="eastAsia" w:ascii="新宋体" w:hAnsi="新宋体" w:eastAsia="新宋体" w:cs="新宋体"/>
          <w:b/>
          <w:bCs/>
          <w:color w:val="auto"/>
          <w:sz w:val="22"/>
          <w:szCs w:val="22"/>
          <w:highlight w:val="none"/>
        </w:rPr>
        <w:t>附件1</w:t>
      </w:r>
    </w:p>
    <w:p w14:paraId="2103A92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合同通用条款</w:t>
      </w:r>
    </w:p>
    <w:p w14:paraId="7071A9A2">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买方：温州市第七人民医院</w:t>
      </w:r>
    </w:p>
    <w:p w14:paraId="558BCB1A">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卖方：</w:t>
      </w:r>
    </w:p>
    <w:p w14:paraId="4A6A7EE2">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根据采购结果，买卖双方达成以下合同细则：</w:t>
      </w:r>
    </w:p>
    <w:p w14:paraId="4097C857">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一、付款方式</w:t>
      </w:r>
    </w:p>
    <w:p w14:paraId="7B07C58B">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1、预付款：买方在合同签订并具备实施条件后7个工作日内，支付合同金额的40%，作为本项目的预付款。</w:t>
      </w:r>
    </w:p>
    <w:p w14:paraId="144E4356">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2、剩余货款：货物全部到货安装、调试完毕后，经验收合格后，买方在收到发票后7个工作日内向中标供应商支付至合同价款的100%。</w:t>
      </w:r>
    </w:p>
    <w:p w14:paraId="02F343CC">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二、到货期及到货地点</w:t>
      </w:r>
    </w:p>
    <w:p w14:paraId="724CE2AB">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1、等待院方通知；</w:t>
      </w:r>
      <w:r>
        <w:rPr>
          <w:rFonts w:hint="eastAsia" w:ascii="新宋体" w:hAnsi="新宋体" w:eastAsia="新宋体" w:cs="新宋体"/>
          <w:color w:val="auto"/>
          <w:sz w:val="22"/>
          <w:szCs w:val="22"/>
          <w:highlight w:val="none"/>
        </w:rPr>
        <w:t xml:space="preserve">  到货地点: </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bCs/>
          <w:color w:val="auto"/>
          <w:sz w:val="22"/>
          <w:szCs w:val="22"/>
          <w:highlight w:val="none"/>
          <w:u w:val="single"/>
        </w:rPr>
        <w:t>。</w:t>
      </w:r>
    </w:p>
    <w:p w14:paraId="3B7C3652">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三、安装调试</w:t>
      </w:r>
    </w:p>
    <w:p w14:paraId="47FB7119">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1、安装地点：</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w:t>
      </w:r>
    </w:p>
    <w:p w14:paraId="6F698CA2">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2、卖方须对买方现场进行查勘，在合同签订后书面提供买方认可的运输方案及安装方案，费用含在合同总价中。</w:t>
      </w:r>
    </w:p>
    <w:p w14:paraId="0AEA9D03">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3、安装完成时间：卖方在货物到货后3个工作日内完成安装调试，并正常运行，如果超出上述期限，卖方负责由此给买方造成的所有损失。</w:t>
      </w:r>
    </w:p>
    <w:p w14:paraId="7459D676">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4、安装标准：符合我国国家有关技术规范要求和技术标准。</w:t>
      </w:r>
    </w:p>
    <w:p w14:paraId="1405F6EB">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5、安装过程中发生的装卸、搬运和货物保险等费用全部由卖方负责。</w:t>
      </w:r>
    </w:p>
    <w:p w14:paraId="13679DCB">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四、验收</w:t>
      </w:r>
    </w:p>
    <w:p w14:paraId="7CFA9F08">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1、卖方提供的所有货物必须是全新未使用过的。</w:t>
      </w:r>
    </w:p>
    <w:p w14:paraId="16AA31CD">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2、如属计量器具、放射类设备，则卖方提供经买方认可的且具有资质的检测机构出具的计量、放射防护检测合格报告，检测费用包含在合同总价中。</w:t>
      </w:r>
    </w:p>
    <w:p w14:paraId="7EA925ED">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3、货物应符合国家相关标准、投标文件的性能指标及功能要求，并根据合同条款逐项验收。买方对设备验收合格后，双方共同签署验收报告。</w:t>
      </w:r>
    </w:p>
    <w:p w14:paraId="5D15F9AE">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4、验收过程中发现货物性能或功能达不到要求，卖方必须</w:t>
      </w:r>
      <w:r>
        <w:rPr>
          <w:rFonts w:hint="eastAsia" w:ascii="新宋体" w:hAnsi="新宋体" w:eastAsia="新宋体" w:cs="新宋体"/>
          <w:color w:val="auto"/>
          <w:sz w:val="22"/>
          <w:szCs w:val="22"/>
          <w:highlight w:val="none"/>
          <w:lang w:eastAsia="zh-CN"/>
        </w:rPr>
        <w:t>提供</w:t>
      </w:r>
      <w:r>
        <w:rPr>
          <w:rFonts w:hint="eastAsia" w:ascii="新宋体" w:hAnsi="新宋体" w:eastAsia="新宋体" w:cs="新宋体"/>
          <w:color w:val="auto"/>
          <w:sz w:val="22"/>
          <w:szCs w:val="22"/>
          <w:highlight w:val="none"/>
        </w:rPr>
        <w:t>货物性能或功能</w:t>
      </w:r>
      <w:r>
        <w:rPr>
          <w:rFonts w:hint="eastAsia" w:ascii="新宋体" w:hAnsi="新宋体" w:eastAsia="新宋体" w:cs="新宋体"/>
          <w:color w:val="auto"/>
          <w:sz w:val="22"/>
          <w:szCs w:val="22"/>
          <w:highlight w:val="none"/>
          <w:lang w:eastAsia="zh-CN"/>
        </w:rPr>
        <w:t>达标的全新</w:t>
      </w:r>
      <w:r>
        <w:rPr>
          <w:rFonts w:hint="eastAsia" w:ascii="新宋体" w:hAnsi="新宋体" w:eastAsia="新宋体" w:cs="新宋体"/>
          <w:color w:val="auto"/>
          <w:sz w:val="22"/>
          <w:szCs w:val="22"/>
          <w:highlight w:val="none"/>
        </w:rPr>
        <w:t>未使用过的</w:t>
      </w:r>
      <w:r>
        <w:rPr>
          <w:rFonts w:hint="eastAsia" w:ascii="新宋体" w:hAnsi="新宋体" w:eastAsia="新宋体" w:cs="新宋体"/>
          <w:color w:val="auto"/>
          <w:sz w:val="22"/>
          <w:szCs w:val="22"/>
          <w:highlight w:val="none"/>
          <w:lang w:eastAsia="zh-CN"/>
        </w:rPr>
        <w:t>设备</w:t>
      </w:r>
      <w:r>
        <w:rPr>
          <w:rFonts w:hint="eastAsia" w:ascii="新宋体" w:hAnsi="新宋体" w:eastAsia="新宋体" w:cs="新宋体"/>
          <w:color w:val="auto"/>
          <w:sz w:val="22"/>
          <w:szCs w:val="22"/>
          <w:highlight w:val="none"/>
        </w:rPr>
        <w:t>，使货物最终达到规定的性能指标和功能要求，但必须在发现问题后15个工作日内完成。</w:t>
      </w:r>
    </w:p>
    <w:p w14:paraId="6162EB5B">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5、验收时间：货物到齐，机器工作正常后三个月内。</w:t>
      </w:r>
    </w:p>
    <w:p w14:paraId="7CAC0ABF">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6、验收过程中所发生的所有费用（含检测、耗材等）由卖方承担，含在合同总价中。</w:t>
      </w:r>
    </w:p>
    <w:p w14:paraId="25EFD6F1">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验收所需资料：操作培训签字，维修培训签字，定期维护保养流程，维修培训试卷，操作视频，操作说明书及电子版（扫描件有效），操作培训试卷，操作规程，保养模板，全套维修说明书及电子版（扫描件有效）。</w:t>
      </w:r>
    </w:p>
    <w:p w14:paraId="7CDF5088">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五、培训考核</w:t>
      </w:r>
    </w:p>
    <w:p w14:paraId="44E99876">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1、操作应用培训：卖方负责在医院现场提供操作和临床应用培训，使操作人员熟练掌握设备的操作规程及临床应用，并提供培训记录。所有培训费用已含入总价中。</w:t>
      </w:r>
    </w:p>
    <w:p w14:paraId="03E8B312">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2、维修培训：卖方负责在医院现场提供维修人员的培训，使医院维修工程人员掌握日常设备故障的排除及设备维护技能。所有培训费用已含入总价中。</w:t>
      </w:r>
    </w:p>
    <w:p w14:paraId="2B94E502">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3、培训完成后，卖方须提供详细培训记录，培训记录应有培训内容、参加人员（签字）、培训地点、培训时间以及操作人员考核情况。</w:t>
      </w:r>
    </w:p>
    <w:p w14:paraId="62DAB73E">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六、技术资料及服务</w:t>
      </w:r>
    </w:p>
    <w:p w14:paraId="3EF6023E">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14:paraId="202BB11A">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2、卖方提供设备操作说明书及维保说明书各2份。</w:t>
      </w:r>
    </w:p>
    <w:p w14:paraId="36EA618C">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3、卖方提供设备操作规程，放置于设备操作现场。</w:t>
      </w:r>
    </w:p>
    <w:p w14:paraId="3B5D94EE">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七、知识产权</w:t>
      </w:r>
    </w:p>
    <w:p w14:paraId="1D258E3F">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卖方所提供的产品应具有知识产权的合法产品，且卖方保证所提供的设备或其任何一部分均不会侵犯任何第三方的知识产权。设备所含的软件买方具有永久使用权。</w:t>
      </w:r>
    </w:p>
    <w:p w14:paraId="2D605318">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八、产权担保</w:t>
      </w:r>
    </w:p>
    <w:p w14:paraId="50919006">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卖方保证所交付的所有设备的所有权完全属于卖方且无任何抵押、查封等产权瑕疵。</w:t>
      </w:r>
    </w:p>
    <w:p w14:paraId="34B73B42">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九、转包或分包</w:t>
      </w:r>
    </w:p>
    <w:p w14:paraId="0CF7826B">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本合同范围的货物，应由卖方直接供应，不得转让他人供应。</w:t>
      </w:r>
    </w:p>
    <w:p w14:paraId="14A2BF1F">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十、合同未涉及条款，按照投标文件及招标文件执行。</w:t>
      </w:r>
    </w:p>
    <w:p w14:paraId="2066C11A">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十一、违约责任</w:t>
      </w:r>
    </w:p>
    <w:p w14:paraId="5543964C">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1、由于卖方及其关联公司（单位）原因导致未按期到货，则视作违约，卖方须支付买方违约款，违约金为合同总价的5%；且买方有权终止全部合同，卖方必须退还全部货款，并承担由此产生的买方的所有损失。</w:t>
      </w:r>
    </w:p>
    <w:p w14:paraId="0E0116E1">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14:paraId="6F74CFC9">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十二、其他约定</w:t>
      </w:r>
    </w:p>
    <w:p w14:paraId="4A0819A8">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合同执行期内，经向检察机关查询，发现中标人或供应商有行贿犯罪记录的，即取消中标资格或停止采购合同。</w:t>
      </w:r>
    </w:p>
    <w:p w14:paraId="2FEEB099">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十三、法律适用及争议解决</w:t>
      </w:r>
    </w:p>
    <w:p w14:paraId="32736BE6">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本合同的一切事项适用中华人民共和国</w:t>
      </w:r>
      <w:r>
        <w:rPr>
          <w:rFonts w:hint="eastAsia" w:ascii="新宋体" w:hAnsi="新宋体" w:eastAsia="新宋体" w:cs="新宋体"/>
          <w:color w:val="auto"/>
          <w:sz w:val="22"/>
          <w:szCs w:val="22"/>
          <w:highlight w:val="none"/>
          <w:lang w:val="en-US" w:eastAsia="zh-CN"/>
        </w:rPr>
        <w:t>民法典</w:t>
      </w:r>
      <w:r>
        <w:rPr>
          <w:rFonts w:hint="eastAsia" w:ascii="新宋体" w:hAnsi="新宋体" w:eastAsia="新宋体" w:cs="新宋体"/>
          <w:color w:val="auto"/>
          <w:sz w:val="22"/>
          <w:szCs w:val="22"/>
          <w:highlight w:val="none"/>
        </w:rPr>
        <w:t>，对合同双方均具有约束力。与本合同有关的一切争议，双方须通过友好协商解决。如协商不能解决时，向买方当地法院诉讼解决。</w:t>
      </w:r>
    </w:p>
    <w:p w14:paraId="107442AF">
      <w:pPr>
        <w:pStyle w:val="29"/>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十四、合同签订地：温州市第七人民医院。</w:t>
      </w:r>
    </w:p>
    <w:p w14:paraId="5DA4CFCF">
      <w:pPr>
        <w:bidi w:val="0"/>
        <w:rPr>
          <w:color w:val="auto"/>
          <w:highlight w:val="none"/>
        </w:rPr>
      </w:pPr>
    </w:p>
    <w:p w14:paraId="24DDCF17">
      <w:pPr>
        <w:snapToGrid w:val="0"/>
        <w:spacing w:line="360" w:lineRule="auto"/>
        <w:jc w:val="center"/>
        <w:rPr>
          <w:rFonts w:ascii="新宋体" w:hAnsi="新宋体" w:eastAsia="新宋体" w:cs="新宋体"/>
          <w:b/>
          <w:bCs/>
          <w:color w:val="auto"/>
          <w:kern w:val="0"/>
          <w:sz w:val="30"/>
          <w:szCs w:val="30"/>
          <w:highlight w:val="none"/>
        </w:rPr>
      </w:pPr>
    </w:p>
    <w:p w14:paraId="7093B7C7">
      <w:pPr>
        <w:snapToGrid w:val="0"/>
        <w:spacing w:line="360" w:lineRule="auto"/>
        <w:jc w:val="center"/>
        <w:rPr>
          <w:rFonts w:ascii="新宋体" w:hAnsi="新宋体" w:eastAsia="新宋体" w:cs="新宋体"/>
          <w:b/>
          <w:bCs/>
          <w:color w:val="auto"/>
          <w:kern w:val="0"/>
          <w:sz w:val="30"/>
          <w:szCs w:val="30"/>
          <w:highlight w:val="none"/>
        </w:rPr>
      </w:pPr>
    </w:p>
    <w:p w14:paraId="777686B3">
      <w:pPr>
        <w:snapToGrid w:val="0"/>
        <w:spacing w:line="360" w:lineRule="auto"/>
        <w:jc w:val="center"/>
        <w:rPr>
          <w:rFonts w:ascii="新宋体" w:hAnsi="新宋体" w:eastAsia="新宋体" w:cs="新宋体"/>
          <w:b/>
          <w:bCs/>
          <w:color w:val="auto"/>
          <w:kern w:val="0"/>
          <w:sz w:val="30"/>
          <w:szCs w:val="30"/>
          <w:highlight w:val="none"/>
        </w:rPr>
      </w:pPr>
    </w:p>
    <w:p w14:paraId="5EEBAE29">
      <w:pPr>
        <w:snapToGrid w:val="0"/>
        <w:spacing w:line="360" w:lineRule="auto"/>
        <w:jc w:val="center"/>
        <w:rPr>
          <w:rFonts w:ascii="新宋体" w:hAnsi="新宋体" w:eastAsia="新宋体" w:cs="新宋体"/>
          <w:b/>
          <w:bCs/>
          <w:color w:val="auto"/>
          <w:kern w:val="0"/>
          <w:sz w:val="30"/>
          <w:szCs w:val="30"/>
          <w:highlight w:val="none"/>
        </w:rPr>
      </w:pPr>
    </w:p>
    <w:p w14:paraId="47921336">
      <w:pPr>
        <w:rPr>
          <w:rFonts w:ascii="新宋体" w:hAnsi="新宋体" w:eastAsia="新宋体" w:cs="新宋体"/>
          <w:b/>
          <w:bCs/>
          <w:color w:val="auto"/>
          <w:kern w:val="0"/>
          <w:sz w:val="30"/>
          <w:szCs w:val="30"/>
          <w:highlight w:val="none"/>
        </w:rPr>
      </w:pPr>
      <w:r>
        <w:rPr>
          <w:rFonts w:ascii="新宋体" w:hAnsi="新宋体" w:eastAsia="新宋体" w:cs="新宋体"/>
          <w:b/>
          <w:bCs/>
          <w:color w:val="auto"/>
          <w:kern w:val="0"/>
          <w:sz w:val="30"/>
          <w:szCs w:val="30"/>
          <w:highlight w:val="none"/>
        </w:rPr>
        <w:br w:type="page"/>
      </w:r>
    </w:p>
    <w:p w14:paraId="18824B10">
      <w:pPr>
        <w:keepNext w:val="0"/>
        <w:keepLines w:val="0"/>
        <w:pageBreakBefore w:val="0"/>
        <w:kinsoku/>
        <w:wordWrap/>
        <w:topLinePunct w:val="0"/>
        <w:bidi w:val="0"/>
        <w:snapToGrid/>
        <w:spacing w:line="460" w:lineRule="exact"/>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附件</w:t>
      </w:r>
      <w:r>
        <w:rPr>
          <w:rFonts w:hint="eastAsia" w:ascii="新宋体" w:hAnsi="新宋体" w:eastAsia="新宋体" w:cs="新宋体"/>
          <w:b/>
          <w:bCs/>
          <w:color w:val="auto"/>
          <w:sz w:val="22"/>
          <w:szCs w:val="22"/>
          <w:highlight w:val="none"/>
          <w:lang w:val="en-US" w:eastAsia="zh-CN"/>
        </w:rPr>
        <w:t>2</w:t>
      </w:r>
    </w:p>
    <w:p w14:paraId="7733687A">
      <w:pPr>
        <w:keepNext w:val="0"/>
        <w:keepLines w:val="0"/>
        <w:pageBreakBefore w:val="0"/>
        <w:kinsoku/>
        <w:wordWrap/>
        <w:topLinePunct w:val="0"/>
        <w:bidi w:val="0"/>
        <w:spacing w:line="46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售后服务承诺书</w:t>
      </w:r>
    </w:p>
    <w:p w14:paraId="69D216F0">
      <w:pPr>
        <w:keepNext w:val="0"/>
        <w:keepLines w:val="0"/>
        <w:pageBreakBefore w:val="0"/>
        <w:kinsoku/>
        <w:wordWrap/>
        <w:topLinePunct w:val="0"/>
        <w:bidi w:val="0"/>
        <w:spacing w:line="460" w:lineRule="exact"/>
        <w:ind w:right="-107" w:rightChars="-51"/>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温州市第七人民医院：</w:t>
      </w:r>
    </w:p>
    <w:p w14:paraId="5A6FAB3D">
      <w:pPr>
        <w:keepNext w:val="0"/>
        <w:keepLines w:val="0"/>
        <w:pageBreakBefore w:val="0"/>
        <w:kinsoku/>
        <w:wordWrap/>
        <w:topLinePunct w:val="0"/>
        <w:bidi w:val="0"/>
        <w:spacing w:line="460" w:lineRule="exact"/>
        <w:ind w:right="-107" w:rightChars="-51" w:firstLine="387" w:firstLineChars="176"/>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就贵方项目（采购编号：）的售后服务，我方做出以下承诺。承诺自项目中标通知发出之日起生效。</w:t>
      </w:r>
    </w:p>
    <w:tbl>
      <w:tblPr>
        <w:tblStyle w:val="52"/>
        <w:tblW w:w="0" w:type="auto"/>
        <w:jc w:val="center"/>
        <w:tblLayout w:type="fixed"/>
        <w:tblCellMar>
          <w:top w:w="0" w:type="dxa"/>
          <w:left w:w="108" w:type="dxa"/>
          <w:bottom w:w="0" w:type="dxa"/>
          <w:right w:w="108" w:type="dxa"/>
        </w:tblCellMar>
      </w:tblPr>
      <w:tblGrid>
        <w:gridCol w:w="9044"/>
      </w:tblGrid>
      <w:tr w14:paraId="080DEB97">
        <w:trPr>
          <w:jc w:val="center"/>
        </w:trPr>
        <w:tc>
          <w:tcPr>
            <w:tcW w:w="9044" w:type="dxa"/>
          </w:tcPr>
          <w:p w14:paraId="77CB7CCB">
            <w:pPr>
              <w:keepNext w:val="0"/>
              <w:keepLines w:val="0"/>
              <w:pageBreakBefore w:val="0"/>
              <w:kinsoku/>
              <w:wordWrap/>
              <w:topLinePunct w:val="0"/>
              <w:bidi w:val="0"/>
              <w:spacing w:line="460" w:lineRule="exact"/>
              <w:ind w:right="-107" w:rightChars="-51" w:firstLine="387" w:firstLineChars="176"/>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一、设备保修期自设备验收合格、完成培训考核后算起，整套系统全免费现场保修年。</w:t>
            </w:r>
          </w:p>
        </w:tc>
      </w:tr>
      <w:tr w14:paraId="3CD4AA6A">
        <w:tblPrEx>
          <w:tblCellMar>
            <w:top w:w="0" w:type="dxa"/>
            <w:left w:w="108" w:type="dxa"/>
            <w:bottom w:w="0" w:type="dxa"/>
            <w:right w:w="108" w:type="dxa"/>
          </w:tblCellMar>
        </w:tblPrEx>
        <w:trPr>
          <w:jc w:val="center"/>
        </w:trPr>
        <w:tc>
          <w:tcPr>
            <w:tcW w:w="9044" w:type="dxa"/>
          </w:tcPr>
          <w:p w14:paraId="18EC2CB1">
            <w:pPr>
              <w:keepNext w:val="0"/>
              <w:keepLines w:val="0"/>
              <w:pageBreakBefore w:val="0"/>
              <w:kinsoku/>
              <w:wordWrap/>
              <w:topLinePunct w:val="0"/>
              <w:bidi w:val="0"/>
              <w:spacing w:line="460" w:lineRule="exact"/>
              <w:ind w:firstLine="387" w:firstLineChars="176"/>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1、设备保修期内，承诺人要确保设备正常运行，设备的功能和技术指标达到投标文件和国家相关标准。</w:t>
            </w:r>
          </w:p>
        </w:tc>
      </w:tr>
      <w:tr w14:paraId="7F31F5CE">
        <w:tblPrEx>
          <w:tblCellMar>
            <w:top w:w="0" w:type="dxa"/>
            <w:left w:w="108" w:type="dxa"/>
            <w:bottom w:w="0" w:type="dxa"/>
            <w:right w:w="108" w:type="dxa"/>
          </w:tblCellMar>
        </w:tblPrEx>
        <w:trPr>
          <w:jc w:val="center"/>
        </w:trPr>
        <w:tc>
          <w:tcPr>
            <w:tcW w:w="9044" w:type="dxa"/>
          </w:tcPr>
          <w:p w14:paraId="11527B67">
            <w:pPr>
              <w:keepNext w:val="0"/>
              <w:keepLines w:val="0"/>
              <w:pageBreakBefore w:val="0"/>
              <w:kinsoku/>
              <w:wordWrap/>
              <w:topLinePunct w:val="0"/>
              <w:bidi w:val="0"/>
              <w:spacing w:line="460" w:lineRule="exact"/>
              <w:ind w:firstLine="387" w:firstLineChars="176"/>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设备保修期内，因设备任何配件出现故障或性能无法达到要求，须免费更换全新未使用过的维修配件（下称“零配件”），所有费用由承诺人承担。保修期内，每年应提供不少于2次的预防性维护保养,并提供设备维修、保养详细工作报告单。</w:t>
            </w:r>
          </w:p>
        </w:tc>
      </w:tr>
      <w:tr w14:paraId="0571ACFC">
        <w:tblPrEx>
          <w:tblCellMar>
            <w:top w:w="0" w:type="dxa"/>
            <w:left w:w="108" w:type="dxa"/>
            <w:bottom w:w="0" w:type="dxa"/>
            <w:right w:w="108" w:type="dxa"/>
          </w:tblCellMar>
        </w:tblPrEx>
        <w:trPr>
          <w:jc w:val="center"/>
        </w:trPr>
        <w:tc>
          <w:tcPr>
            <w:tcW w:w="9044" w:type="dxa"/>
          </w:tcPr>
          <w:p w14:paraId="4BE57A89">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保修期内停机日不能超过12个工作日/年，如达不到要求，停机日每超过1工作日，保修期相应延长5个工作日；停机日超过20个工作日的，每超过1工作日，应向医院赔偿合同总金额0.5%，但累计不超过设备合同总金额。</w:t>
            </w:r>
          </w:p>
        </w:tc>
      </w:tr>
      <w:tr w14:paraId="71162D11">
        <w:tblPrEx>
          <w:tblCellMar>
            <w:top w:w="0" w:type="dxa"/>
            <w:left w:w="108" w:type="dxa"/>
            <w:bottom w:w="0" w:type="dxa"/>
            <w:right w:w="108" w:type="dxa"/>
          </w:tblCellMar>
        </w:tblPrEx>
        <w:trPr>
          <w:jc w:val="center"/>
        </w:trPr>
        <w:tc>
          <w:tcPr>
            <w:tcW w:w="9044" w:type="dxa"/>
          </w:tcPr>
          <w:p w14:paraId="1A63047A">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二、保修期后，在设备整个使用期内，承诺人应确保设备的正常使用。</w:t>
            </w:r>
          </w:p>
        </w:tc>
      </w:tr>
      <w:tr w14:paraId="5781056C">
        <w:tblPrEx>
          <w:tblCellMar>
            <w:top w:w="0" w:type="dxa"/>
            <w:left w:w="108" w:type="dxa"/>
            <w:bottom w:w="0" w:type="dxa"/>
            <w:right w:w="108" w:type="dxa"/>
          </w:tblCellMar>
        </w:tblPrEx>
        <w:trPr>
          <w:jc w:val="center"/>
        </w:trPr>
        <w:tc>
          <w:tcPr>
            <w:tcW w:w="9044" w:type="dxa"/>
          </w:tcPr>
          <w:p w14:paraId="334C804D">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1、在接到用户维修要求后应立即作出回应，并在48小时内派员到达买方现场实施维修。</w:t>
            </w:r>
          </w:p>
        </w:tc>
      </w:tr>
      <w:tr w14:paraId="3F701C7E">
        <w:tblPrEx>
          <w:tblCellMar>
            <w:top w:w="0" w:type="dxa"/>
            <w:left w:w="108" w:type="dxa"/>
            <w:bottom w:w="0" w:type="dxa"/>
            <w:right w:w="108" w:type="dxa"/>
          </w:tblCellMar>
        </w:tblPrEx>
        <w:trPr>
          <w:jc w:val="center"/>
        </w:trPr>
        <w:tc>
          <w:tcPr>
            <w:tcW w:w="9044" w:type="dxa"/>
          </w:tcPr>
          <w:p w14:paraId="5A95CE02">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2、零配件在该设备停产后保证8年的供应，零配件须符合或优于设备技术要求（含技术指标、功能、计量标准、安全性和保修期等）。</w:t>
            </w:r>
          </w:p>
        </w:tc>
      </w:tr>
      <w:tr w14:paraId="359E987B">
        <w:tblPrEx>
          <w:tblCellMar>
            <w:top w:w="0" w:type="dxa"/>
            <w:left w:w="108" w:type="dxa"/>
            <w:bottom w:w="0" w:type="dxa"/>
            <w:right w:w="108" w:type="dxa"/>
          </w:tblCellMar>
        </w:tblPrEx>
        <w:trPr>
          <w:jc w:val="center"/>
        </w:trPr>
        <w:tc>
          <w:tcPr>
            <w:tcW w:w="9044" w:type="dxa"/>
          </w:tcPr>
          <w:p w14:paraId="3103D3A2">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b/>
                <w:color w:val="auto"/>
                <w:sz w:val="22"/>
                <w:szCs w:val="22"/>
                <w:highlight w:val="none"/>
              </w:rPr>
              <w:t>设备维修所需的所有零配件及材料如下表。在设备使用过程，如需更换零配件，按不高于下表的价格执行。下表如有漏项，承诺人自愿承担漏项零配件的所有费用（低价值零配件除外，但低价值零配件单价累计总金额不高于1000元人民币）。</w:t>
            </w:r>
          </w:p>
          <w:tbl>
            <w:tblPr>
              <w:tblStyle w:val="52"/>
              <w:tblW w:w="0" w:type="auto"/>
              <w:tblInd w:w="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852"/>
              <w:gridCol w:w="1985"/>
              <w:gridCol w:w="2126"/>
              <w:gridCol w:w="2126"/>
            </w:tblGrid>
            <w:tr w14:paraId="54168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14:paraId="3314F01A">
                  <w:pPr>
                    <w:keepNext w:val="0"/>
                    <w:keepLines w:val="0"/>
                    <w:pageBreakBefore w:val="0"/>
                    <w:kinsoku/>
                    <w:wordWrap/>
                    <w:topLinePunct w:val="0"/>
                    <w:bidi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852" w:type="dxa"/>
                  <w:vAlign w:val="center"/>
                </w:tcPr>
                <w:p w14:paraId="2326BEA3">
                  <w:pPr>
                    <w:keepNext w:val="0"/>
                    <w:keepLines w:val="0"/>
                    <w:pageBreakBefore w:val="0"/>
                    <w:kinsoku/>
                    <w:wordWrap/>
                    <w:topLinePunct w:val="0"/>
                    <w:bidi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备件号</w:t>
                  </w:r>
                </w:p>
              </w:tc>
              <w:tc>
                <w:tcPr>
                  <w:tcW w:w="1985" w:type="dxa"/>
                  <w:vAlign w:val="center"/>
                </w:tcPr>
                <w:p w14:paraId="599D2A6D">
                  <w:pPr>
                    <w:keepNext w:val="0"/>
                    <w:keepLines w:val="0"/>
                    <w:pageBreakBefore w:val="0"/>
                    <w:kinsoku/>
                    <w:wordWrap/>
                    <w:topLinePunct w:val="0"/>
                    <w:bidi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零配件英文名称</w:t>
                  </w:r>
                </w:p>
              </w:tc>
              <w:tc>
                <w:tcPr>
                  <w:tcW w:w="2126" w:type="dxa"/>
                  <w:vAlign w:val="center"/>
                </w:tcPr>
                <w:p w14:paraId="0B75AC51">
                  <w:pPr>
                    <w:keepNext w:val="0"/>
                    <w:keepLines w:val="0"/>
                    <w:pageBreakBefore w:val="0"/>
                    <w:kinsoku/>
                    <w:wordWrap/>
                    <w:topLinePunct w:val="0"/>
                    <w:bidi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零配件中文名称</w:t>
                  </w:r>
                </w:p>
              </w:tc>
              <w:tc>
                <w:tcPr>
                  <w:tcW w:w="2126" w:type="dxa"/>
                  <w:vAlign w:val="center"/>
                </w:tcPr>
                <w:p w14:paraId="0F54F193">
                  <w:pPr>
                    <w:keepNext w:val="0"/>
                    <w:keepLines w:val="0"/>
                    <w:pageBreakBefore w:val="0"/>
                    <w:kinsoku/>
                    <w:wordWrap/>
                    <w:topLinePunct w:val="0"/>
                    <w:bidi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单价（人民币）</w:t>
                  </w:r>
                </w:p>
              </w:tc>
            </w:tr>
            <w:tr w14:paraId="24E3E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14:paraId="680A911C">
                  <w:pPr>
                    <w:keepNext w:val="0"/>
                    <w:keepLines w:val="0"/>
                    <w:pageBreakBefore w:val="0"/>
                    <w:kinsoku/>
                    <w:wordWrap/>
                    <w:topLinePunct w:val="0"/>
                    <w:bidi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852" w:type="dxa"/>
                  <w:vAlign w:val="center"/>
                </w:tcPr>
                <w:p w14:paraId="2CFD0D27">
                  <w:pPr>
                    <w:keepNext w:val="0"/>
                    <w:keepLines w:val="0"/>
                    <w:pageBreakBefore w:val="0"/>
                    <w:kinsoku/>
                    <w:wordWrap/>
                    <w:topLinePunct w:val="0"/>
                    <w:bidi w:val="0"/>
                    <w:spacing w:line="460" w:lineRule="exact"/>
                    <w:ind w:firstLine="387" w:firstLineChars="176"/>
                    <w:jc w:val="center"/>
                    <w:rPr>
                      <w:rFonts w:hint="eastAsia" w:ascii="新宋体" w:hAnsi="新宋体" w:eastAsia="新宋体" w:cs="新宋体"/>
                      <w:color w:val="auto"/>
                      <w:sz w:val="22"/>
                      <w:szCs w:val="22"/>
                      <w:highlight w:val="none"/>
                    </w:rPr>
                  </w:pPr>
                </w:p>
              </w:tc>
              <w:tc>
                <w:tcPr>
                  <w:tcW w:w="1985" w:type="dxa"/>
                  <w:vAlign w:val="center"/>
                </w:tcPr>
                <w:p w14:paraId="7EFB1446">
                  <w:pPr>
                    <w:keepNext w:val="0"/>
                    <w:keepLines w:val="0"/>
                    <w:pageBreakBefore w:val="0"/>
                    <w:kinsoku/>
                    <w:wordWrap/>
                    <w:topLinePunct w:val="0"/>
                    <w:bidi w:val="0"/>
                    <w:spacing w:line="460" w:lineRule="exact"/>
                    <w:ind w:firstLine="387" w:firstLineChars="176"/>
                    <w:jc w:val="center"/>
                    <w:rPr>
                      <w:rFonts w:hint="eastAsia" w:ascii="新宋体" w:hAnsi="新宋体" w:eastAsia="新宋体" w:cs="新宋体"/>
                      <w:color w:val="auto"/>
                      <w:sz w:val="22"/>
                      <w:szCs w:val="22"/>
                      <w:highlight w:val="none"/>
                    </w:rPr>
                  </w:pPr>
                </w:p>
              </w:tc>
              <w:tc>
                <w:tcPr>
                  <w:tcW w:w="2126" w:type="dxa"/>
                  <w:vAlign w:val="center"/>
                </w:tcPr>
                <w:p w14:paraId="4BB05A20">
                  <w:pPr>
                    <w:keepNext w:val="0"/>
                    <w:keepLines w:val="0"/>
                    <w:pageBreakBefore w:val="0"/>
                    <w:kinsoku/>
                    <w:wordWrap/>
                    <w:topLinePunct w:val="0"/>
                    <w:bidi w:val="0"/>
                    <w:spacing w:line="460" w:lineRule="exact"/>
                    <w:ind w:firstLine="387" w:firstLineChars="176"/>
                    <w:jc w:val="center"/>
                    <w:rPr>
                      <w:rFonts w:hint="eastAsia" w:ascii="新宋体" w:hAnsi="新宋体" w:eastAsia="新宋体" w:cs="新宋体"/>
                      <w:color w:val="auto"/>
                      <w:sz w:val="22"/>
                      <w:szCs w:val="22"/>
                      <w:highlight w:val="none"/>
                    </w:rPr>
                  </w:pPr>
                </w:p>
              </w:tc>
              <w:tc>
                <w:tcPr>
                  <w:tcW w:w="2126" w:type="dxa"/>
                  <w:vAlign w:val="center"/>
                </w:tcPr>
                <w:p w14:paraId="59A206FB">
                  <w:pPr>
                    <w:keepNext w:val="0"/>
                    <w:keepLines w:val="0"/>
                    <w:pageBreakBefore w:val="0"/>
                    <w:kinsoku/>
                    <w:wordWrap/>
                    <w:topLinePunct w:val="0"/>
                    <w:bidi w:val="0"/>
                    <w:spacing w:line="460" w:lineRule="exact"/>
                    <w:ind w:firstLine="387" w:firstLineChars="176"/>
                    <w:jc w:val="center"/>
                    <w:rPr>
                      <w:rFonts w:hint="eastAsia" w:ascii="新宋体" w:hAnsi="新宋体" w:eastAsia="新宋体" w:cs="新宋体"/>
                      <w:color w:val="auto"/>
                      <w:sz w:val="22"/>
                      <w:szCs w:val="22"/>
                      <w:highlight w:val="none"/>
                    </w:rPr>
                  </w:pPr>
                </w:p>
              </w:tc>
            </w:tr>
          </w:tbl>
          <w:p w14:paraId="6918F81B">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4、零配件保修期不小于_年。零配件在保修期内发生故障的，须免费（含人工、差旅和技术服务等所有费用）更换，零配件保修期自更换验收之日起延长1年。</w:t>
            </w:r>
          </w:p>
          <w:p w14:paraId="348692E3">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5、单次故障维修服务费用（除维修配件外，含技术服务、人工、差旅等所有费用）不超过3000元人民币。</w:t>
            </w:r>
          </w:p>
          <w:p w14:paraId="19C72457">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6、单次故障修复时间不长于5个工作日。否则须在5个工作日之内提供功能完整、性能合格的备用设备。</w:t>
            </w:r>
          </w:p>
        </w:tc>
      </w:tr>
      <w:tr w14:paraId="5B912C01">
        <w:tblPrEx>
          <w:tblCellMar>
            <w:top w:w="0" w:type="dxa"/>
            <w:left w:w="108" w:type="dxa"/>
            <w:bottom w:w="0" w:type="dxa"/>
            <w:right w:w="108" w:type="dxa"/>
          </w:tblCellMar>
        </w:tblPrEx>
        <w:trPr>
          <w:jc w:val="center"/>
        </w:trPr>
        <w:tc>
          <w:tcPr>
            <w:tcW w:w="9044" w:type="dxa"/>
          </w:tcPr>
          <w:p w14:paraId="2717C003">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7、承诺方须无偿、实时提供设备设置、调试所需密码及权限。</w:t>
            </w:r>
          </w:p>
          <w:p w14:paraId="3C5313AE">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8、由于硬盘损坏导致的系统、控制及应用软件的安装、调试、恢复服务由承诺人免费提供，硬盘价格不高于市场同类产品价格。</w:t>
            </w:r>
          </w:p>
          <w:p w14:paraId="786A54B9">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9、每次完成设备维修或保养后，须提供维修及保养的验收报告。</w:t>
            </w:r>
          </w:p>
          <w:p w14:paraId="6D912B40">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10、维修服务费和零配件费用在设备维修验收合格后，且在提供发票后30天内一次性支付。</w:t>
            </w:r>
          </w:p>
        </w:tc>
      </w:tr>
      <w:tr w14:paraId="58054920">
        <w:tblPrEx>
          <w:tblCellMar>
            <w:top w:w="0" w:type="dxa"/>
            <w:left w:w="108" w:type="dxa"/>
            <w:bottom w:w="0" w:type="dxa"/>
            <w:right w:w="108" w:type="dxa"/>
          </w:tblCellMar>
        </w:tblPrEx>
        <w:trPr>
          <w:jc w:val="center"/>
        </w:trPr>
        <w:tc>
          <w:tcPr>
            <w:tcW w:w="9044" w:type="dxa"/>
          </w:tcPr>
          <w:p w14:paraId="65B11C48">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提供所有软件的备份光盘、license及所有口令信息，同时提供这些软件安装、调试及相关维护所需要的所有硬件和软件工具。不能提供上述内容的，则现场提供所有软件终生免费安装（含硬件更换后软件重新安装调试）、调试、维护服务。</w:t>
            </w:r>
          </w:p>
        </w:tc>
      </w:tr>
      <w:tr w14:paraId="23143DA3">
        <w:tblPrEx>
          <w:tblCellMar>
            <w:top w:w="0" w:type="dxa"/>
            <w:left w:w="108" w:type="dxa"/>
            <w:bottom w:w="0" w:type="dxa"/>
            <w:right w:w="108" w:type="dxa"/>
          </w:tblCellMar>
        </w:tblPrEx>
        <w:trPr>
          <w:jc w:val="center"/>
        </w:trPr>
        <w:tc>
          <w:tcPr>
            <w:tcW w:w="9044" w:type="dxa"/>
          </w:tcPr>
          <w:p w14:paraId="3D2E6051">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四、每次维修前保证将买方存储的数据备份，维修结束后恢复原状。遵守用买方机房管理制度。</w:t>
            </w:r>
          </w:p>
        </w:tc>
      </w:tr>
      <w:tr w14:paraId="5D021638">
        <w:tblPrEx>
          <w:tblCellMar>
            <w:top w:w="0" w:type="dxa"/>
            <w:left w:w="108" w:type="dxa"/>
            <w:bottom w:w="0" w:type="dxa"/>
            <w:right w:w="108" w:type="dxa"/>
          </w:tblCellMar>
        </w:tblPrEx>
        <w:trPr>
          <w:jc w:val="center"/>
        </w:trPr>
        <w:tc>
          <w:tcPr>
            <w:tcW w:w="9044" w:type="dxa"/>
          </w:tcPr>
          <w:p w14:paraId="388EBB4C">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五、违约责任：由于承诺人或其关联公司违约，造成买方损失的，由承诺人承担全部损失。</w:t>
            </w:r>
          </w:p>
        </w:tc>
      </w:tr>
      <w:tr w14:paraId="287DFC7F">
        <w:tblPrEx>
          <w:tblCellMar>
            <w:top w:w="0" w:type="dxa"/>
            <w:left w:w="108" w:type="dxa"/>
            <w:bottom w:w="0" w:type="dxa"/>
            <w:right w:w="108" w:type="dxa"/>
          </w:tblCellMar>
        </w:tblPrEx>
        <w:trPr>
          <w:jc w:val="center"/>
        </w:trPr>
        <w:tc>
          <w:tcPr>
            <w:tcW w:w="9044" w:type="dxa"/>
          </w:tcPr>
          <w:p w14:paraId="38A94A39">
            <w:pPr>
              <w:keepNext w:val="0"/>
              <w:keepLines w:val="0"/>
              <w:pageBreakBefore w:val="0"/>
              <w:widowControl/>
              <w:kinsoku/>
              <w:wordWrap/>
              <w:topLinePunct w:val="0"/>
              <w:autoSpaceDE w:val="0"/>
              <w:autoSpaceDN w:val="0"/>
              <w:bidi w:val="0"/>
              <w:spacing w:line="460" w:lineRule="exact"/>
              <w:ind w:firstLine="387" w:firstLineChars="176"/>
              <w:textAlignment w:val="bottom"/>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六、承诺人：本售后服务承诺书须由投标人、制造商国内售后服务商逐条响应承诺，并由投标人、国内售后服务商分别加盖公章。</w:t>
            </w:r>
          </w:p>
        </w:tc>
      </w:tr>
    </w:tbl>
    <w:p w14:paraId="28C9B4DC">
      <w:pPr>
        <w:keepNext w:val="0"/>
        <w:keepLines w:val="0"/>
        <w:pageBreakBefore w:val="0"/>
        <w:kinsoku/>
        <w:wordWrap/>
        <w:topLinePunct w:val="0"/>
        <w:bidi w:val="0"/>
        <w:spacing w:line="460" w:lineRule="exact"/>
        <w:ind w:firstLine="3630" w:firstLineChars="1650"/>
        <w:rPr>
          <w:rFonts w:hint="eastAsia" w:ascii="新宋体" w:hAnsi="新宋体" w:eastAsia="新宋体" w:cs="新宋体"/>
          <w:color w:val="auto"/>
          <w:sz w:val="22"/>
          <w:szCs w:val="22"/>
          <w:highlight w:val="none"/>
        </w:rPr>
      </w:pPr>
    </w:p>
    <w:p w14:paraId="4892A103">
      <w:pPr>
        <w:keepNext w:val="0"/>
        <w:keepLines w:val="0"/>
        <w:pageBreakBefore w:val="0"/>
        <w:kinsoku/>
        <w:wordWrap/>
        <w:topLinePunct w:val="0"/>
        <w:bidi w:val="0"/>
        <w:spacing w:line="460" w:lineRule="exact"/>
        <w:ind w:firstLine="3630" w:firstLineChars="16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投标人：  </w:t>
      </w:r>
    </w:p>
    <w:p w14:paraId="1EFFC98D">
      <w:pPr>
        <w:keepNext w:val="0"/>
        <w:keepLines w:val="0"/>
        <w:pageBreakBefore w:val="0"/>
        <w:kinsoku/>
        <w:wordWrap/>
        <w:topLinePunct w:val="0"/>
        <w:bidi w:val="0"/>
        <w:spacing w:line="460" w:lineRule="exact"/>
        <w:ind w:firstLine="4070" w:firstLineChars="1850"/>
        <w:rPr>
          <w:rFonts w:hint="eastAsia" w:ascii="新宋体" w:hAnsi="新宋体" w:eastAsia="新宋体" w:cs="新宋体"/>
          <w:color w:val="auto"/>
          <w:sz w:val="22"/>
          <w:szCs w:val="22"/>
          <w:highlight w:val="none"/>
        </w:rPr>
      </w:pPr>
    </w:p>
    <w:p w14:paraId="76CE588C">
      <w:pPr>
        <w:keepNext w:val="0"/>
        <w:keepLines w:val="0"/>
        <w:pageBreakBefore w:val="0"/>
        <w:kinsoku/>
        <w:wordWrap/>
        <w:topLinePunct w:val="0"/>
        <w:bidi w:val="0"/>
        <w:spacing w:line="460" w:lineRule="exact"/>
        <w:ind w:firstLine="4147" w:firstLineChars="188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（签字盖章）</w:t>
      </w:r>
    </w:p>
    <w:p w14:paraId="306BC3B2">
      <w:pPr>
        <w:keepNext w:val="0"/>
        <w:keepLines w:val="0"/>
        <w:pageBreakBefore w:val="0"/>
        <w:kinsoku/>
        <w:wordWrap/>
        <w:topLinePunct w:val="0"/>
        <w:bidi w:val="0"/>
        <w:spacing w:line="460" w:lineRule="exact"/>
        <w:ind w:firstLine="4147" w:firstLineChars="1885"/>
        <w:rPr>
          <w:rFonts w:hint="eastAsia" w:ascii="新宋体" w:hAnsi="新宋体" w:eastAsia="新宋体" w:cs="新宋体"/>
          <w:color w:val="auto"/>
          <w:sz w:val="22"/>
          <w:szCs w:val="22"/>
          <w:highlight w:val="none"/>
        </w:rPr>
      </w:pPr>
    </w:p>
    <w:p w14:paraId="22F613F9">
      <w:pPr>
        <w:keepNext w:val="0"/>
        <w:keepLines w:val="0"/>
        <w:pageBreakBefore w:val="0"/>
        <w:kinsoku/>
        <w:wordWrap/>
        <w:topLinePunct w:val="0"/>
        <w:bidi w:val="0"/>
        <w:spacing w:line="460" w:lineRule="exact"/>
        <w:ind w:firstLine="4147" w:firstLineChars="1885"/>
        <w:rPr>
          <w:rFonts w:hint="eastAsia" w:ascii="新宋体" w:hAnsi="新宋体" w:eastAsia="新宋体" w:cs="新宋体"/>
          <w:color w:val="auto"/>
          <w:sz w:val="22"/>
          <w:szCs w:val="22"/>
          <w:highlight w:val="none"/>
        </w:rPr>
      </w:pPr>
    </w:p>
    <w:p w14:paraId="582A811B">
      <w:pPr>
        <w:keepNext w:val="0"/>
        <w:keepLines w:val="0"/>
        <w:pageBreakBefore w:val="0"/>
        <w:kinsoku/>
        <w:wordWrap/>
        <w:topLinePunct w:val="0"/>
        <w:bidi w:val="0"/>
        <w:spacing w:line="460" w:lineRule="exact"/>
        <w:ind w:firstLine="4147" w:firstLineChars="1885"/>
        <w:rPr>
          <w:rFonts w:hint="eastAsia" w:ascii="新宋体" w:hAnsi="新宋体" w:eastAsia="新宋体" w:cs="新宋体"/>
          <w:color w:val="auto"/>
          <w:sz w:val="22"/>
          <w:szCs w:val="22"/>
          <w:highlight w:val="none"/>
        </w:rPr>
      </w:pPr>
    </w:p>
    <w:p w14:paraId="263D47EB">
      <w:pPr>
        <w:keepNext w:val="0"/>
        <w:keepLines w:val="0"/>
        <w:pageBreakBefore w:val="0"/>
        <w:kinsoku/>
        <w:wordWrap/>
        <w:topLinePunct w:val="0"/>
        <w:bidi w:val="0"/>
        <w:spacing w:line="460" w:lineRule="exact"/>
        <w:ind w:firstLine="3190" w:firstLineChars="14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制造商授权售后服务商： </w:t>
      </w:r>
    </w:p>
    <w:p w14:paraId="7E156F5C">
      <w:pPr>
        <w:keepNext w:val="0"/>
        <w:keepLines w:val="0"/>
        <w:pageBreakBefore w:val="0"/>
        <w:kinsoku/>
        <w:wordWrap/>
        <w:topLinePunct w:val="0"/>
        <w:bidi w:val="0"/>
        <w:spacing w:line="460" w:lineRule="exact"/>
        <w:ind w:firstLine="2530" w:firstLineChars="1150"/>
        <w:rPr>
          <w:rFonts w:hint="eastAsia" w:ascii="新宋体" w:hAnsi="新宋体" w:eastAsia="新宋体" w:cs="新宋体"/>
          <w:color w:val="auto"/>
          <w:sz w:val="22"/>
          <w:szCs w:val="22"/>
          <w:highlight w:val="none"/>
        </w:rPr>
      </w:pPr>
    </w:p>
    <w:p w14:paraId="542BAF6B">
      <w:pPr>
        <w:keepNext w:val="0"/>
        <w:keepLines w:val="0"/>
        <w:pageBreakBefore w:val="0"/>
        <w:kinsoku/>
        <w:wordWrap/>
        <w:topLinePunct w:val="0"/>
        <w:bidi w:val="0"/>
        <w:spacing w:line="460" w:lineRule="exact"/>
        <w:ind w:left="3780" w:firstLine="42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（签字盖章）</w:t>
      </w:r>
    </w:p>
    <w:p w14:paraId="6C776B28">
      <w:pPr>
        <w:keepNext w:val="0"/>
        <w:keepLines w:val="0"/>
        <w:pageBreakBefore w:val="0"/>
        <w:kinsoku/>
        <w:wordWrap/>
        <w:topLinePunct w:val="0"/>
        <w:bidi w:val="0"/>
        <w:spacing w:line="460" w:lineRule="exact"/>
        <w:jc w:val="left"/>
        <w:rPr>
          <w:rFonts w:hint="eastAsia" w:ascii="新宋体" w:hAnsi="新宋体" w:eastAsia="新宋体" w:cs="新宋体"/>
          <w:color w:val="auto"/>
          <w:kern w:val="0"/>
          <w:sz w:val="22"/>
          <w:szCs w:val="22"/>
          <w:highlight w:val="none"/>
        </w:rPr>
      </w:pPr>
    </w:p>
    <w:p w14:paraId="071A271C">
      <w:pPr>
        <w:keepNext w:val="0"/>
        <w:keepLines w:val="0"/>
        <w:pageBreakBefore w:val="0"/>
        <w:kinsoku/>
        <w:wordWrap/>
        <w:topLinePunct w:val="0"/>
        <w:bidi w:val="0"/>
        <w:spacing w:line="460" w:lineRule="exact"/>
        <w:jc w:val="left"/>
        <w:rPr>
          <w:rFonts w:hint="eastAsia" w:ascii="新宋体" w:hAnsi="新宋体" w:eastAsia="新宋体" w:cs="新宋体"/>
          <w:color w:val="auto"/>
          <w:kern w:val="0"/>
          <w:sz w:val="22"/>
          <w:szCs w:val="22"/>
          <w:highlight w:val="none"/>
        </w:rPr>
      </w:pPr>
    </w:p>
    <w:p w14:paraId="5EF105DE">
      <w:pPr>
        <w:keepNext w:val="0"/>
        <w:keepLines w:val="0"/>
        <w:pageBreakBefore w:val="0"/>
        <w:kinsoku/>
        <w:wordWrap/>
        <w:topLinePunct w:val="0"/>
        <w:bidi w:val="0"/>
        <w:spacing w:line="460" w:lineRule="exact"/>
        <w:jc w:val="left"/>
        <w:rPr>
          <w:rFonts w:hint="eastAsia" w:ascii="新宋体" w:hAnsi="新宋体" w:eastAsia="新宋体" w:cs="新宋体"/>
          <w:color w:val="auto"/>
          <w:kern w:val="0"/>
          <w:sz w:val="22"/>
          <w:szCs w:val="22"/>
          <w:highlight w:val="none"/>
        </w:rPr>
      </w:pPr>
    </w:p>
    <w:p w14:paraId="336149E2">
      <w:pPr>
        <w:pStyle w:val="29"/>
        <w:keepNext w:val="0"/>
        <w:keepLines w:val="0"/>
        <w:pageBreakBefore w:val="0"/>
        <w:kinsoku/>
        <w:wordWrap/>
        <w:topLinePunct w:val="0"/>
        <w:bidi w:val="0"/>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：设备配置清单；</w:t>
      </w:r>
    </w:p>
    <w:p w14:paraId="34957A5B">
      <w:pPr>
        <w:pStyle w:val="29"/>
        <w:keepNext w:val="0"/>
        <w:keepLines w:val="0"/>
        <w:pageBreakBefore w:val="0"/>
        <w:kinsoku/>
        <w:wordWrap/>
        <w:topLinePunct w:val="0"/>
        <w:bidi w:val="0"/>
        <w:snapToGrid w:val="0"/>
        <w:spacing w:line="460" w:lineRule="exact"/>
        <w:rPr>
          <w:rFonts w:hint="eastAsia" w:ascii="新宋体" w:hAnsi="新宋体" w:eastAsia="新宋体" w:cs="新宋体"/>
          <w:color w:val="auto"/>
          <w:sz w:val="22"/>
          <w:szCs w:val="22"/>
          <w:highlight w:val="none"/>
        </w:rPr>
      </w:pPr>
    </w:p>
    <w:p w14:paraId="4989706A">
      <w:pPr>
        <w:pStyle w:val="29"/>
        <w:keepNext w:val="0"/>
        <w:keepLines w:val="0"/>
        <w:pageBreakBefore w:val="0"/>
        <w:kinsoku/>
        <w:wordWrap/>
        <w:topLinePunct w:val="0"/>
        <w:bidi w:val="0"/>
        <w:snapToGrid w:val="0"/>
        <w:spacing w:line="460" w:lineRule="exact"/>
        <w:rPr>
          <w:rFonts w:hint="eastAsia" w:ascii="新宋体" w:hAnsi="新宋体" w:eastAsia="新宋体" w:cs="新宋体"/>
          <w:color w:val="auto"/>
          <w:sz w:val="22"/>
          <w:szCs w:val="22"/>
          <w:highlight w:val="none"/>
        </w:rPr>
      </w:pPr>
    </w:p>
    <w:p w14:paraId="0ABF6633">
      <w:pPr>
        <w:pStyle w:val="29"/>
        <w:keepNext w:val="0"/>
        <w:keepLines w:val="0"/>
        <w:pageBreakBefore w:val="0"/>
        <w:kinsoku/>
        <w:wordWrap/>
        <w:topLinePunct w:val="0"/>
        <w:bidi w:val="0"/>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：备品备件价格清单。</w:t>
      </w:r>
    </w:p>
    <w:p w14:paraId="4A82E594">
      <w:pPr>
        <w:pStyle w:val="29"/>
        <w:keepNext w:val="0"/>
        <w:keepLines w:val="0"/>
        <w:pageBreakBefore w:val="0"/>
        <w:kinsoku/>
        <w:wordWrap/>
        <w:topLinePunct w:val="0"/>
        <w:bidi w:val="0"/>
        <w:snapToGrid w:val="0"/>
        <w:spacing w:line="460" w:lineRule="exact"/>
        <w:jc w:val="center"/>
        <w:rPr>
          <w:rFonts w:hint="eastAsia" w:ascii="新宋体" w:hAnsi="新宋体" w:eastAsia="新宋体" w:cs="新宋体"/>
          <w:color w:val="auto"/>
          <w:sz w:val="28"/>
          <w:szCs w:val="28"/>
          <w:highlight w:val="none"/>
        </w:rPr>
      </w:pPr>
    </w:p>
    <w:p w14:paraId="23A811B8">
      <w:pPr>
        <w:pStyle w:val="29"/>
        <w:keepNext w:val="0"/>
        <w:keepLines w:val="0"/>
        <w:pageBreakBefore w:val="0"/>
        <w:kinsoku/>
        <w:wordWrap/>
        <w:topLinePunct w:val="0"/>
        <w:bidi w:val="0"/>
        <w:snapToGrid w:val="0"/>
        <w:spacing w:line="460" w:lineRule="exact"/>
        <w:jc w:val="center"/>
        <w:rPr>
          <w:rFonts w:hint="eastAsia" w:ascii="新宋体" w:hAnsi="新宋体" w:eastAsia="新宋体" w:cs="新宋体"/>
          <w:color w:val="auto"/>
          <w:sz w:val="28"/>
          <w:szCs w:val="28"/>
          <w:highlight w:val="none"/>
        </w:rPr>
      </w:pPr>
    </w:p>
    <w:p w14:paraId="5F83C63F">
      <w:pPr>
        <w:pStyle w:val="29"/>
        <w:keepNext w:val="0"/>
        <w:keepLines w:val="0"/>
        <w:pageBreakBefore w:val="0"/>
        <w:kinsoku/>
        <w:wordWrap/>
        <w:topLinePunct w:val="0"/>
        <w:bidi w:val="0"/>
        <w:snapToGrid w:val="0"/>
        <w:spacing w:line="460" w:lineRule="exact"/>
        <w:jc w:val="both"/>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2"/>
          <w:szCs w:val="22"/>
          <w:highlight w:val="none"/>
        </w:rPr>
        <w:t>附件</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w:t>
      </w:r>
    </w:p>
    <w:p w14:paraId="6BC0D3B5">
      <w:pPr>
        <w:keepNext w:val="0"/>
        <w:keepLines w:val="0"/>
        <w:pageBreakBefore w:val="0"/>
        <w:kinsoku/>
        <w:wordWrap/>
        <w:topLinePunct w:val="0"/>
        <w:bidi w:val="0"/>
        <w:spacing w:line="46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医疗卫生机构医药产品廉洁购销合同（样本）</w:t>
      </w:r>
    </w:p>
    <w:p w14:paraId="43FB93F7">
      <w:pPr>
        <w:keepNext w:val="0"/>
        <w:keepLines w:val="0"/>
        <w:pageBreakBefore w:val="0"/>
        <w:kinsoku/>
        <w:wordWrap/>
        <w:topLinePunct w:val="0"/>
        <w:bidi w:val="0"/>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甲方</w:t>
      </w:r>
      <w:r>
        <w:rPr>
          <w:rFonts w:hint="eastAsia" w:ascii="新宋体" w:hAnsi="新宋体" w:eastAsia="新宋体" w:cs="新宋体"/>
          <w:bCs/>
          <w:color w:val="auto"/>
          <w:sz w:val="22"/>
          <w:szCs w:val="22"/>
          <w:highlight w:val="none"/>
        </w:rPr>
        <w:t>（医疗卫生机构）：</w:t>
      </w:r>
    </w:p>
    <w:p w14:paraId="0815829B">
      <w:pPr>
        <w:keepNext w:val="0"/>
        <w:keepLines w:val="0"/>
        <w:pageBreakBefore w:val="0"/>
        <w:kinsoku/>
        <w:wordWrap/>
        <w:topLinePunct w:val="0"/>
        <w:bidi w:val="0"/>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乙方</w:t>
      </w:r>
      <w:r>
        <w:rPr>
          <w:rFonts w:hint="eastAsia" w:ascii="新宋体" w:hAnsi="新宋体" w:eastAsia="新宋体" w:cs="新宋体"/>
          <w:bCs/>
          <w:color w:val="auto"/>
          <w:sz w:val="22"/>
          <w:szCs w:val="22"/>
          <w:highlight w:val="none"/>
        </w:rPr>
        <w:t>（医药生产经营企业及其代理人）：</w:t>
      </w:r>
    </w:p>
    <w:p w14:paraId="041C763D">
      <w:pPr>
        <w:keepNext w:val="0"/>
        <w:keepLines w:val="0"/>
        <w:pageBreakBefore w:val="0"/>
        <w:kinsoku/>
        <w:wordWrap/>
        <w:topLinePunct w:val="0"/>
        <w:bidi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为进一步加强医疗卫生行风建设，规范医疗卫生机构医药购销行为，有效防范商业贿赂行为，营造公平交易、诚实守信的购销环境，经甲、乙双方协商，同意签订本合同，并共同遵守：</w:t>
      </w:r>
    </w:p>
    <w:p w14:paraId="0CFC2B04">
      <w:pPr>
        <w:keepNext w:val="0"/>
        <w:keepLines w:val="0"/>
        <w:pageBreakBefore w:val="0"/>
        <w:kinsoku/>
        <w:wordWrap/>
        <w:topLinePunct w:val="0"/>
        <w:bidi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一、甲乙双方按照《民法典》及医药产品购销合同约定购销药品、医用设备、医用耗材等医药产品。</w:t>
      </w:r>
    </w:p>
    <w:p w14:paraId="37EDC05C">
      <w:pPr>
        <w:keepNext w:val="0"/>
        <w:keepLines w:val="0"/>
        <w:pageBreakBefore w:val="0"/>
        <w:kinsoku/>
        <w:wordWrap/>
        <w:topLinePunct w:val="0"/>
        <w:bidi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二、甲方应当严格执行医药产品购销合同验收、入库制度，对采购医药产品及发票进行查验，不得违反有关规定合同外采购、违价采购或从非规定渠道采购。</w:t>
      </w:r>
    </w:p>
    <w:p w14:paraId="3CE200D7">
      <w:pPr>
        <w:keepNext w:val="0"/>
        <w:keepLines w:val="0"/>
        <w:pageBreakBefore w:val="0"/>
        <w:kinsoku/>
        <w:wordWrap/>
        <w:topLinePunct w:val="0"/>
        <w:bidi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动接受乙方给予的钱物，应予退还，无法退还的，有责任如实向有关纪检监察部门反映情况。</w:t>
      </w:r>
    </w:p>
    <w:p w14:paraId="035523CD">
      <w:pPr>
        <w:keepNext w:val="0"/>
        <w:keepLines w:val="0"/>
        <w:pageBreakBefore w:val="0"/>
        <w:kinsoku/>
        <w:wordWrap/>
        <w:topLinePunct w:val="0"/>
        <w:bidi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四、严禁甲方工作人员利用任何途径和方式，为乙方统计医师个人及临床科室有关医药产品用量信息，或为乙方统计提供便利。</w:t>
      </w:r>
    </w:p>
    <w:p w14:paraId="06884078">
      <w:pPr>
        <w:keepNext w:val="0"/>
        <w:keepLines w:val="0"/>
        <w:pageBreakBefore w:val="0"/>
        <w:kinsoku/>
        <w:wordWrap/>
        <w:topLinePunct w:val="0"/>
        <w:bidi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五、乙方不得以回扣、宴请等方式影响甲方工作人员采购或使用医药产品的选择权，不得在学术活动中提供旅游、超标准支付食宿费用。</w:t>
      </w:r>
    </w:p>
    <w:p w14:paraId="2778BCCA">
      <w:pPr>
        <w:keepNext w:val="0"/>
        <w:keepLines w:val="0"/>
        <w:pageBreakBefore w:val="0"/>
        <w:kinsoku/>
        <w:wordWrap/>
        <w:topLinePunct w:val="0"/>
        <w:bidi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六、乙方指定作为销售代表洽谈业务。销售代表必须在工作时间到甲方指定地点联系商谈，不得到住院部、门诊部、医技科室等推销医药产品，不得借故到甲方相关领导、部门负责人及相关工作人员家中访谈并提供任何好处费。</w:t>
      </w:r>
    </w:p>
    <w:p w14:paraId="74745A5A">
      <w:pPr>
        <w:keepNext w:val="0"/>
        <w:keepLines w:val="0"/>
        <w:pageBreakBefore w:val="0"/>
        <w:kinsoku/>
        <w:wordWrap/>
        <w:topLinePunct w:val="0"/>
        <w:bidi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七、乙方如违反本合同，一经发现，甲方有权终止购销合同，并向有关卫生计生行政部门报告。如乙方被列入商业贿赂不良记录，则严格按照《国家卫生计生委关于建立医药购销领域商业贿赂不良记录的规定》</w:t>
      </w:r>
      <w:r>
        <w:rPr>
          <w:rFonts w:hint="eastAsia" w:ascii="新宋体" w:hAnsi="新宋体" w:eastAsia="新宋体" w:cs="新宋体"/>
          <w:bCs/>
          <w:color w:val="auto"/>
          <w:sz w:val="22"/>
          <w:szCs w:val="22"/>
          <w:highlight w:val="none"/>
          <w:shd w:val="clear" w:color="auto" w:fill="FFFFFF"/>
        </w:rPr>
        <w:t>（国卫法制发〔2013〕50号）</w:t>
      </w:r>
      <w:r>
        <w:rPr>
          <w:rFonts w:hint="eastAsia" w:ascii="新宋体" w:hAnsi="新宋体" w:eastAsia="新宋体" w:cs="新宋体"/>
          <w:bCs/>
          <w:color w:val="auto"/>
          <w:sz w:val="22"/>
          <w:szCs w:val="22"/>
          <w:highlight w:val="none"/>
        </w:rPr>
        <w:t>相关规定处理。</w:t>
      </w:r>
    </w:p>
    <w:p w14:paraId="6DBD416B">
      <w:pPr>
        <w:keepNext w:val="0"/>
        <w:keepLines w:val="0"/>
        <w:pageBreakBefore w:val="0"/>
        <w:kinsoku/>
        <w:wordWrap/>
        <w:topLinePunct w:val="0"/>
        <w:bidi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八、本合同作为医药产品购销合同的重要组成部分，与购销合同一并执行，具有同等的法律效力。</w:t>
      </w:r>
    </w:p>
    <w:p w14:paraId="00874824">
      <w:pPr>
        <w:keepNext w:val="0"/>
        <w:keepLines w:val="0"/>
        <w:pageBreakBefore w:val="0"/>
        <w:kinsoku/>
        <w:wordWrap/>
        <w:topLinePunct w:val="0"/>
        <w:bidi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九、本合同一式二份，甲、乙双方各执一份，并从签订之日起生效。</w:t>
      </w:r>
    </w:p>
    <w:p w14:paraId="4A65A61C">
      <w:pPr>
        <w:keepNext w:val="0"/>
        <w:keepLines w:val="0"/>
        <w:pageBreakBefore w:val="0"/>
        <w:kinsoku/>
        <w:wordWrap/>
        <w:topLinePunct w:val="0"/>
        <w:bidi w:val="0"/>
        <w:spacing w:line="460" w:lineRule="exact"/>
        <w:rPr>
          <w:rFonts w:hint="eastAsia" w:ascii="新宋体" w:hAnsi="新宋体" w:eastAsia="新宋体" w:cs="新宋体"/>
          <w:bCs/>
          <w:color w:val="auto"/>
          <w:sz w:val="22"/>
          <w:szCs w:val="22"/>
          <w:highlight w:val="none"/>
        </w:rPr>
      </w:pPr>
    </w:p>
    <w:p w14:paraId="7D33C21F">
      <w:pPr>
        <w:keepNext w:val="0"/>
        <w:keepLines w:val="0"/>
        <w:pageBreakBefore w:val="0"/>
        <w:kinsoku/>
        <w:wordWrap/>
        <w:topLinePunct w:val="0"/>
        <w:bidi w:val="0"/>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甲方（盖章）：                     乙方（盖章）：</w:t>
      </w:r>
    </w:p>
    <w:p w14:paraId="4B2324EF">
      <w:pPr>
        <w:keepNext w:val="0"/>
        <w:keepLines w:val="0"/>
        <w:pageBreakBefore w:val="0"/>
        <w:kinsoku/>
        <w:wordWrap/>
        <w:topLinePunct w:val="0"/>
        <w:bidi w:val="0"/>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法定代表人（负责人）：             法定代表人（负责人）：</w:t>
      </w:r>
    </w:p>
    <w:p w14:paraId="54C44FC3">
      <w:pPr>
        <w:keepNext w:val="0"/>
        <w:keepLines w:val="0"/>
        <w:pageBreakBefore w:val="0"/>
        <w:kinsoku/>
        <w:wordWrap/>
        <w:topLinePunct w:val="0"/>
        <w:bidi w:val="0"/>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经办人签名：                      经办人签名：</w:t>
      </w:r>
    </w:p>
    <w:p w14:paraId="5AB92A75">
      <w:pPr>
        <w:pStyle w:val="29"/>
        <w:keepNext w:val="0"/>
        <w:keepLines w:val="0"/>
        <w:pageBreakBefore w:val="0"/>
        <w:kinsoku/>
        <w:wordWrap/>
        <w:topLinePunct w:val="0"/>
        <w:bidi w:val="0"/>
        <w:snapToGrid w:val="0"/>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年   月   日                       年   月  日</w:t>
      </w:r>
    </w:p>
    <w:p w14:paraId="1FBB5CE8">
      <w:pPr>
        <w:pStyle w:val="3"/>
        <w:rPr>
          <w:rFonts w:ascii="新宋体" w:hAnsi="新宋体" w:eastAsia="新宋体" w:cs="新宋体"/>
          <w:color w:val="auto"/>
          <w:highlight w:val="none"/>
        </w:rPr>
      </w:pPr>
      <w:bookmarkStart w:id="30" w:name="_Toc16627"/>
      <w:bookmarkStart w:id="31" w:name="_Toc19081"/>
      <w:r>
        <w:rPr>
          <w:rFonts w:hint="eastAsia" w:ascii="新宋体" w:hAnsi="新宋体" w:eastAsia="新宋体" w:cs="新宋体"/>
          <w:color w:val="auto"/>
          <w:highlight w:val="none"/>
        </w:rPr>
        <w:t>第三部分   附件</w:t>
      </w:r>
      <w:bookmarkEnd w:id="30"/>
      <w:bookmarkEnd w:id="31"/>
    </w:p>
    <w:p w14:paraId="050ACA9A">
      <w:pPr>
        <w:pStyle w:val="23"/>
        <w:spacing w:line="460" w:lineRule="exact"/>
        <w:ind w:left="433" w:hanging="433" w:hangingChars="196"/>
        <w:outlineLvl w:val="1"/>
        <w:rPr>
          <w:rFonts w:ascii="新宋体" w:hAnsi="新宋体" w:eastAsia="新宋体" w:cs="新宋体"/>
          <w:b/>
          <w:color w:val="auto"/>
          <w:sz w:val="22"/>
          <w:highlight w:val="none"/>
        </w:rPr>
      </w:pPr>
      <w:bookmarkStart w:id="32" w:name="_Toc7056"/>
      <w:bookmarkStart w:id="33" w:name="_Toc20045"/>
      <w:r>
        <w:rPr>
          <w:rFonts w:hint="eastAsia" w:ascii="新宋体" w:hAnsi="新宋体" w:eastAsia="新宋体" w:cs="新宋体"/>
          <w:b/>
          <w:color w:val="auto"/>
          <w:sz w:val="22"/>
          <w:highlight w:val="none"/>
        </w:rPr>
        <w:t>附件一</w:t>
      </w:r>
      <w:bookmarkEnd w:id="32"/>
      <w:bookmarkEnd w:id="33"/>
    </w:p>
    <w:p w14:paraId="5BABB977">
      <w:pPr>
        <w:spacing w:line="460" w:lineRule="exact"/>
        <w:jc w:val="center"/>
        <w:outlineLvl w:val="2"/>
        <w:rPr>
          <w:rFonts w:ascii="新宋体" w:hAnsi="新宋体" w:eastAsia="新宋体" w:cs="新宋体"/>
          <w:color w:val="auto"/>
          <w:sz w:val="28"/>
          <w:szCs w:val="28"/>
          <w:highlight w:val="none"/>
        </w:rPr>
      </w:pPr>
      <w:bookmarkStart w:id="34" w:name="_Toc10252"/>
      <w:bookmarkStart w:id="35" w:name="_Toc4718"/>
      <w:bookmarkStart w:id="36" w:name="_Toc13365"/>
      <w:r>
        <w:rPr>
          <w:rFonts w:hint="eastAsia" w:ascii="新宋体" w:hAnsi="新宋体" w:eastAsia="新宋体" w:cs="新宋体"/>
          <w:b/>
          <w:bCs/>
          <w:color w:val="auto"/>
          <w:sz w:val="28"/>
          <w:szCs w:val="28"/>
          <w:highlight w:val="none"/>
        </w:rPr>
        <w:t>资格证明文件</w:t>
      </w:r>
      <w:bookmarkEnd w:id="34"/>
      <w:bookmarkEnd w:id="35"/>
      <w:r>
        <w:rPr>
          <w:rFonts w:hint="eastAsia" w:ascii="新宋体" w:hAnsi="新宋体" w:eastAsia="新宋体" w:cs="新宋体"/>
          <w:color w:val="auto"/>
          <w:sz w:val="28"/>
          <w:szCs w:val="28"/>
          <w:highlight w:val="none"/>
        </w:rPr>
        <w:t xml:space="preserve"> </w:t>
      </w:r>
    </w:p>
    <w:p w14:paraId="22272CDC">
      <w:pPr>
        <w:spacing w:line="400" w:lineRule="exact"/>
        <w:jc w:val="center"/>
        <w:outlineLvl w:val="3"/>
        <w:rPr>
          <w:rFonts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1、资格条件承诺函</w:t>
      </w:r>
    </w:p>
    <w:p w14:paraId="7D956D58">
      <w:pPr>
        <w:widowControl/>
        <w:spacing w:line="460" w:lineRule="exact"/>
        <w:jc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（如为联合体投标，联合体各方均需提供）</w:t>
      </w:r>
    </w:p>
    <w:p w14:paraId="1BAAA359">
      <w:pPr>
        <w:widowControl/>
        <w:spacing w:line="46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温州市第七人民医院</w:t>
      </w:r>
      <w:r>
        <w:rPr>
          <w:rFonts w:hint="eastAsia" w:ascii="新宋体" w:hAnsi="新宋体" w:eastAsia="新宋体" w:cs="新宋体"/>
          <w:color w:val="auto"/>
          <w:kern w:val="0"/>
          <w:sz w:val="22"/>
          <w:szCs w:val="22"/>
          <w:highlight w:val="none"/>
        </w:rPr>
        <w:t>、温州历程招标有限公司：</w:t>
      </w:r>
    </w:p>
    <w:p w14:paraId="73AB8FB8">
      <w:pPr>
        <w:widowControl/>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（项目名称、编号）投标，现郑重承诺，</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58503CA1">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1、我方符合《中华人民共和国政府采购法》第22条规定的资格条件，即</w:t>
      </w:r>
    </w:p>
    <w:p w14:paraId="4DA3803C">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（1）我方具有独立承担民事责任的能力；</w:t>
      </w:r>
    </w:p>
    <w:p w14:paraId="5E2A2527">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（2）我方具有良好的商业信誉和健全的财务会计制度；</w:t>
      </w:r>
    </w:p>
    <w:p w14:paraId="7BFA5061">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（3）我方具有履行合同所必需的设备和专业技术能力；</w:t>
      </w:r>
    </w:p>
    <w:p w14:paraId="5127026C">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（4）我方有依法缴纳税收和社会保障资金的良好记录；</w:t>
      </w:r>
    </w:p>
    <w:p w14:paraId="382DE04D">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我方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w:t>
      </w:r>
    </w:p>
    <w:p w14:paraId="3A7B1C1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2、到本项目投标截止时间为止，我方未被“信用中国（</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Fonts w:hint="eastAsia" w:ascii="新宋体" w:hAnsi="新宋体" w:eastAsia="新宋体" w:cs="新宋体"/>
          <w:color w:val="auto"/>
          <w:kern w:val="0"/>
          <w:sz w:val="22"/>
          <w:szCs w:val="22"/>
          <w:highlight w:val="none"/>
        </w:rPr>
        <w:t>www.creditchina.gov.cn）、</w:t>
      </w:r>
      <w:r>
        <w:rPr>
          <w:rFonts w:hint="eastAsia" w:ascii="新宋体" w:hAnsi="新宋体" w:eastAsia="新宋体" w:cs="新宋体"/>
          <w:color w:val="auto"/>
          <w:kern w:val="0"/>
          <w:sz w:val="22"/>
          <w:szCs w:val="22"/>
          <w:highlight w:val="none"/>
        </w:rPr>
        <w:fldChar w:fldCharType="end"/>
      </w:r>
      <w:r>
        <w:rPr>
          <w:rFonts w:hint="eastAsia" w:ascii="新宋体" w:hAnsi="新宋体" w:eastAsia="新宋体" w:cs="新宋体"/>
          <w:color w:val="auto"/>
          <w:kern w:val="0"/>
          <w:sz w:val="22"/>
          <w:szCs w:val="22"/>
          <w:highlight w:val="none"/>
        </w:rPr>
        <w:t xml:space="preserve"> 中国政府采购网（www.ccgp.gov.cn）列入失信被执行人名单、重大税收违法案件当事人名单、政府采购严重违法失信行为记录名单。</w:t>
      </w:r>
    </w:p>
    <w:p w14:paraId="6EBCC55E">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3、我方与参加本次项目同一合同项下政府采购活动的其他供应商不存在单位负责人为同一人或者直接控股、管理关系。</w:t>
      </w:r>
    </w:p>
    <w:p w14:paraId="7242B0F4">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4、我方不属于公益一类事业单位。</w:t>
      </w:r>
    </w:p>
    <w:p w14:paraId="303E3A87">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27395FDE">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以上承诺如有虚假，愿接受取消我方任何资格（投标/成交/签订合同）及其他任何形式的处理。</w:t>
      </w:r>
    </w:p>
    <w:p w14:paraId="1DD7618C">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50323DCA">
      <w:pPr>
        <w:snapToGrid w:val="0"/>
        <w:spacing w:line="460" w:lineRule="exact"/>
        <w:ind w:firstLine="5060" w:firstLineChars="2300"/>
        <w:rPr>
          <w:rFonts w:ascii="新宋体" w:hAnsi="新宋体" w:eastAsia="新宋体" w:cs="新宋体"/>
          <w:color w:val="auto"/>
          <w:kern w:val="0"/>
          <w:sz w:val="22"/>
          <w:szCs w:val="22"/>
          <w:highlight w:val="none"/>
          <w:lang w:val="zh-CN"/>
        </w:rPr>
      </w:pPr>
    </w:p>
    <w:p w14:paraId="09C5EB89">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投标人全称（盖章） ：</w:t>
      </w:r>
    </w:p>
    <w:p w14:paraId="797B136C">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3AFDC866">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68B3992D">
      <w:pPr>
        <w:pStyle w:val="23"/>
        <w:spacing w:line="460" w:lineRule="exact"/>
        <w:ind w:left="479" w:leftChars="228" w:firstLine="5280" w:firstLineChars="24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04EE104C">
      <w:pPr>
        <w:rPr>
          <w:rFonts w:ascii="新宋体" w:hAnsi="新宋体" w:eastAsia="新宋体" w:cs="新宋体"/>
          <w:color w:val="auto"/>
          <w:highlight w:val="none"/>
        </w:rPr>
      </w:pPr>
    </w:p>
    <w:p w14:paraId="79255461">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2、有效营业执照</w:t>
      </w:r>
    </w:p>
    <w:p w14:paraId="63000259">
      <w:pPr>
        <w:widowControl/>
        <w:spacing w:line="460" w:lineRule="exact"/>
        <w:jc w:val="center"/>
        <w:rPr>
          <w:rFonts w:ascii="新宋体" w:hAnsi="新宋体" w:eastAsia="新宋体" w:cs="新宋体"/>
          <w:bCs/>
          <w:color w:val="auto"/>
          <w:highlight w:val="none"/>
        </w:rPr>
      </w:pPr>
      <w:r>
        <w:rPr>
          <w:rFonts w:hint="eastAsia" w:ascii="新宋体" w:hAnsi="新宋体" w:eastAsia="新宋体" w:cs="新宋体"/>
          <w:b/>
          <w:bCs/>
          <w:color w:val="auto"/>
          <w:sz w:val="22"/>
          <w:szCs w:val="22"/>
          <w:highlight w:val="none"/>
          <w:lang w:val="en-US" w:eastAsia="zh-CN"/>
        </w:rPr>
        <w:t>（如为联合体投标，联合体各方均需提供）</w:t>
      </w:r>
    </w:p>
    <w:p w14:paraId="22D351F9">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投标人须在投标文件中出具符合以下情况的证明材料复印件（五选一）：</w:t>
      </w:r>
    </w:p>
    <w:p w14:paraId="1F4FBC5D">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①如投标人是企业（包括合伙企业），提供在工商部门注册的有效“企业法人营业执照”或“营业执照”；</w:t>
      </w:r>
    </w:p>
    <w:p w14:paraId="2C2B7E1A">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②如投标人是事业单位，提供有效的“事业单位法人证书”；</w:t>
      </w:r>
    </w:p>
    <w:p w14:paraId="5613520B">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③如投标人是非企业专业服务机构的，提供执业许可证等证明文件；</w:t>
      </w:r>
    </w:p>
    <w:p w14:paraId="3138146D">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④如投标人是个体工商户，提供有效的“个体工商户营业执照”；</w:t>
      </w:r>
    </w:p>
    <w:p w14:paraId="183A8447">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⑤如投标人是自然人，提供有效的自然人身份证明（居民身份证正反面或公安机关出具的临时居民身份证正反面或港澳台胞证或护照）。</w:t>
      </w:r>
    </w:p>
    <w:p w14:paraId="41A5AAB5">
      <w:pPr>
        <w:pStyle w:val="48"/>
        <w:tabs>
          <w:tab w:val="left" w:pos="312"/>
        </w:tabs>
        <w:adjustRightInd w:val="0"/>
        <w:snapToGrid w:val="0"/>
        <w:spacing w:before="0" w:beforeAutospacing="0" w:after="0" w:afterAutospacing="0" w:line="360" w:lineRule="auto"/>
        <w:rPr>
          <w:rFonts w:ascii="新宋体" w:hAnsi="新宋体" w:eastAsia="新宋体" w:cs="新宋体"/>
          <w:bCs/>
          <w:color w:val="auto"/>
          <w:sz w:val="22"/>
          <w:szCs w:val="22"/>
          <w:highlight w:val="none"/>
        </w:rPr>
      </w:pPr>
    </w:p>
    <w:p w14:paraId="473211C4">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36D63406">
      <w:pPr>
        <w:rPr>
          <w:rFonts w:ascii="新宋体" w:hAnsi="新宋体" w:eastAsia="新宋体" w:cs="新宋体"/>
          <w:color w:val="auto"/>
          <w:highlight w:val="none"/>
        </w:rPr>
      </w:pPr>
    </w:p>
    <w:p w14:paraId="6B4C27BA">
      <w:pPr>
        <w:rPr>
          <w:rFonts w:ascii="新宋体" w:hAnsi="新宋体" w:eastAsia="新宋体" w:cs="新宋体"/>
          <w:color w:val="auto"/>
          <w:highlight w:val="none"/>
        </w:rPr>
      </w:pPr>
      <w:r>
        <w:rPr>
          <w:rFonts w:hint="eastAsia" w:ascii="新宋体" w:hAnsi="新宋体" w:eastAsia="新宋体" w:cs="新宋体"/>
          <w:color w:val="auto"/>
          <w:highlight w:val="none"/>
        </w:rPr>
        <w:br w:type="page"/>
      </w:r>
    </w:p>
    <w:p w14:paraId="4595DF2C">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3、投标人信用查询</w:t>
      </w:r>
    </w:p>
    <w:p w14:paraId="37D0494A">
      <w:pPr>
        <w:widowControl/>
        <w:spacing w:line="460" w:lineRule="exact"/>
        <w:jc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（如为联合体投标，联合体各方均需提供）</w:t>
      </w:r>
    </w:p>
    <w:p w14:paraId="5A788EBB">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（1）投标人信用信息查询的查询渠道：“信用中国”（https://www.creditchina.gov.cn/）；“中国政府采购网”（http://www.ccgp.gov.cn/）；</w:t>
      </w:r>
    </w:p>
    <w:p w14:paraId="3E0DC5DE">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（2）投标人信用信息查询截止时点：招标公告发布之日至投标截止时间前。</w:t>
      </w:r>
    </w:p>
    <w:p w14:paraId="684D0F76">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（3）投标人信用信息查询记录和证据留存的具体方式：网页截图；</w:t>
      </w:r>
    </w:p>
    <w:p w14:paraId="36FA95EC">
      <w:pPr>
        <w:tabs>
          <w:tab w:val="left" w:pos="360"/>
        </w:tabs>
        <w:spacing w:line="460" w:lineRule="exact"/>
        <w:ind w:firstLine="552" w:firstLineChars="25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rPr>
        <w:t>（4）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284FEF68">
      <w:pPr>
        <w:spacing w:line="460" w:lineRule="exact"/>
        <w:rPr>
          <w:rFonts w:ascii="新宋体" w:hAnsi="新宋体" w:eastAsia="新宋体" w:cs="新宋体"/>
          <w:b/>
          <w:bCs/>
          <w:color w:val="auto"/>
          <w:sz w:val="22"/>
          <w:szCs w:val="22"/>
          <w:highlight w:val="none"/>
        </w:rPr>
      </w:pPr>
    </w:p>
    <w:p w14:paraId="6E2B3954">
      <w:pPr>
        <w:spacing w:line="460" w:lineRule="exact"/>
        <w:rPr>
          <w:rFonts w:ascii="新宋体" w:hAnsi="新宋体" w:eastAsia="新宋体" w:cs="新宋体"/>
          <w:b/>
          <w:bCs/>
          <w:color w:val="auto"/>
          <w:sz w:val="22"/>
          <w:szCs w:val="22"/>
          <w:highlight w:val="none"/>
        </w:rPr>
      </w:pPr>
    </w:p>
    <w:p w14:paraId="2A3A5E60">
      <w:pPr>
        <w:spacing w:line="460" w:lineRule="exact"/>
        <w:rPr>
          <w:rFonts w:ascii="新宋体" w:hAnsi="新宋体" w:eastAsia="新宋体" w:cs="新宋体"/>
          <w:b/>
          <w:bCs/>
          <w:color w:val="auto"/>
          <w:sz w:val="22"/>
          <w:szCs w:val="22"/>
          <w:highlight w:val="none"/>
        </w:rPr>
      </w:pPr>
    </w:p>
    <w:p w14:paraId="752F26DF">
      <w:pPr>
        <w:spacing w:line="460" w:lineRule="exact"/>
        <w:rPr>
          <w:rFonts w:ascii="新宋体" w:hAnsi="新宋体" w:eastAsia="新宋体" w:cs="新宋体"/>
          <w:b/>
          <w:bCs/>
          <w:color w:val="auto"/>
          <w:sz w:val="22"/>
          <w:szCs w:val="22"/>
          <w:highlight w:val="none"/>
        </w:rPr>
      </w:pPr>
    </w:p>
    <w:p w14:paraId="7C9DF628">
      <w:pPr>
        <w:spacing w:line="460" w:lineRule="exact"/>
        <w:rPr>
          <w:rFonts w:ascii="新宋体" w:hAnsi="新宋体" w:eastAsia="新宋体" w:cs="新宋体"/>
          <w:b/>
          <w:bCs/>
          <w:color w:val="auto"/>
          <w:sz w:val="22"/>
          <w:szCs w:val="22"/>
          <w:highlight w:val="none"/>
        </w:rPr>
      </w:pPr>
    </w:p>
    <w:p w14:paraId="7FBA35BF">
      <w:pPr>
        <w:spacing w:line="460" w:lineRule="exact"/>
        <w:rPr>
          <w:rFonts w:ascii="新宋体" w:hAnsi="新宋体" w:eastAsia="新宋体" w:cs="新宋体"/>
          <w:b/>
          <w:bCs/>
          <w:color w:val="auto"/>
          <w:sz w:val="22"/>
          <w:szCs w:val="22"/>
          <w:highlight w:val="none"/>
        </w:rPr>
      </w:pPr>
    </w:p>
    <w:p w14:paraId="479F9C41">
      <w:pPr>
        <w:pStyle w:val="9"/>
        <w:rPr>
          <w:rFonts w:ascii="新宋体" w:hAnsi="新宋体" w:eastAsia="新宋体" w:cs="新宋体"/>
          <w:bCs/>
          <w:color w:val="auto"/>
          <w:sz w:val="22"/>
          <w:szCs w:val="22"/>
          <w:highlight w:val="none"/>
        </w:rPr>
      </w:pPr>
    </w:p>
    <w:p w14:paraId="3A4BF0A9">
      <w:pPr>
        <w:rPr>
          <w:rFonts w:ascii="新宋体" w:hAnsi="新宋体" w:eastAsia="新宋体" w:cs="新宋体"/>
          <w:color w:val="auto"/>
          <w:highlight w:val="none"/>
        </w:rPr>
      </w:pPr>
    </w:p>
    <w:p w14:paraId="57340478">
      <w:pPr>
        <w:rPr>
          <w:rFonts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12EEE974">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4、政府采购活动现场确认声明书</w:t>
      </w:r>
    </w:p>
    <w:p w14:paraId="1FF97940">
      <w:pPr>
        <w:widowControl/>
        <w:spacing w:line="460" w:lineRule="exact"/>
        <w:jc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（如为联合体投标，联合体各方均需提供）</w:t>
      </w:r>
    </w:p>
    <w:p w14:paraId="3F260695">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rPr>
        <w:t>温州历程招标有限公司：</w:t>
      </w:r>
    </w:p>
    <w:p w14:paraId="2818530D">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kern w:val="0"/>
          <w:sz w:val="22"/>
          <w:szCs w:val="22"/>
          <w:highlight w:val="none"/>
          <w:lang w:bidi="ar"/>
        </w:rPr>
        <w:t>本人经由</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（供应商名称）负责人</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（姓名）合法授权参加</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（编号：</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）政府采购活动，经与本单位法人代表</w:t>
      </w:r>
      <w:r>
        <w:rPr>
          <w:rFonts w:hint="eastAsia" w:ascii="新宋体" w:hAnsi="新宋体" w:eastAsia="新宋体" w:cs="新宋体"/>
          <w:color w:val="auto"/>
          <w:kern w:val="0"/>
          <w:sz w:val="22"/>
          <w:szCs w:val="22"/>
          <w:highlight w:val="none"/>
          <w:u w:val="single"/>
          <w:lang w:bidi="ar"/>
        </w:rPr>
        <w:t>（负责人）</w:t>
      </w:r>
      <w:r>
        <w:rPr>
          <w:rFonts w:hint="eastAsia" w:ascii="新宋体" w:hAnsi="新宋体" w:eastAsia="新宋体" w:cs="新宋体"/>
          <w:color w:val="auto"/>
          <w:kern w:val="0"/>
          <w:sz w:val="22"/>
          <w:szCs w:val="22"/>
          <w:highlight w:val="none"/>
          <w:lang w:bidi="ar"/>
        </w:rPr>
        <w:t>联系确认，现就有关公平竞争事项郑重声明如下：</w:t>
      </w:r>
    </w:p>
    <w:p w14:paraId="2476C2FB">
      <w:pPr>
        <w:spacing w:line="460" w:lineRule="exact"/>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（一）本单位与</w:t>
      </w:r>
      <w:r>
        <w:rPr>
          <w:rFonts w:hint="eastAsia" w:ascii="新宋体" w:hAnsi="新宋体" w:eastAsia="新宋体" w:cs="新宋体"/>
          <w:color w:val="auto"/>
          <w:kern w:val="0"/>
          <w:sz w:val="22"/>
          <w:szCs w:val="22"/>
          <w:highlight w:val="none"/>
          <w:lang w:eastAsia="zh-CN" w:bidi="ar"/>
        </w:rPr>
        <w:t>招标人</w:t>
      </w:r>
      <w:r>
        <w:rPr>
          <w:rFonts w:hint="eastAsia" w:ascii="新宋体" w:hAnsi="新宋体" w:eastAsia="新宋体" w:cs="新宋体"/>
          <w:color w:val="auto"/>
          <w:kern w:val="0"/>
          <w:sz w:val="22"/>
          <w:szCs w:val="22"/>
          <w:highlight w:val="none"/>
          <w:lang w:bidi="ar"/>
        </w:rPr>
        <w:t>之间 □不存在利害关系 □存在下列利害关系：</w:t>
      </w:r>
    </w:p>
    <w:p w14:paraId="5A263158">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A.投资关系    </w:t>
      </w:r>
    </w:p>
    <w:p w14:paraId="4783590C">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B.行政隶属关系    </w:t>
      </w:r>
    </w:p>
    <w:p w14:paraId="26E36980">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C.业务指导关系  </w:t>
      </w:r>
    </w:p>
    <w:p w14:paraId="0D815D1A">
      <w:pPr>
        <w:spacing w:line="460" w:lineRule="exact"/>
        <w:ind w:firstLine="660" w:firstLineChars="3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D.其他可能影响采购公正的利害关系</w:t>
      </w:r>
      <w:r>
        <w:rPr>
          <w:rStyle w:val="333"/>
          <w:rFonts w:hint="default" w:ascii="新宋体" w:hAnsi="新宋体" w:eastAsia="新宋体" w:cs="新宋体"/>
          <w:color w:val="auto"/>
          <w:sz w:val="22"/>
          <w:szCs w:val="22"/>
          <w:highlight w:val="none"/>
          <w:lang w:bidi="ar"/>
        </w:rPr>
        <w:t xml:space="preserve">（如有，请如实说明）                 </w:t>
      </w:r>
      <w:r>
        <w:rPr>
          <w:rFonts w:hint="eastAsia" w:ascii="新宋体" w:hAnsi="新宋体" w:eastAsia="新宋体" w:cs="新宋体"/>
          <w:color w:val="auto"/>
          <w:kern w:val="0"/>
          <w:sz w:val="22"/>
          <w:szCs w:val="22"/>
          <w:highlight w:val="none"/>
          <w:lang w:bidi="ar"/>
        </w:rPr>
        <w:t>。</w:t>
      </w:r>
    </w:p>
    <w:p w14:paraId="18F203E9">
      <w:pPr>
        <w:spacing w:line="460" w:lineRule="exact"/>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（二）现已清楚知道参加本项目采购活动的其他所有供应商名称，本单位 </w:t>
      </w:r>
    </w:p>
    <w:p w14:paraId="24A62826">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□与其他所有供应商之间均不存在利害关系 </w:t>
      </w:r>
    </w:p>
    <w:p w14:paraId="17228BB1">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□与</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供应商名称）之间存在下列利害关系</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w:t>
      </w:r>
    </w:p>
    <w:p w14:paraId="4F83FC77">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A.法定代表人或负责人或实际控制人是同一人</w:t>
      </w:r>
    </w:p>
    <w:p w14:paraId="0ACEB996">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B.法定代表人或负责人或实际控制人是夫妻关系</w:t>
      </w:r>
    </w:p>
    <w:p w14:paraId="780BEC17">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C.法定代表人或负责人或实际控制人是直系血亲关系</w:t>
      </w:r>
    </w:p>
    <w:p w14:paraId="165E5329">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D.法定代表人或负责人或实际控制人存在三代以内旁系血亲关系</w:t>
      </w:r>
    </w:p>
    <w:p w14:paraId="1BAFD5C5">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E.法定代表人或负责人或实际控制人存在近姻亲关系</w:t>
      </w:r>
    </w:p>
    <w:p w14:paraId="14430533">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F.法定代表人或负责人或实际控制人存在股份控制或实际控制关系</w:t>
      </w:r>
    </w:p>
    <w:p w14:paraId="47CF7B30">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G.存在共同直接或间接投资设立子公司、联营企业和合营企业情况</w:t>
      </w:r>
    </w:p>
    <w:p w14:paraId="091215B2">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H.存在分级代理或代销关系、同一生产制造商关系、管理关系、重要业务（占主营业务收入50%以上）或重要财务往来关系（如融资）等其他实质性控制关系</w:t>
      </w:r>
    </w:p>
    <w:p w14:paraId="29084F89">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I.其他利害关系情况</w:t>
      </w:r>
      <w:r>
        <w:rPr>
          <w:rFonts w:hint="eastAsia" w:ascii="新宋体" w:hAnsi="新宋体" w:eastAsia="新宋体" w:cs="新宋体"/>
          <w:color w:val="auto"/>
          <w:kern w:val="0"/>
          <w:sz w:val="22"/>
          <w:szCs w:val="22"/>
          <w:highlight w:val="none"/>
          <w:u w:val="single"/>
          <w:lang w:bidi="ar"/>
        </w:rPr>
        <w:t xml:space="preserve">                              。</w:t>
      </w:r>
    </w:p>
    <w:p w14:paraId="55EAA31F">
      <w:pPr>
        <w:pStyle w:val="23"/>
        <w:spacing w:line="460" w:lineRule="exact"/>
        <w:ind w:left="0" w:firstLine="0" w:firstLineChars="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（三）现已清楚知道并严格遵守政府采购法律法规和现场纪律</w:t>
      </w:r>
    </w:p>
    <w:p w14:paraId="7698F707">
      <w:pPr>
        <w:pStyle w:val="23"/>
        <w:spacing w:line="460" w:lineRule="exact"/>
        <w:ind w:left="0" w:firstLine="0" w:firstLineChars="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（四）我发现</w:t>
      </w:r>
      <w:r>
        <w:rPr>
          <w:rStyle w:val="333"/>
          <w:rFonts w:hint="default" w:ascii="新宋体" w:hAnsi="新宋体" w:eastAsia="新宋体" w:cs="新宋体"/>
          <w:color w:val="auto"/>
          <w:sz w:val="22"/>
          <w:szCs w:val="22"/>
          <w:highlight w:val="none"/>
          <w:lang w:bidi="ar"/>
        </w:rPr>
        <w:t xml:space="preserve">                  </w:t>
      </w:r>
      <w:r>
        <w:rPr>
          <w:rStyle w:val="333"/>
          <w:rFonts w:hint="default" w:ascii="新宋体" w:hAnsi="新宋体" w:eastAsia="新宋体" w:cs="新宋体"/>
          <w:color w:val="auto"/>
          <w:sz w:val="22"/>
          <w:szCs w:val="22"/>
          <w:highlight w:val="none"/>
          <w:u w:val="none"/>
          <w:lang w:bidi="ar"/>
        </w:rPr>
        <w:t>与</w:t>
      </w:r>
      <w:r>
        <w:rPr>
          <w:rStyle w:val="333"/>
          <w:rFonts w:hint="default" w:ascii="新宋体" w:hAnsi="新宋体" w:eastAsia="新宋体" w:cs="新宋体"/>
          <w:color w:val="auto"/>
          <w:sz w:val="22"/>
          <w:szCs w:val="22"/>
          <w:highlight w:val="none"/>
          <w:lang w:bidi="ar"/>
        </w:rPr>
        <w:t xml:space="preserve">                  （供应商名称）</w:t>
      </w:r>
      <w:r>
        <w:rPr>
          <w:rFonts w:hint="eastAsia" w:ascii="新宋体" w:hAnsi="新宋体" w:eastAsia="新宋体" w:cs="新宋体"/>
          <w:color w:val="auto"/>
          <w:kern w:val="0"/>
          <w:sz w:val="22"/>
          <w:szCs w:val="22"/>
          <w:highlight w:val="none"/>
          <w:lang w:bidi="ar"/>
        </w:rPr>
        <w:t>之间存在或可能存在上述第二条第</w:t>
      </w:r>
      <w:r>
        <w:rPr>
          <w:rStyle w:val="333"/>
          <w:rFonts w:hint="default" w:ascii="新宋体" w:hAnsi="新宋体" w:eastAsia="新宋体" w:cs="新宋体"/>
          <w:color w:val="auto"/>
          <w:sz w:val="22"/>
          <w:szCs w:val="22"/>
          <w:highlight w:val="none"/>
          <w:lang w:bidi="ar"/>
        </w:rPr>
        <w:t xml:space="preserve">        </w:t>
      </w:r>
      <w:r>
        <w:rPr>
          <w:rFonts w:hint="eastAsia" w:ascii="新宋体" w:hAnsi="新宋体" w:eastAsia="新宋体" w:cs="新宋体"/>
          <w:color w:val="auto"/>
          <w:kern w:val="0"/>
          <w:sz w:val="22"/>
          <w:szCs w:val="22"/>
          <w:highlight w:val="none"/>
          <w:lang w:bidi="ar"/>
        </w:rPr>
        <w:t>项利害关系。</w:t>
      </w:r>
    </w:p>
    <w:p w14:paraId="3E67DA6E">
      <w:pPr>
        <w:pStyle w:val="23"/>
        <w:spacing w:line="460" w:lineRule="exact"/>
        <w:ind w:left="0" w:firstLine="0" w:firstLineChars="0"/>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lang w:bidi="ar"/>
        </w:rPr>
        <w:t>供应商代表签名：</w:t>
      </w:r>
    </w:p>
    <w:p w14:paraId="19650BC5">
      <w:pPr>
        <w:pStyle w:val="23"/>
        <w:spacing w:line="460" w:lineRule="exact"/>
        <w:ind w:left="0" w:firstLine="0" w:firstLineChars="0"/>
        <w:rPr>
          <w:rFonts w:ascii="新宋体" w:hAnsi="新宋体" w:eastAsia="新宋体" w:cs="新宋体"/>
          <w:b/>
          <w:color w:val="auto"/>
          <w:kern w:val="0"/>
          <w:sz w:val="22"/>
          <w:szCs w:val="22"/>
          <w:highlight w:val="none"/>
        </w:rPr>
      </w:pPr>
    </w:p>
    <w:p w14:paraId="68547C1B">
      <w:pPr>
        <w:pStyle w:val="23"/>
        <w:spacing w:line="460" w:lineRule="exact"/>
        <w:ind w:left="0" w:firstLine="0" w:firstLineChars="0"/>
        <w:jc w:val="right"/>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日期：    年    月    日</w:t>
      </w:r>
    </w:p>
    <w:p w14:paraId="27BA4006">
      <w:pPr>
        <w:pStyle w:val="23"/>
        <w:spacing w:line="460" w:lineRule="exact"/>
        <w:ind w:left="0" w:firstLine="0" w:firstLineChars="0"/>
        <w:jc w:val="right"/>
        <w:rPr>
          <w:rFonts w:ascii="新宋体" w:hAnsi="新宋体" w:eastAsia="新宋体" w:cs="新宋体"/>
          <w:b/>
          <w:bCs/>
          <w:color w:val="auto"/>
          <w:sz w:val="22"/>
          <w:szCs w:val="22"/>
          <w:highlight w:val="none"/>
        </w:rPr>
      </w:pPr>
    </w:p>
    <w:p w14:paraId="04C77A86">
      <w:pPr>
        <w:pStyle w:val="51"/>
        <w:rPr>
          <w:rFonts w:ascii="新宋体" w:hAnsi="新宋体" w:eastAsia="新宋体" w:cs="新宋体"/>
          <w:b/>
          <w:bCs/>
          <w:color w:val="auto"/>
          <w:sz w:val="22"/>
          <w:szCs w:val="22"/>
          <w:highlight w:val="none"/>
        </w:rPr>
      </w:pPr>
    </w:p>
    <w:p w14:paraId="29989B47">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5、联合体共同投标协议书（如有）</w:t>
      </w:r>
    </w:p>
    <w:p w14:paraId="6ADD56F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牵头人名称：</w:t>
      </w:r>
      <w:r>
        <w:rPr>
          <w:rFonts w:hint="eastAsia" w:ascii="新宋体" w:hAnsi="新宋体" w:eastAsia="新宋体" w:cs="新宋体"/>
          <w:color w:val="auto"/>
          <w:sz w:val="22"/>
          <w:szCs w:val="22"/>
          <w:highlight w:val="none"/>
          <w:u w:val="single"/>
        </w:rPr>
        <w:t xml:space="preserve">                                                        </w:t>
      </w:r>
    </w:p>
    <w:p w14:paraId="2405C7C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p>
    <w:p w14:paraId="2FE66FF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35"/>
          <w:sz w:val="22"/>
          <w:szCs w:val="22"/>
          <w:highlight w:val="none"/>
        </w:rPr>
        <w:t>法定住</w:t>
      </w:r>
      <w:r>
        <w:rPr>
          <w:rFonts w:hint="eastAsia" w:ascii="新宋体" w:hAnsi="新宋体" w:eastAsia="新宋体" w:cs="新宋体"/>
          <w:color w:val="auto"/>
          <w:sz w:val="22"/>
          <w:szCs w:val="22"/>
          <w:highlight w:val="none"/>
        </w:rPr>
        <w:t>所：</w:t>
      </w:r>
      <w:r>
        <w:rPr>
          <w:rFonts w:hint="eastAsia" w:ascii="新宋体" w:hAnsi="新宋体" w:eastAsia="新宋体" w:cs="新宋体"/>
          <w:color w:val="auto"/>
          <w:sz w:val="22"/>
          <w:szCs w:val="22"/>
          <w:highlight w:val="none"/>
          <w:u w:val="single"/>
        </w:rPr>
        <w:t xml:space="preserve">                                                        </w:t>
      </w:r>
    </w:p>
    <w:p w14:paraId="3D086C6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p w14:paraId="21678C2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联合体</w:t>
      </w:r>
      <w:r>
        <w:rPr>
          <w:rFonts w:hint="eastAsia" w:ascii="新宋体" w:hAnsi="新宋体" w:eastAsia="新宋体" w:cs="新宋体"/>
          <w:color w:val="auto"/>
          <w:sz w:val="22"/>
          <w:szCs w:val="22"/>
          <w:highlight w:val="none"/>
        </w:rPr>
        <w:t>成员名称：</w:t>
      </w:r>
      <w:r>
        <w:rPr>
          <w:rFonts w:hint="eastAsia" w:ascii="新宋体" w:hAnsi="新宋体" w:eastAsia="新宋体" w:cs="新宋体"/>
          <w:color w:val="auto"/>
          <w:sz w:val="22"/>
          <w:szCs w:val="22"/>
          <w:highlight w:val="none"/>
          <w:u w:val="single"/>
        </w:rPr>
        <w:t xml:space="preserve">                                                        </w:t>
      </w:r>
    </w:p>
    <w:p w14:paraId="11F72BC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p>
    <w:p w14:paraId="2731B46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35"/>
          <w:sz w:val="22"/>
          <w:szCs w:val="22"/>
          <w:highlight w:val="none"/>
        </w:rPr>
        <w:t>法定住</w:t>
      </w:r>
      <w:r>
        <w:rPr>
          <w:rFonts w:hint="eastAsia" w:ascii="新宋体" w:hAnsi="新宋体" w:eastAsia="新宋体" w:cs="新宋体"/>
          <w:color w:val="auto"/>
          <w:sz w:val="22"/>
          <w:szCs w:val="22"/>
          <w:highlight w:val="none"/>
        </w:rPr>
        <w:t>所：</w:t>
      </w:r>
      <w:r>
        <w:rPr>
          <w:rFonts w:hint="eastAsia" w:ascii="新宋体" w:hAnsi="新宋体" w:eastAsia="新宋体" w:cs="新宋体"/>
          <w:color w:val="auto"/>
          <w:sz w:val="22"/>
          <w:szCs w:val="22"/>
          <w:highlight w:val="none"/>
          <w:u w:val="single"/>
        </w:rPr>
        <w:t xml:space="preserve">                                                        </w:t>
      </w:r>
    </w:p>
    <w:p w14:paraId="2C4C1B7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p w14:paraId="6009E7B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p>
    <w:p w14:paraId="1D771ED8">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鉴于上述各成员单位经过友好协商，自愿组成</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（联合体名称）联合体，共同参加</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名称）（以下简称</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（项目名称）（以下简称合同）。现就联合体投标事宜订立如下协议：</w:t>
      </w:r>
    </w:p>
    <w:p w14:paraId="6D1EAA4D">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（某成员单位名称）为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（联合体名称）牵头人。</w:t>
      </w:r>
    </w:p>
    <w:p w14:paraId="5EC2B167">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2、在本项目投标阶段，联合体牵头人合法代表联合体各成员负责本</w:t>
      </w:r>
      <w:r>
        <w:rPr>
          <w:rFonts w:hint="eastAsia" w:ascii="新宋体" w:hAnsi="新宋体" w:eastAsia="新宋体" w:cs="新宋体"/>
          <w:color w:val="auto"/>
          <w:sz w:val="22"/>
          <w:szCs w:val="22"/>
          <w:highlight w:val="none"/>
          <w:lang w:eastAsia="zh-CN"/>
        </w:rPr>
        <w:t>项目</w:t>
      </w:r>
      <w:r>
        <w:rPr>
          <w:rFonts w:hint="eastAsia" w:ascii="新宋体" w:hAnsi="新宋体" w:eastAsia="新宋体" w:cs="新宋体"/>
          <w:color w:val="auto"/>
          <w:sz w:val="22"/>
          <w:szCs w:val="22"/>
          <w:highlight w:val="none"/>
        </w:rPr>
        <w:t>投标文件编制活动，代表联合体提交和接收相关的资料、信息及指示，并处理投标和中标有关的一切事务；联合体中标后，联合体牵头人负责合同订立和合同实施阶段的主办、组织和协调工作。</w:t>
      </w:r>
    </w:p>
    <w:p w14:paraId="306672C0">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3、联合体将严格按照招标文件的各项要求，递交投标文件，履行投标义务和中标后的合同，共同承担合同规定的一切义务和责任，联合体各成员单位按照内部职责的划分，承担各自所负的责任和风险，并向</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承担连带责任。</w:t>
      </w:r>
    </w:p>
    <w:p w14:paraId="76F2C7A0">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4、联合体各成员单位内部的职责分工如下：</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p>
    <w:p w14:paraId="575AF9B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按照本条上述分工，联合体成员单位出资比例如下：</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p>
    <w:p w14:paraId="6B32F002">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5、联合体中标后，本联合体协议是合同的附件，对联合体各成员单位有合同约束力。</w:t>
      </w:r>
    </w:p>
    <w:p w14:paraId="1EEA30B2">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6、本协议书自签署之日起生效，联合体未中标或者中标时合同履行完毕后自动失效。</w:t>
      </w:r>
    </w:p>
    <w:p w14:paraId="67927A83">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7、本协议书一式</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份，联合体成员和</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各执一份。</w:t>
      </w:r>
    </w:p>
    <w:p w14:paraId="741A5A2E">
      <w:pPr>
        <w:keepNext w:val="0"/>
        <w:keepLines w:val="0"/>
        <w:pageBreakBefore w:val="0"/>
        <w:widowControl w:val="0"/>
        <w:kinsoku/>
        <w:wordWrap/>
        <w:overflowPunct/>
        <w:topLinePunct w:val="0"/>
        <w:autoSpaceDE/>
        <w:autoSpaceDN/>
        <w:bidi w:val="0"/>
        <w:adjustRightInd/>
        <w:snapToGrid/>
        <w:spacing w:line="460" w:lineRule="exact"/>
        <w:ind w:firstLine="2785" w:firstLineChars="1266"/>
        <w:textAlignment w:val="auto"/>
        <w:rPr>
          <w:rFonts w:hint="eastAsia" w:ascii="新宋体" w:hAnsi="新宋体" w:eastAsia="新宋体" w:cs="新宋体"/>
          <w:color w:val="auto"/>
          <w:sz w:val="22"/>
          <w:szCs w:val="22"/>
          <w:highlight w:val="none"/>
        </w:rPr>
      </w:pPr>
    </w:p>
    <w:p w14:paraId="0FDA6B80">
      <w:pPr>
        <w:keepNext w:val="0"/>
        <w:keepLines w:val="0"/>
        <w:pageBreakBefore w:val="0"/>
        <w:widowControl w:val="0"/>
        <w:kinsoku/>
        <w:wordWrap/>
        <w:overflowPunct/>
        <w:topLinePunct w:val="0"/>
        <w:autoSpaceDE/>
        <w:autoSpaceDN/>
        <w:bidi w:val="0"/>
        <w:adjustRightInd/>
        <w:snapToGrid/>
        <w:spacing w:line="460" w:lineRule="exact"/>
        <w:ind w:firstLine="2785" w:firstLineChars="1266"/>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牵头人名称：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（盖单位公章）</w:t>
      </w:r>
    </w:p>
    <w:p w14:paraId="54CD5053">
      <w:pPr>
        <w:keepNext w:val="0"/>
        <w:keepLines w:val="0"/>
        <w:pageBreakBefore w:val="0"/>
        <w:widowControl w:val="0"/>
        <w:kinsoku/>
        <w:wordWrap/>
        <w:overflowPunct/>
        <w:topLinePunct w:val="0"/>
        <w:autoSpaceDE/>
        <w:autoSpaceDN/>
        <w:bidi w:val="0"/>
        <w:adjustRightInd/>
        <w:snapToGrid/>
        <w:spacing w:line="460" w:lineRule="exact"/>
        <w:ind w:firstLine="1100" w:firstLineChars="5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或授权代表：</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（签字或盖章）</w:t>
      </w:r>
    </w:p>
    <w:p w14:paraId="7F764626">
      <w:pPr>
        <w:keepNext w:val="0"/>
        <w:keepLines w:val="0"/>
        <w:pageBreakBefore w:val="0"/>
        <w:widowControl w:val="0"/>
        <w:kinsoku/>
        <w:wordWrap/>
        <w:overflowPunct/>
        <w:topLinePunct w:val="0"/>
        <w:autoSpaceDE/>
        <w:autoSpaceDN/>
        <w:bidi w:val="0"/>
        <w:adjustRightInd/>
        <w:snapToGrid/>
        <w:spacing w:line="460" w:lineRule="exact"/>
        <w:ind w:firstLine="2785" w:firstLineChars="1266"/>
        <w:textAlignment w:val="auto"/>
        <w:rPr>
          <w:rFonts w:hint="eastAsia" w:ascii="新宋体" w:hAnsi="新宋体" w:eastAsia="新宋体" w:cs="新宋体"/>
          <w:color w:val="auto"/>
          <w:sz w:val="22"/>
          <w:szCs w:val="22"/>
          <w:highlight w:val="none"/>
        </w:rPr>
      </w:pPr>
    </w:p>
    <w:p w14:paraId="08FC665B">
      <w:pPr>
        <w:keepNext w:val="0"/>
        <w:keepLines w:val="0"/>
        <w:pageBreakBefore w:val="0"/>
        <w:widowControl w:val="0"/>
        <w:kinsoku/>
        <w:wordWrap/>
        <w:overflowPunct/>
        <w:topLinePunct w:val="0"/>
        <w:autoSpaceDE/>
        <w:autoSpaceDN/>
        <w:bidi w:val="0"/>
        <w:adjustRightInd/>
        <w:snapToGrid/>
        <w:spacing w:line="460" w:lineRule="exact"/>
        <w:ind w:firstLine="2785" w:firstLineChars="1266"/>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联合体</w:t>
      </w:r>
      <w:r>
        <w:rPr>
          <w:rFonts w:hint="eastAsia" w:ascii="新宋体" w:hAnsi="新宋体" w:eastAsia="新宋体" w:cs="新宋体"/>
          <w:color w:val="auto"/>
          <w:sz w:val="22"/>
          <w:szCs w:val="22"/>
          <w:highlight w:val="none"/>
        </w:rPr>
        <w:t>成员名称：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（盖单位公章）</w:t>
      </w:r>
    </w:p>
    <w:p w14:paraId="26E383ED">
      <w:pPr>
        <w:keepNext w:val="0"/>
        <w:keepLines w:val="0"/>
        <w:pageBreakBefore w:val="0"/>
        <w:widowControl w:val="0"/>
        <w:kinsoku/>
        <w:wordWrap/>
        <w:overflowPunct/>
        <w:topLinePunct w:val="0"/>
        <w:autoSpaceDE/>
        <w:autoSpaceDN/>
        <w:bidi w:val="0"/>
        <w:adjustRightInd/>
        <w:snapToGrid/>
        <w:spacing w:line="460" w:lineRule="exact"/>
        <w:ind w:firstLine="1100" w:firstLineChars="5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或授权代表：</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（签字或盖章）</w:t>
      </w:r>
    </w:p>
    <w:p w14:paraId="3201895E">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月</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日</w:t>
      </w:r>
    </w:p>
    <w:p w14:paraId="15646AE1">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新宋体" w:hAnsi="新宋体" w:eastAsia="新宋体" w:cs="新宋体"/>
          <w:color w:val="auto"/>
          <w:sz w:val="22"/>
          <w:szCs w:val="22"/>
          <w:highlight w:val="none"/>
        </w:rPr>
      </w:pPr>
    </w:p>
    <w:p w14:paraId="696C7DF8">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新宋体" w:hAnsi="新宋体" w:eastAsia="新宋体" w:cs="新宋体"/>
          <w:color w:val="auto"/>
          <w:sz w:val="22"/>
          <w:szCs w:val="22"/>
          <w:highlight w:val="none"/>
        </w:rPr>
      </w:pPr>
    </w:p>
    <w:p w14:paraId="181B842F">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备注：1.本协议书由授权代表签字或盖章的，应附</w:t>
      </w: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签字或盖章的授权委托书。</w:t>
      </w:r>
    </w:p>
    <w:p w14:paraId="1E270721">
      <w:pPr>
        <w:pStyle w:val="51"/>
        <w:ind w:left="0" w:leftChars="0" w:firstLine="0" w:firstLineChars="0"/>
        <w:rPr>
          <w:rFonts w:ascii="新宋体" w:hAnsi="新宋体" w:eastAsia="新宋体" w:cs="新宋体"/>
          <w:b/>
          <w:bCs/>
          <w:color w:val="auto"/>
          <w:sz w:val="22"/>
          <w:szCs w:val="22"/>
          <w:highlight w:val="none"/>
        </w:rPr>
      </w:pPr>
    </w:p>
    <w:bookmarkEnd w:id="36"/>
    <w:p w14:paraId="1EF937AA">
      <w:pP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br w:type="page"/>
      </w:r>
    </w:p>
    <w:p w14:paraId="76190FA5">
      <w:pPr>
        <w:pStyle w:val="23"/>
        <w:spacing w:line="460" w:lineRule="exact"/>
        <w:ind w:left="433" w:hanging="433" w:hangingChars="196"/>
        <w:outlineLvl w:val="1"/>
        <w:rPr>
          <w:rFonts w:ascii="新宋体" w:hAnsi="新宋体" w:eastAsia="新宋体" w:cs="新宋体"/>
          <w:b/>
          <w:color w:val="auto"/>
          <w:sz w:val="22"/>
          <w:szCs w:val="22"/>
          <w:highlight w:val="none"/>
        </w:rPr>
      </w:pPr>
      <w:bookmarkStart w:id="37" w:name="_Toc25115"/>
      <w:bookmarkStart w:id="38" w:name="_Toc19402"/>
      <w:r>
        <w:rPr>
          <w:rFonts w:hint="eastAsia" w:ascii="新宋体" w:hAnsi="新宋体" w:eastAsia="新宋体" w:cs="新宋体"/>
          <w:b/>
          <w:color w:val="auto"/>
          <w:sz w:val="22"/>
          <w:szCs w:val="22"/>
          <w:highlight w:val="none"/>
        </w:rPr>
        <w:t>附件二</w:t>
      </w:r>
      <w:bookmarkEnd w:id="37"/>
      <w:bookmarkEnd w:id="38"/>
    </w:p>
    <w:p w14:paraId="59A6B6F2">
      <w:pPr>
        <w:spacing w:line="400" w:lineRule="exact"/>
        <w:jc w:val="center"/>
        <w:outlineLvl w:val="2"/>
        <w:rPr>
          <w:rFonts w:ascii="新宋体" w:hAnsi="新宋体" w:eastAsia="新宋体" w:cs="新宋体"/>
          <w:b/>
          <w:bCs/>
          <w:color w:val="auto"/>
          <w:sz w:val="28"/>
          <w:szCs w:val="28"/>
          <w:highlight w:val="none"/>
        </w:rPr>
      </w:pPr>
      <w:bookmarkStart w:id="39" w:name="_Toc14325"/>
      <w:bookmarkStart w:id="40" w:name="_Toc16516"/>
      <w:r>
        <w:rPr>
          <w:rFonts w:hint="eastAsia" w:ascii="新宋体" w:hAnsi="新宋体" w:eastAsia="新宋体" w:cs="新宋体"/>
          <w:b/>
          <w:bCs/>
          <w:color w:val="auto"/>
          <w:sz w:val="28"/>
          <w:szCs w:val="28"/>
          <w:highlight w:val="none"/>
        </w:rPr>
        <w:t>报价文件</w:t>
      </w:r>
      <w:bookmarkEnd w:id="39"/>
    </w:p>
    <w:p w14:paraId="7094FAD3">
      <w:pPr>
        <w:pStyle w:val="23"/>
        <w:ind w:left="442" w:hanging="442"/>
        <w:rPr>
          <w:rFonts w:ascii="新宋体" w:hAnsi="新宋体" w:eastAsia="新宋体" w:cs="新宋体"/>
          <w:b/>
          <w:bCs/>
          <w:color w:val="auto"/>
          <w:sz w:val="22"/>
          <w:szCs w:val="22"/>
          <w:highlight w:val="none"/>
        </w:rPr>
      </w:pPr>
    </w:p>
    <w:p w14:paraId="4E436934">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1、投标报价一览表</w:t>
      </w:r>
    </w:p>
    <w:p w14:paraId="33C6D4B1">
      <w:pPr>
        <w:spacing w:line="360" w:lineRule="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项目编号：</w:t>
      </w:r>
      <w:r>
        <w:rPr>
          <w:rFonts w:hint="eastAsia" w:ascii="新宋体" w:hAnsi="新宋体" w:eastAsia="新宋体" w:cs="新宋体"/>
          <w:color w:val="auto"/>
          <w:sz w:val="22"/>
          <w:szCs w:val="22"/>
          <w:highlight w:val="none"/>
          <w:lang w:eastAsia="zh-CN"/>
        </w:rPr>
        <w:t>WZLCZB（L）-2025-03069</w:t>
      </w:r>
    </w:p>
    <w:p w14:paraId="73C3850A">
      <w:pPr>
        <w:spacing w:line="460" w:lineRule="exact"/>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color w:val="auto"/>
          <w:sz w:val="22"/>
          <w:szCs w:val="22"/>
          <w:highlight w:val="none"/>
        </w:rPr>
        <w:t>项目名称：</w:t>
      </w:r>
      <w:r>
        <w:rPr>
          <w:rFonts w:hint="eastAsia" w:ascii="新宋体" w:hAnsi="新宋体" w:eastAsia="新宋体" w:cs="新宋体"/>
          <w:color w:val="auto"/>
          <w:sz w:val="22"/>
          <w:szCs w:val="22"/>
          <w:highlight w:val="none"/>
          <w:lang w:eastAsia="zh-CN"/>
        </w:rPr>
        <w:t>多导睡眠监测系统、便携睡眠监测仪、呼吸机</w:t>
      </w:r>
    </w:p>
    <w:tbl>
      <w:tblPr>
        <w:tblStyle w:val="5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2200"/>
        <w:gridCol w:w="3275"/>
        <w:gridCol w:w="1250"/>
        <w:gridCol w:w="1263"/>
        <w:gridCol w:w="925"/>
      </w:tblGrid>
      <w:tr w14:paraId="2B8FE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7" w:type="dxa"/>
            <w:vAlign w:val="center"/>
          </w:tcPr>
          <w:p w14:paraId="12B6D7C5">
            <w:pPr>
              <w:spacing w:line="460" w:lineRule="exact"/>
              <w:jc w:val="center"/>
              <w:rPr>
                <w:rFonts w:hint="default"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序号</w:t>
            </w:r>
          </w:p>
        </w:tc>
        <w:tc>
          <w:tcPr>
            <w:tcW w:w="2200" w:type="dxa"/>
            <w:vAlign w:val="center"/>
          </w:tcPr>
          <w:p w14:paraId="680CE2B0">
            <w:pPr>
              <w:spacing w:line="46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w:t>
            </w:r>
            <w:r>
              <w:rPr>
                <w:rFonts w:hint="eastAsia" w:ascii="新宋体" w:hAnsi="新宋体" w:eastAsia="新宋体" w:cs="新宋体"/>
                <w:bCs/>
                <w:color w:val="auto"/>
                <w:sz w:val="22"/>
                <w:szCs w:val="22"/>
                <w:highlight w:val="none"/>
                <w:lang w:val="en-US" w:eastAsia="zh-CN"/>
              </w:rPr>
              <w:t>内容</w:t>
            </w:r>
          </w:p>
        </w:tc>
        <w:tc>
          <w:tcPr>
            <w:tcW w:w="3275" w:type="dxa"/>
            <w:vAlign w:val="center"/>
          </w:tcPr>
          <w:p w14:paraId="4D549268">
            <w:pPr>
              <w:spacing w:line="460" w:lineRule="exact"/>
              <w:jc w:val="center"/>
              <w:rPr>
                <w:rFonts w:ascii="新宋体" w:hAnsi="新宋体" w:eastAsia="新宋体" w:cs="新宋体"/>
                <w:color w:val="auto"/>
                <w:sz w:val="22"/>
                <w:highlight w:val="none"/>
              </w:rPr>
            </w:pPr>
            <w:r>
              <w:rPr>
                <w:rFonts w:hint="eastAsia" w:ascii="新宋体" w:hAnsi="新宋体" w:eastAsia="新宋体" w:cs="新宋体"/>
                <w:bCs/>
                <w:color w:val="auto"/>
                <w:sz w:val="22"/>
                <w:szCs w:val="22"/>
                <w:highlight w:val="none"/>
              </w:rPr>
              <w:t>投标报价（元）</w:t>
            </w:r>
          </w:p>
        </w:tc>
        <w:tc>
          <w:tcPr>
            <w:tcW w:w="1250" w:type="dxa"/>
            <w:vAlign w:val="center"/>
          </w:tcPr>
          <w:p w14:paraId="2C4495AA">
            <w:pPr>
              <w:spacing w:line="460" w:lineRule="exact"/>
              <w:jc w:val="cente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交货时间</w:t>
            </w:r>
          </w:p>
        </w:tc>
        <w:tc>
          <w:tcPr>
            <w:tcW w:w="1263" w:type="dxa"/>
            <w:vAlign w:val="center"/>
          </w:tcPr>
          <w:p w14:paraId="22B6264A">
            <w:pPr>
              <w:spacing w:line="460" w:lineRule="exact"/>
              <w:jc w:val="cente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交货地点</w:t>
            </w:r>
          </w:p>
        </w:tc>
        <w:tc>
          <w:tcPr>
            <w:tcW w:w="925" w:type="dxa"/>
            <w:vAlign w:val="center"/>
          </w:tcPr>
          <w:p w14:paraId="2EF80860">
            <w:pPr>
              <w:spacing w:line="460" w:lineRule="exact"/>
              <w:jc w:val="center"/>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备注</w:t>
            </w:r>
          </w:p>
        </w:tc>
      </w:tr>
      <w:tr w14:paraId="23441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827" w:type="dxa"/>
            <w:vMerge w:val="restart"/>
            <w:vAlign w:val="center"/>
          </w:tcPr>
          <w:p w14:paraId="76FA0798">
            <w:pPr>
              <w:spacing w:line="460" w:lineRule="exact"/>
              <w:jc w:val="center"/>
              <w:rPr>
                <w:rFonts w:hint="eastAsia"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1</w:t>
            </w:r>
          </w:p>
        </w:tc>
        <w:tc>
          <w:tcPr>
            <w:tcW w:w="2200" w:type="dxa"/>
            <w:vMerge w:val="restart"/>
            <w:vAlign w:val="center"/>
          </w:tcPr>
          <w:p w14:paraId="0B45C64D">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多导睡眠监测系统</w:t>
            </w:r>
          </w:p>
        </w:tc>
        <w:tc>
          <w:tcPr>
            <w:tcW w:w="3275" w:type="dxa"/>
            <w:vAlign w:val="center"/>
          </w:tcPr>
          <w:p w14:paraId="7D12C874">
            <w:pPr>
              <w:spacing w:line="46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大写：</w:t>
            </w:r>
          </w:p>
        </w:tc>
        <w:tc>
          <w:tcPr>
            <w:tcW w:w="1250" w:type="dxa"/>
            <w:vMerge w:val="restart"/>
            <w:vAlign w:val="center"/>
          </w:tcPr>
          <w:p w14:paraId="5A054653">
            <w:pPr>
              <w:spacing w:line="460" w:lineRule="exact"/>
              <w:rPr>
                <w:rFonts w:ascii="新宋体" w:hAnsi="新宋体" w:eastAsia="新宋体" w:cs="新宋体"/>
                <w:color w:val="auto"/>
                <w:sz w:val="22"/>
                <w:highlight w:val="none"/>
              </w:rPr>
            </w:pPr>
          </w:p>
        </w:tc>
        <w:tc>
          <w:tcPr>
            <w:tcW w:w="1263" w:type="dxa"/>
            <w:vMerge w:val="restart"/>
            <w:vAlign w:val="center"/>
          </w:tcPr>
          <w:p w14:paraId="1E02D8E9">
            <w:pPr>
              <w:spacing w:line="460" w:lineRule="exact"/>
              <w:rPr>
                <w:rFonts w:ascii="新宋体" w:hAnsi="新宋体" w:eastAsia="新宋体" w:cs="新宋体"/>
                <w:color w:val="auto"/>
                <w:sz w:val="22"/>
                <w:highlight w:val="none"/>
              </w:rPr>
            </w:pPr>
          </w:p>
        </w:tc>
        <w:tc>
          <w:tcPr>
            <w:tcW w:w="925" w:type="dxa"/>
            <w:vMerge w:val="restart"/>
            <w:vAlign w:val="center"/>
          </w:tcPr>
          <w:p w14:paraId="2DF3EB40">
            <w:pPr>
              <w:spacing w:line="460" w:lineRule="exact"/>
              <w:jc w:val="center"/>
              <w:rPr>
                <w:rFonts w:ascii="新宋体" w:hAnsi="新宋体" w:eastAsia="新宋体" w:cs="新宋体"/>
                <w:color w:val="auto"/>
                <w:sz w:val="22"/>
                <w:highlight w:val="none"/>
              </w:rPr>
            </w:pPr>
          </w:p>
        </w:tc>
      </w:tr>
      <w:tr w14:paraId="7D517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7" w:type="dxa"/>
            <w:vMerge w:val="continue"/>
            <w:vAlign w:val="center"/>
          </w:tcPr>
          <w:p w14:paraId="7569D3B1">
            <w:pPr>
              <w:spacing w:line="460" w:lineRule="exact"/>
              <w:jc w:val="center"/>
              <w:rPr>
                <w:rFonts w:ascii="新宋体" w:hAnsi="新宋体" w:eastAsia="新宋体" w:cs="新宋体"/>
                <w:color w:val="auto"/>
                <w:sz w:val="22"/>
                <w:highlight w:val="none"/>
              </w:rPr>
            </w:pPr>
          </w:p>
        </w:tc>
        <w:tc>
          <w:tcPr>
            <w:tcW w:w="2200" w:type="dxa"/>
            <w:vMerge w:val="continue"/>
            <w:vAlign w:val="center"/>
          </w:tcPr>
          <w:p w14:paraId="320A4586">
            <w:pPr>
              <w:spacing w:line="460" w:lineRule="exact"/>
              <w:jc w:val="center"/>
              <w:rPr>
                <w:rFonts w:ascii="新宋体" w:hAnsi="新宋体" w:eastAsia="新宋体" w:cs="新宋体"/>
                <w:color w:val="auto"/>
                <w:sz w:val="22"/>
                <w:highlight w:val="none"/>
              </w:rPr>
            </w:pPr>
          </w:p>
        </w:tc>
        <w:tc>
          <w:tcPr>
            <w:tcW w:w="3275" w:type="dxa"/>
            <w:vAlign w:val="center"/>
          </w:tcPr>
          <w:p w14:paraId="7B4596C6">
            <w:pPr>
              <w:spacing w:line="46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小写：</w:t>
            </w:r>
          </w:p>
        </w:tc>
        <w:tc>
          <w:tcPr>
            <w:tcW w:w="1250" w:type="dxa"/>
            <w:vMerge w:val="continue"/>
            <w:vAlign w:val="center"/>
          </w:tcPr>
          <w:p w14:paraId="461298B6">
            <w:pPr>
              <w:spacing w:line="460" w:lineRule="exact"/>
              <w:rPr>
                <w:rFonts w:ascii="新宋体" w:hAnsi="新宋体" w:eastAsia="新宋体" w:cs="新宋体"/>
                <w:color w:val="auto"/>
                <w:sz w:val="22"/>
                <w:highlight w:val="none"/>
              </w:rPr>
            </w:pPr>
          </w:p>
        </w:tc>
        <w:tc>
          <w:tcPr>
            <w:tcW w:w="1263" w:type="dxa"/>
            <w:vMerge w:val="continue"/>
            <w:vAlign w:val="center"/>
          </w:tcPr>
          <w:p w14:paraId="4F6FEDE6">
            <w:pPr>
              <w:spacing w:line="460" w:lineRule="exact"/>
              <w:rPr>
                <w:rFonts w:ascii="新宋体" w:hAnsi="新宋体" w:eastAsia="新宋体" w:cs="新宋体"/>
                <w:color w:val="auto"/>
                <w:sz w:val="22"/>
                <w:highlight w:val="none"/>
              </w:rPr>
            </w:pPr>
          </w:p>
        </w:tc>
        <w:tc>
          <w:tcPr>
            <w:tcW w:w="925" w:type="dxa"/>
            <w:vMerge w:val="continue"/>
            <w:vAlign w:val="center"/>
          </w:tcPr>
          <w:p w14:paraId="577287AC">
            <w:pPr>
              <w:spacing w:line="460" w:lineRule="exact"/>
              <w:jc w:val="center"/>
              <w:rPr>
                <w:rFonts w:ascii="新宋体" w:hAnsi="新宋体" w:eastAsia="新宋体" w:cs="新宋体"/>
                <w:color w:val="auto"/>
                <w:sz w:val="22"/>
                <w:highlight w:val="none"/>
              </w:rPr>
            </w:pPr>
          </w:p>
        </w:tc>
      </w:tr>
      <w:tr w14:paraId="3EE4A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7" w:type="dxa"/>
            <w:vMerge w:val="restart"/>
            <w:vAlign w:val="center"/>
          </w:tcPr>
          <w:p w14:paraId="39D7C7C3">
            <w:pPr>
              <w:spacing w:line="460" w:lineRule="exact"/>
              <w:jc w:val="center"/>
              <w:rPr>
                <w:rFonts w:hint="eastAsia"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2</w:t>
            </w:r>
          </w:p>
        </w:tc>
        <w:tc>
          <w:tcPr>
            <w:tcW w:w="2200" w:type="dxa"/>
            <w:vMerge w:val="restart"/>
            <w:vAlign w:val="center"/>
          </w:tcPr>
          <w:p w14:paraId="76199C00">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便携睡眠监测仪</w:t>
            </w:r>
          </w:p>
        </w:tc>
        <w:tc>
          <w:tcPr>
            <w:tcW w:w="3275" w:type="dxa"/>
            <w:vAlign w:val="center"/>
          </w:tcPr>
          <w:p w14:paraId="60859C9D">
            <w:pPr>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大写：</w:t>
            </w:r>
          </w:p>
        </w:tc>
        <w:tc>
          <w:tcPr>
            <w:tcW w:w="1250" w:type="dxa"/>
            <w:vMerge w:val="continue"/>
            <w:vAlign w:val="center"/>
          </w:tcPr>
          <w:p w14:paraId="78054C64">
            <w:pPr>
              <w:spacing w:line="460" w:lineRule="exact"/>
              <w:rPr>
                <w:rFonts w:ascii="新宋体" w:hAnsi="新宋体" w:eastAsia="新宋体" w:cs="新宋体"/>
                <w:color w:val="auto"/>
                <w:sz w:val="22"/>
                <w:highlight w:val="none"/>
              </w:rPr>
            </w:pPr>
          </w:p>
        </w:tc>
        <w:tc>
          <w:tcPr>
            <w:tcW w:w="1263" w:type="dxa"/>
            <w:vMerge w:val="continue"/>
            <w:vAlign w:val="center"/>
          </w:tcPr>
          <w:p w14:paraId="56B53CB2">
            <w:pPr>
              <w:spacing w:line="460" w:lineRule="exact"/>
              <w:rPr>
                <w:rFonts w:ascii="新宋体" w:hAnsi="新宋体" w:eastAsia="新宋体" w:cs="新宋体"/>
                <w:color w:val="auto"/>
                <w:sz w:val="22"/>
                <w:highlight w:val="none"/>
              </w:rPr>
            </w:pPr>
          </w:p>
        </w:tc>
        <w:tc>
          <w:tcPr>
            <w:tcW w:w="925" w:type="dxa"/>
            <w:vMerge w:val="continue"/>
            <w:vAlign w:val="center"/>
          </w:tcPr>
          <w:p w14:paraId="3E84B177">
            <w:pPr>
              <w:spacing w:line="460" w:lineRule="exact"/>
              <w:jc w:val="center"/>
              <w:rPr>
                <w:rFonts w:ascii="新宋体" w:hAnsi="新宋体" w:eastAsia="新宋体" w:cs="新宋体"/>
                <w:color w:val="auto"/>
                <w:sz w:val="22"/>
                <w:highlight w:val="none"/>
              </w:rPr>
            </w:pPr>
          </w:p>
        </w:tc>
      </w:tr>
      <w:tr w14:paraId="2044C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7" w:type="dxa"/>
            <w:vMerge w:val="continue"/>
            <w:vAlign w:val="center"/>
          </w:tcPr>
          <w:p w14:paraId="67306388">
            <w:pPr>
              <w:spacing w:line="460" w:lineRule="exact"/>
              <w:jc w:val="center"/>
              <w:rPr>
                <w:rFonts w:hint="eastAsia" w:ascii="新宋体" w:hAnsi="新宋体" w:eastAsia="新宋体" w:cs="新宋体"/>
                <w:color w:val="auto"/>
                <w:sz w:val="22"/>
                <w:szCs w:val="22"/>
                <w:highlight w:val="none"/>
                <w:lang w:eastAsia="zh-CN"/>
              </w:rPr>
            </w:pPr>
          </w:p>
        </w:tc>
        <w:tc>
          <w:tcPr>
            <w:tcW w:w="2200" w:type="dxa"/>
            <w:vMerge w:val="continue"/>
            <w:vAlign w:val="center"/>
          </w:tcPr>
          <w:p w14:paraId="7339628C">
            <w:pPr>
              <w:spacing w:line="460" w:lineRule="exact"/>
              <w:jc w:val="center"/>
              <w:rPr>
                <w:rFonts w:hint="eastAsia" w:ascii="新宋体" w:hAnsi="新宋体" w:eastAsia="新宋体" w:cs="新宋体"/>
                <w:color w:val="auto"/>
                <w:sz w:val="22"/>
                <w:szCs w:val="22"/>
                <w:highlight w:val="none"/>
                <w:lang w:eastAsia="zh-CN"/>
              </w:rPr>
            </w:pPr>
          </w:p>
        </w:tc>
        <w:tc>
          <w:tcPr>
            <w:tcW w:w="3275" w:type="dxa"/>
            <w:vAlign w:val="center"/>
          </w:tcPr>
          <w:p w14:paraId="560F9F19">
            <w:pPr>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小写：</w:t>
            </w:r>
          </w:p>
        </w:tc>
        <w:tc>
          <w:tcPr>
            <w:tcW w:w="1250" w:type="dxa"/>
            <w:vMerge w:val="continue"/>
            <w:vAlign w:val="center"/>
          </w:tcPr>
          <w:p w14:paraId="651EBE14">
            <w:pPr>
              <w:spacing w:line="460" w:lineRule="exact"/>
              <w:rPr>
                <w:rFonts w:ascii="新宋体" w:hAnsi="新宋体" w:eastAsia="新宋体" w:cs="新宋体"/>
                <w:color w:val="auto"/>
                <w:sz w:val="22"/>
                <w:highlight w:val="none"/>
              </w:rPr>
            </w:pPr>
          </w:p>
        </w:tc>
        <w:tc>
          <w:tcPr>
            <w:tcW w:w="1263" w:type="dxa"/>
            <w:vMerge w:val="continue"/>
            <w:vAlign w:val="center"/>
          </w:tcPr>
          <w:p w14:paraId="01E68CAE">
            <w:pPr>
              <w:spacing w:line="460" w:lineRule="exact"/>
              <w:rPr>
                <w:rFonts w:ascii="新宋体" w:hAnsi="新宋体" w:eastAsia="新宋体" w:cs="新宋体"/>
                <w:color w:val="auto"/>
                <w:sz w:val="22"/>
                <w:highlight w:val="none"/>
              </w:rPr>
            </w:pPr>
          </w:p>
        </w:tc>
        <w:tc>
          <w:tcPr>
            <w:tcW w:w="925" w:type="dxa"/>
            <w:vMerge w:val="continue"/>
            <w:vAlign w:val="center"/>
          </w:tcPr>
          <w:p w14:paraId="01673D9C">
            <w:pPr>
              <w:spacing w:line="460" w:lineRule="exact"/>
              <w:jc w:val="center"/>
              <w:rPr>
                <w:rFonts w:ascii="新宋体" w:hAnsi="新宋体" w:eastAsia="新宋体" w:cs="新宋体"/>
                <w:color w:val="auto"/>
                <w:sz w:val="22"/>
                <w:highlight w:val="none"/>
              </w:rPr>
            </w:pPr>
          </w:p>
        </w:tc>
      </w:tr>
      <w:tr w14:paraId="364C7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7" w:type="dxa"/>
            <w:vMerge w:val="restart"/>
            <w:vAlign w:val="center"/>
          </w:tcPr>
          <w:p w14:paraId="4A0E72D9">
            <w:pPr>
              <w:spacing w:line="460" w:lineRule="exact"/>
              <w:jc w:val="center"/>
              <w:rPr>
                <w:rFonts w:hint="eastAsia"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3</w:t>
            </w:r>
          </w:p>
        </w:tc>
        <w:tc>
          <w:tcPr>
            <w:tcW w:w="2200" w:type="dxa"/>
            <w:vMerge w:val="restart"/>
            <w:vAlign w:val="center"/>
          </w:tcPr>
          <w:p w14:paraId="425F7517">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呼吸机</w:t>
            </w:r>
          </w:p>
        </w:tc>
        <w:tc>
          <w:tcPr>
            <w:tcW w:w="3275" w:type="dxa"/>
            <w:vAlign w:val="center"/>
          </w:tcPr>
          <w:p w14:paraId="43CF511D">
            <w:pPr>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大写：</w:t>
            </w:r>
          </w:p>
        </w:tc>
        <w:tc>
          <w:tcPr>
            <w:tcW w:w="1250" w:type="dxa"/>
            <w:vMerge w:val="continue"/>
            <w:vAlign w:val="center"/>
          </w:tcPr>
          <w:p w14:paraId="43FDA1EA">
            <w:pPr>
              <w:spacing w:line="460" w:lineRule="exact"/>
              <w:rPr>
                <w:rFonts w:ascii="新宋体" w:hAnsi="新宋体" w:eastAsia="新宋体" w:cs="新宋体"/>
                <w:color w:val="auto"/>
                <w:sz w:val="22"/>
                <w:highlight w:val="none"/>
              </w:rPr>
            </w:pPr>
          </w:p>
        </w:tc>
        <w:tc>
          <w:tcPr>
            <w:tcW w:w="1263" w:type="dxa"/>
            <w:vMerge w:val="continue"/>
            <w:vAlign w:val="center"/>
          </w:tcPr>
          <w:p w14:paraId="5AE7584A">
            <w:pPr>
              <w:spacing w:line="460" w:lineRule="exact"/>
              <w:rPr>
                <w:rFonts w:ascii="新宋体" w:hAnsi="新宋体" w:eastAsia="新宋体" w:cs="新宋体"/>
                <w:color w:val="auto"/>
                <w:sz w:val="22"/>
                <w:highlight w:val="none"/>
              </w:rPr>
            </w:pPr>
          </w:p>
        </w:tc>
        <w:tc>
          <w:tcPr>
            <w:tcW w:w="925" w:type="dxa"/>
            <w:vMerge w:val="continue"/>
            <w:vAlign w:val="center"/>
          </w:tcPr>
          <w:p w14:paraId="6296D9D7">
            <w:pPr>
              <w:spacing w:line="460" w:lineRule="exact"/>
              <w:jc w:val="center"/>
              <w:rPr>
                <w:rFonts w:ascii="新宋体" w:hAnsi="新宋体" w:eastAsia="新宋体" w:cs="新宋体"/>
                <w:color w:val="auto"/>
                <w:sz w:val="22"/>
                <w:highlight w:val="none"/>
              </w:rPr>
            </w:pPr>
          </w:p>
        </w:tc>
      </w:tr>
      <w:tr w14:paraId="15AE4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7" w:type="dxa"/>
            <w:vMerge w:val="continue"/>
            <w:vAlign w:val="center"/>
          </w:tcPr>
          <w:p w14:paraId="77A3BD46">
            <w:pPr>
              <w:spacing w:line="460" w:lineRule="exact"/>
              <w:jc w:val="center"/>
              <w:rPr>
                <w:rFonts w:hint="eastAsia" w:ascii="新宋体" w:hAnsi="新宋体" w:eastAsia="新宋体" w:cs="新宋体"/>
                <w:color w:val="auto"/>
                <w:sz w:val="22"/>
                <w:szCs w:val="22"/>
                <w:highlight w:val="none"/>
                <w:lang w:eastAsia="zh-CN"/>
              </w:rPr>
            </w:pPr>
          </w:p>
        </w:tc>
        <w:tc>
          <w:tcPr>
            <w:tcW w:w="2200" w:type="dxa"/>
            <w:vMerge w:val="continue"/>
            <w:vAlign w:val="center"/>
          </w:tcPr>
          <w:p w14:paraId="0644879F">
            <w:pPr>
              <w:spacing w:line="460" w:lineRule="exact"/>
              <w:jc w:val="center"/>
              <w:rPr>
                <w:rFonts w:hint="eastAsia" w:ascii="新宋体" w:hAnsi="新宋体" w:eastAsia="新宋体" w:cs="新宋体"/>
                <w:color w:val="auto"/>
                <w:sz w:val="22"/>
                <w:szCs w:val="22"/>
                <w:highlight w:val="none"/>
                <w:lang w:eastAsia="zh-CN"/>
              </w:rPr>
            </w:pPr>
          </w:p>
        </w:tc>
        <w:tc>
          <w:tcPr>
            <w:tcW w:w="3275" w:type="dxa"/>
            <w:vAlign w:val="center"/>
          </w:tcPr>
          <w:p w14:paraId="4DC4C9B4">
            <w:pPr>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小写：</w:t>
            </w:r>
          </w:p>
        </w:tc>
        <w:tc>
          <w:tcPr>
            <w:tcW w:w="1250" w:type="dxa"/>
            <w:vMerge w:val="continue"/>
            <w:vAlign w:val="center"/>
          </w:tcPr>
          <w:p w14:paraId="2D850DDB">
            <w:pPr>
              <w:spacing w:line="460" w:lineRule="exact"/>
              <w:rPr>
                <w:rFonts w:ascii="新宋体" w:hAnsi="新宋体" w:eastAsia="新宋体" w:cs="新宋体"/>
                <w:color w:val="auto"/>
                <w:sz w:val="22"/>
                <w:highlight w:val="none"/>
              </w:rPr>
            </w:pPr>
          </w:p>
        </w:tc>
        <w:tc>
          <w:tcPr>
            <w:tcW w:w="1263" w:type="dxa"/>
            <w:vMerge w:val="continue"/>
            <w:vAlign w:val="center"/>
          </w:tcPr>
          <w:p w14:paraId="7D500D85">
            <w:pPr>
              <w:spacing w:line="460" w:lineRule="exact"/>
              <w:rPr>
                <w:rFonts w:ascii="新宋体" w:hAnsi="新宋体" w:eastAsia="新宋体" w:cs="新宋体"/>
                <w:color w:val="auto"/>
                <w:sz w:val="22"/>
                <w:highlight w:val="none"/>
              </w:rPr>
            </w:pPr>
          </w:p>
        </w:tc>
        <w:tc>
          <w:tcPr>
            <w:tcW w:w="925" w:type="dxa"/>
            <w:vMerge w:val="continue"/>
            <w:vAlign w:val="center"/>
          </w:tcPr>
          <w:p w14:paraId="17F08258">
            <w:pPr>
              <w:spacing w:line="460" w:lineRule="exact"/>
              <w:jc w:val="center"/>
              <w:rPr>
                <w:rFonts w:ascii="新宋体" w:hAnsi="新宋体" w:eastAsia="新宋体" w:cs="新宋体"/>
                <w:color w:val="auto"/>
                <w:sz w:val="22"/>
                <w:highlight w:val="none"/>
              </w:rPr>
            </w:pPr>
          </w:p>
        </w:tc>
      </w:tr>
      <w:tr w14:paraId="6306A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7" w:type="dxa"/>
            <w:vMerge w:val="restart"/>
            <w:vAlign w:val="center"/>
          </w:tcPr>
          <w:p w14:paraId="0318AE01">
            <w:pPr>
              <w:spacing w:line="460" w:lineRule="exact"/>
              <w:jc w:val="center"/>
              <w:rPr>
                <w:rFonts w:hint="default"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4</w:t>
            </w:r>
          </w:p>
        </w:tc>
        <w:tc>
          <w:tcPr>
            <w:tcW w:w="2200" w:type="dxa"/>
            <w:vMerge w:val="restart"/>
            <w:vAlign w:val="center"/>
          </w:tcPr>
          <w:p w14:paraId="13B5D40E">
            <w:pPr>
              <w:spacing w:line="460" w:lineRule="exact"/>
              <w:jc w:val="center"/>
              <w:rPr>
                <w:rFonts w:hint="eastAsia"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合计（1+2+3）</w:t>
            </w:r>
          </w:p>
        </w:tc>
        <w:tc>
          <w:tcPr>
            <w:tcW w:w="3275" w:type="dxa"/>
            <w:vAlign w:val="center"/>
          </w:tcPr>
          <w:p w14:paraId="3B099208">
            <w:pPr>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大写：</w:t>
            </w:r>
          </w:p>
        </w:tc>
        <w:tc>
          <w:tcPr>
            <w:tcW w:w="1250" w:type="dxa"/>
            <w:vMerge w:val="continue"/>
            <w:vAlign w:val="center"/>
          </w:tcPr>
          <w:p w14:paraId="0FE184DB">
            <w:pPr>
              <w:spacing w:line="460" w:lineRule="exact"/>
              <w:rPr>
                <w:rFonts w:ascii="新宋体" w:hAnsi="新宋体" w:eastAsia="新宋体" w:cs="新宋体"/>
                <w:color w:val="auto"/>
                <w:sz w:val="22"/>
                <w:highlight w:val="none"/>
              </w:rPr>
            </w:pPr>
          </w:p>
        </w:tc>
        <w:tc>
          <w:tcPr>
            <w:tcW w:w="1263" w:type="dxa"/>
            <w:vMerge w:val="continue"/>
            <w:vAlign w:val="center"/>
          </w:tcPr>
          <w:p w14:paraId="682917D5">
            <w:pPr>
              <w:spacing w:line="460" w:lineRule="exact"/>
              <w:rPr>
                <w:rFonts w:ascii="新宋体" w:hAnsi="新宋体" w:eastAsia="新宋体" w:cs="新宋体"/>
                <w:color w:val="auto"/>
                <w:sz w:val="22"/>
                <w:highlight w:val="none"/>
              </w:rPr>
            </w:pPr>
          </w:p>
        </w:tc>
        <w:tc>
          <w:tcPr>
            <w:tcW w:w="925" w:type="dxa"/>
            <w:vMerge w:val="continue"/>
            <w:vAlign w:val="center"/>
          </w:tcPr>
          <w:p w14:paraId="62E97394">
            <w:pPr>
              <w:spacing w:line="460" w:lineRule="exact"/>
              <w:jc w:val="center"/>
              <w:rPr>
                <w:rFonts w:ascii="新宋体" w:hAnsi="新宋体" w:eastAsia="新宋体" w:cs="新宋体"/>
                <w:color w:val="auto"/>
                <w:sz w:val="22"/>
                <w:highlight w:val="none"/>
              </w:rPr>
            </w:pPr>
          </w:p>
        </w:tc>
      </w:tr>
      <w:tr w14:paraId="29610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7" w:type="dxa"/>
            <w:vMerge w:val="continue"/>
            <w:vAlign w:val="center"/>
          </w:tcPr>
          <w:p w14:paraId="6F454929">
            <w:pPr>
              <w:spacing w:line="460" w:lineRule="exact"/>
              <w:jc w:val="center"/>
              <w:rPr>
                <w:rFonts w:hint="eastAsia" w:ascii="新宋体" w:hAnsi="新宋体" w:eastAsia="新宋体" w:cs="新宋体"/>
                <w:color w:val="auto"/>
                <w:sz w:val="22"/>
                <w:highlight w:val="none"/>
                <w:lang w:val="en-US" w:eastAsia="zh-CN"/>
              </w:rPr>
            </w:pPr>
          </w:p>
        </w:tc>
        <w:tc>
          <w:tcPr>
            <w:tcW w:w="2200" w:type="dxa"/>
            <w:vMerge w:val="continue"/>
            <w:vAlign w:val="center"/>
          </w:tcPr>
          <w:p w14:paraId="31345497">
            <w:pPr>
              <w:spacing w:line="460" w:lineRule="exact"/>
              <w:jc w:val="center"/>
              <w:rPr>
                <w:rFonts w:hint="eastAsia" w:ascii="新宋体" w:hAnsi="新宋体" w:eastAsia="新宋体" w:cs="新宋体"/>
                <w:color w:val="auto"/>
                <w:sz w:val="22"/>
                <w:highlight w:val="none"/>
                <w:lang w:val="en-US" w:eastAsia="zh-CN"/>
              </w:rPr>
            </w:pPr>
          </w:p>
        </w:tc>
        <w:tc>
          <w:tcPr>
            <w:tcW w:w="3275" w:type="dxa"/>
            <w:vAlign w:val="center"/>
          </w:tcPr>
          <w:p w14:paraId="6E519811">
            <w:pPr>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小写：</w:t>
            </w:r>
          </w:p>
        </w:tc>
        <w:tc>
          <w:tcPr>
            <w:tcW w:w="1250" w:type="dxa"/>
            <w:vMerge w:val="continue"/>
            <w:vAlign w:val="center"/>
          </w:tcPr>
          <w:p w14:paraId="0E051DDA">
            <w:pPr>
              <w:spacing w:line="460" w:lineRule="exact"/>
              <w:rPr>
                <w:rFonts w:ascii="新宋体" w:hAnsi="新宋体" w:eastAsia="新宋体" w:cs="新宋体"/>
                <w:color w:val="auto"/>
                <w:sz w:val="22"/>
                <w:highlight w:val="none"/>
              </w:rPr>
            </w:pPr>
          </w:p>
        </w:tc>
        <w:tc>
          <w:tcPr>
            <w:tcW w:w="1263" w:type="dxa"/>
            <w:vMerge w:val="continue"/>
            <w:vAlign w:val="center"/>
          </w:tcPr>
          <w:p w14:paraId="6CA05010">
            <w:pPr>
              <w:spacing w:line="460" w:lineRule="exact"/>
              <w:rPr>
                <w:rFonts w:ascii="新宋体" w:hAnsi="新宋体" w:eastAsia="新宋体" w:cs="新宋体"/>
                <w:color w:val="auto"/>
                <w:sz w:val="22"/>
                <w:highlight w:val="none"/>
              </w:rPr>
            </w:pPr>
          </w:p>
        </w:tc>
        <w:tc>
          <w:tcPr>
            <w:tcW w:w="925" w:type="dxa"/>
            <w:vMerge w:val="continue"/>
            <w:vAlign w:val="center"/>
          </w:tcPr>
          <w:p w14:paraId="5AE65452">
            <w:pPr>
              <w:spacing w:line="460" w:lineRule="exact"/>
              <w:jc w:val="center"/>
              <w:rPr>
                <w:rFonts w:ascii="新宋体" w:hAnsi="新宋体" w:eastAsia="新宋体" w:cs="新宋体"/>
                <w:color w:val="auto"/>
                <w:sz w:val="22"/>
                <w:highlight w:val="none"/>
              </w:rPr>
            </w:pPr>
          </w:p>
        </w:tc>
      </w:tr>
    </w:tbl>
    <w:p w14:paraId="1F40A5AA">
      <w:pPr>
        <w:spacing w:line="460" w:lineRule="exact"/>
        <w:ind w:firstLine="541" w:firstLineChars="245"/>
        <w:rPr>
          <w:rFonts w:ascii="新宋体" w:hAnsi="新宋体" w:eastAsia="新宋体" w:cs="新宋体"/>
          <w:b/>
          <w:color w:val="auto"/>
          <w:sz w:val="22"/>
          <w:szCs w:val="22"/>
          <w:highlight w:val="none"/>
        </w:rPr>
      </w:pPr>
    </w:p>
    <w:p w14:paraId="4CE1086E">
      <w:pPr>
        <w:spacing w:line="460" w:lineRule="exact"/>
        <w:ind w:firstLine="541" w:firstLineChars="245"/>
        <w:rPr>
          <w:rFonts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t xml:space="preserve">说明  </w:t>
      </w:r>
      <w:r>
        <w:rPr>
          <w:rFonts w:hint="eastAsia" w:ascii="新宋体" w:hAnsi="新宋体" w:eastAsia="新宋体" w:cs="新宋体"/>
          <w:b/>
          <w:color w:val="auto"/>
          <w:sz w:val="22"/>
          <w:highlight w:val="none"/>
        </w:rPr>
        <w:t>1、此栏</w:t>
      </w:r>
      <w:r>
        <w:rPr>
          <w:rFonts w:hint="eastAsia" w:ascii="新宋体" w:hAnsi="新宋体" w:eastAsia="新宋体" w:cs="新宋体"/>
          <w:b/>
          <w:color w:val="auto"/>
          <w:sz w:val="22"/>
          <w:highlight w:val="none"/>
          <w:lang w:val="en-US" w:eastAsia="zh-CN"/>
        </w:rPr>
        <w:t>合计</w:t>
      </w:r>
      <w:r>
        <w:rPr>
          <w:rFonts w:hint="eastAsia" w:ascii="新宋体" w:hAnsi="新宋体" w:eastAsia="新宋体" w:cs="新宋体"/>
          <w:b/>
          <w:color w:val="auto"/>
          <w:sz w:val="22"/>
          <w:highlight w:val="none"/>
        </w:rPr>
        <w:t>报价应与附件</w:t>
      </w:r>
      <w:r>
        <w:rPr>
          <w:rFonts w:hint="eastAsia" w:ascii="新宋体" w:hAnsi="新宋体" w:eastAsia="新宋体" w:cs="新宋体"/>
          <w:b/>
          <w:color w:val="auto"/>
          <w:sz w:val="22"/>
          <w:highlight w:val="none"/>
          <w:lang w:val="en-US" w:eastAsia="zh-CN"/>
        </w:rPr>
        <w:t>二</w:t>
      </w:r>
      <w:r>
        <w:rPr>
          <w:rFonts w:hint="eastAsia" w:ascii="新宋体" w:hAnsi="新宋体" w:eastAsia="新宋体" w:cs="新宋体"/>
          <w:b/>
          <w:color w:val="auto"/>
          <w:sz w:val="22"/>
          <w:highlight w:val="none"/>
        </w:rPr>
        <w:t>中“2、</w:t>
      </w:r>
      <w:r>
        <w:rPr>
          <w:rFonts w:hint="eastAsia" w:ascii="新宋体" w:hAnsi="新宋体" w:eastAsia="新宋体" w:cs="新宋体"/>
          <w:b/>
          <w:color w:val="auto"/>
          <w:sz w:val="22"/>
          <w:highlight w:val="none"/>
          <w:lang w:val="zh-CN"/>
        </w:rPr>
        <w:t>投标分项报价表</w:t>
      </w:r>
      <w:r>
        <w:rPr>
          <w:rFonts w:hint="eastAsia" w:ascii="新宋体" w:hAnsi="新宋体" w:eastAsia="新宋体" w:cs="新宋体"/>
          <w:b/>
          <w:color w:val="auto"/>
          <w:sz w:val="22"/>
          <w:highlight w:val="none"/>
        </w:rPr>
        <w:t>”中的总计价相一致。</w:t>
      </w:r>
    </w:p>
    <w:p w14:paraId="2FDF5D11">
      <w:pPr>
        <w:spacing w:line="460" w:lineRule="exact"/>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2、不提供此表格将被视为没有实质性响应招标文件</w:t>
      </w:r>
    </w:p>
    <w:p w14:paraId="1AFA9973">
      <w:pPr>
        <w:spacing w:line="460" w:lineRule="exact"/>
        <w:ind w:left="532" w:leftChars="-171" w:hanging="891" w:hangingChars="405"/>
        <w:rPr>
          <w:rFonts w:ascii="新宋体" w:hAnsi="新宋体" w:eastAsia="新宋体" w:cs="新宋体"/>
          <w:color w:val="auto"/>
          <w:sz w:val="22"/>
          <w:szCs w:val="22"/>
          <w:highlight w:val="none"/>
        </w:rPr>
      </w:pPr>
    </w:p>
    <w:p w14:paraId="7360BD0E">
      <w:pPr>
        <w:rPr>
          <w:rFonts w:ascii="新宋体" w:hAnsi="新宋体" w:eastAsia="新宋体" w:cs="新宋体"/>
          <w:color w:val="auto"/>
          <w:highlight w:val="none"/>
        </w:rPr>
      </w:pPr>
    </w:p>
    <w:p w14:paraId="2292D5E7">
      <w:pPr>
        <w:spacing w:line="460" w:lineRule="exact"/>
        <w:ind w:firstLine="5500" w:firstLineChars="2500"/>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BE8C128">
      <w:pPr>
        <w:spacing w:line="460" w:lineRule="exact"/>
        <w:ind w:firstLine="5500" w:firstLineChars="2500"/>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A64EF52">
      <w:pPr>
        <w:spacing w:line="460" w:lineRule="exact"/>
        <w:ind w:firstLine="5500" w:firstLineChars="2500"/>
        <w:jc w:val="left"/>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w:t>日    期：</w:t>
      </w:r>
    </w:p>
    <w:p w14:paraId="381F9E20">
      <w:pPr>
        <w:pStyle w:val="51"/>
        <w:ind w:left="860" w:hanging="440"/>
        <w:rPr>
          <w:rFonts w:ascii="新宋体" w:hAnsi="新宋体" w:eastAsia="新宋体" w:cs="新宋体"/>
          <w:color w:val="auto"/>
          <w:sz w:val="22"/>
          <w:szCs w:val="22"/>
          <w:highlight w:val="none"/>
        </w:rPr>
      </w:pPr>
    </w:p>
    <w:p w14:paraId="1E82AA18">
      <w:pPr>
        <w:pStyle w:val="51"/>
        <w:ind w:left="860" w:hanging="440"/>
        <w:rPr>
          <w:rFonts w:ascii="新宋体" w:hAnsi="新宋体" w:eastAsia="新宋体" w:cs="新宋体"/>
          <w:color w:val="auto"/>
          <w:sz w:val="22"/>
          <w:szCs w:val="22"/>
          <w:highlight w:val="none"/>
        </w:rPr>
      </w:pPr>
    </w:p>
    <w:p w14:paraId="08F8717F">
      <w:pP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br w:type="page"/>
      </w:r>
    </w:p>
    <w:p w14:paraId="72E7861B">
      <w:pPr>
        <w:spacing w:line="40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2</w:t>
      </w:r>
      <w:r>
        <w:rPr>
          <w:rFonts w:hint="eastAsia" w:ascii="新宋体" w:hAnsi="新宋体" w:eastAsia="新宋体" w:cs="新宋体"/>
          <w:b/>
          <w:bCs/>
          <w:color w:val="auto"/>
          <w:sz w:val="28"/>
          <w:szCs w:val="28"/>
          <w:highlight w:val="none"/>
          <w:lang w:val="zh-CN"/>
        </w:rPr>
        <w:t>、投标分项报价表</w:t>
      </w:r>
    </w:p>
    <w:p w14:paraId="2C9EE1EF">
      <w:pPr>
        <w:spacing w:line="360" w:lineRule="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项目编号：</w:t>
      </w:r>
      <w:r>
        <w:rPr>
          <w:rFonts w:hint="eastAsia" w:ascii="新宋体" w:hAnsi="新宋体" w:eastAsia="新宋体" w:cs="新宋体"/>
          <w:color w:val="auto"/>
          <w:sz w:val="22"/>
          <w:szCs w:val="22"/>
          <w:highlight w:val="none"/>
          <w:lang w:eastAsia="zh-CN"/>
        </w:rPr>
        <w:t>WZLCZB（L）-2025-03069</w:t>
      </w:r>
    </w:p>
    <w:p w14:paraId="16F2EA71">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项目名称：</w:t>
      </w:r>
      <w:r>
        <w:rPr>
          <w:rFonts w:hint="eastAsia" w:ascii="新宋体" w:hAnsi="新宋体" w:eastAsia="新宋体" w:cs="新宋体"/>
          <w:color w:val="auto"/>
          <w:sz w:val="22"/>
          <w:szCs w:val="22"/>
          <w:highlight w:val="none"/>
          <w:lang w:eastAsia="zh-CN"/>
        </w:rPr>
        <w:t>多导睡眠监测系统、便携睡眠监测仪、呼吸机</w:t>
      </w:r>
    </w:p>
    <w:tbl>
      <w:tblPr>
        <w:tblStyle w:val="52"/>
        <w:tblW w:w="99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991"/>
        <w:gridCol w:w="1148"/>
        <w:gridCol w:w="1193"/>
        <w:gridCol w:w="1352"/>
      </w:tblGrid>
      <w:tr w14:paraId="5556F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14:paraId="05C0B553">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w:t>
            </w:r>
          </w:p>
        </w:tc>
        <w:tc>
          <w:tcPr>
            <w:tcW w:w="1605" w:type="dxa"/>
            <w:vAlign w:val="center"/>
          </w:tcPr>
          <w:p w14:paraId="0CE0F7C9">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1477" w:type="dxa"/>
            <w:vAlign w:val="center"/>
          </w:tcPr>
          <w:p w14:paraId="26FCC867">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品牌型号规格、产地</w:t>
            </w:r>
          </w:p>
        </w:tc>
        <w:tc>
          <w:tcPr>
            <w:tcW w:w="1570" w:type="dxa"/>
            <w:vAlign w:val="center"/>
          </w:tcPr>
          <w:p w14:paraId="01166CA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制造厂商名称</w:t>
            </w:r>
          </w:p>
        </w:tc>
        <w:tc>
          <w:tcPr>
            <w:tcW w:w="991" w:type="dxa"/>
            <w:vAlign w:val="center"/>
          </w:tcPr>
          <w:p w14:paraId="62807CB2">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148" w:type="dxa"/>
            <w:vAlign w:val="center"/>
          </w:tcPr>
          <w:p w14:paraId="2A7B4F6C">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出厂单价</w:t>
            </w:r>
          </w:p>
          <w:p w14:paraId="2CC90C4B">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193" w:type="dxa"/>
            <w:vAlign w:val="center"/>
          </w:tcPr>
          <w:p w14:paraId="609DE336">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总价</w:t>
            </w:r>
          </w:p>
          <w:p w14:paraId="27C600B3">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352" w:type="dxa"/>
            <w:vAlign w:val="center"/>
          </w:tcPr>
          <w:p w14:paraId="1F81B64F">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免费</w:t>
            </w:r>
          </w:p>
          <w:p w14:paraId="29EBAA10">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保修期</w:t>
            </w:r>
          </w:p>
        </w:tc>
      </w:tr>
      <w:tr w14:paraId="08CD0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1A7A9A33">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1</w:t>
            </w:r>
          </w:p>
        </w:tc>
        <w:tc>
          <w:tcPr>
            <w:tcW w:w="1605" w:type="dxa"/>
            <w:vAlign w:val="center"/>
          </w:tcPr>
          <w:p w14:paraId="5CCA6C2D">
            <w:pPr>
              <w:tabs>
                <w:tab w:val="left" w:pos="360"/>
              </w:tabs>
              <w:spacing w:line="460" w:lineRule="exact"/>
              <w:jc w:val="center"/>
              <w:rPr>
                <w:rFonts w:ascii="新宋体" w:hAnsi="新宋体" w:eastAsia="新宋体" w:cs="新宋体"/>
                <w:color w:val="auto"/>
                <w:sz w:val="22"/>
                <w:szCs w:val="22"/>
                <w:highlight w:val="none"/>
              </w:rPr>
            </w:pPr>
          </w:p>
        </w:tc>
        <w:tc>
          <w:tcPr>
            <w:tcW w:w="1477" w:type="dxa"/>
            <w:vAlign w:val="center"/>
          </w:tcPr>
          <w:p w14:paraId="70E40E05">
            <w:pPr>
              <w:spacing w:line="460" w:lineRule="exact"/>
              <w:jc w:val="center"/>
              <w:rPr>
                <w:rFonts w:ascii="新宋体" w:hAnsi="新宋体" w:eastAsia="新宋体" w:cs="新宋体"/>
                <w:color w:val="auto"/>
                <w:sz w:val="22"/>
                <w:szCs w:val="22"/>
                <w:highlight w:val="none"/>
              </w:rPr>
            </w:pPr>
          </w:p>
        </w:tc>
        <w:tc>
          <w:tcPr>
            <w:tcW w:w="1570" w:type="dxa"/>
            <w:vAlign w:val="center"/>
          </w:tcPr>
          <w:p w14:paraId="0268DA95">
            <w:pPr>
              <w:spacing w:line="460" w:lineRule="exact"/>
              <w:ind w:right="-11"/>
              <w:jc w:val="center"/>
              <w:rPr>
                <w:rFonts w:ascii="新宋体" w:hAnsi="新宋体" w:eastAsia="新宋体" w:cs="新宋体"/>
                <w:color w:val="auto"/>
                <w:sz w:val="22"/>
                <w:szCs w:val="22"/>
                <w:highlight w:val="none"/>
              </w:rPr>
            </w:pPr>
          </w:p>
        </w:tc>
        <w:tc>
          <w:tcPr>
            <w:tcW w:w="991" w:type="dxa"/>
            <w:vAlign w:val="center"/>
          </w:tcPr>
          <w:p w14:paraId="146D1556">
            <w:pPr>
              <w:spacing w:line="460" w:lineRule="exact"/>
              <w:jc w:val="center"/>
              <w:rPr>
                <w:rFonts w:ascii="新宋体" w:hAnsi="新宋体" w:eastAsia="新宋体" w:cs="新宋体"/>
                <w:color w:val="auto"/>
                <w:sz w:val="22"/>
                <w:szCs w:val="22"/>
                <w:highlight w:val="none"/>
              </w:rPr>
            </w:pPr>
          </w:p>
        </w:tc>
        <w:tc>
          <w:tcPr>
            <w:tcW w:w="1148" w:type="dxa"/>
            <w:vAlign w:val="center"/>
          </w:tcPr>
          <w:p w14:paraId="06B9A816">
            <w:pPr>
              <w:spacing w:line="460" w:lineRule="exact"/>
              <w:ind w:right="-11"/>
              <w:jc w:val="center"/>
              <w:rPr>
                <w:rFonts w:ascii="新宋体" w:hAnsi="新宋体" w:eastAsia="新宋体" w:cs="新宋体"/>
                <w:color w:val="auto"/>
                <w:sz w:val="22"/>
                <w:szCs w:val="22"/>
                <w:highlight w:val="none"/>
              </w:rPr>
            </w:pPr>
          </w:p>
        </w:tc>
        <w:tc>
          <w:tcPr>
            <w:tcW w:w="1193" w:type="dxa"/>
            <w:vAlign w:val="center"/>
          </w:tcPr>
          <w:p w14:paraId="35C79B19">
            <w:pPr>
              <w:spacing w:line="460" w:lineRule="exact"/>
              <w:ind w:right="-11"/>
              <w:jc w:val="center"/>
              <w:rPr>
                <w:rFonts w:ascii="新宋体" w:hAnsi="新宋体" w:eastAsia="新宋体" w:cs="新宋体"/>
                <w:color w:val="auto"/>
                <w:sz w:val="22"/>
                <w:szCs w:val="22"/>
                <w:highlight w:val="none"/>
              </w:rPr>
            </w:pPr>
          </w:p>
        </w:tc>
        <w:tc>
          <w:tcPr>
            <w:tcW w:w="1352" w:type="dxa"/>
            <w:vAlign w:val="center"/>
          </w:tcPr>
          <w:p w14:paraId="2412DF3A">
            <w:pPr>
              <w:spacing w:line="460" w:lineRule="exact"/>
              <w:ind w:right="-11"/>
              <w:jc w:val="center"/>
              <w:rPr>
                <w:rFonts w:ascii="新宋体" w:hAnsi="新宋体" w:eastAsia="新宋体" w:cs="新宋体"/>
                <w:color w:val="auto"/>
                <w:sz w:val="22"/>
                <w:szCs w:val="22"/>
                <w:highlight w:val="none"/>
              </w:rPr>
            </w:pPr>
          </w:p>
        </w:tc>
      </w:tr>
      <w:tr w14:paraId="41DD1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48195D04">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2</w:t>
            </w:r>
          </w:p>
        </w:tc>
        <w:tc>
          <w:tcPr>
            <w:tcW w:w="1605" w:type="dxa"/>
            <w:vAlign w:val="center"/>
          </w:tcPr>
          <w:p w14:paraId="3D8D48AA">
            <w:pPr>
              <w:tabs>
                <w:tab w:val="left" w:pos="360"/>
              </w:tabs>
              <w:spacing w:line="460" w:lineRule="exact"/>
              <w:jc w:val="center"/>
              <w:rPr>
                <w:rFonts w:ascii="新宋体" w:hAnsi="新宋体" w:eastAsia="新宋体" w:cs="新宋体"/>
                <w:color w:val="auto"/>
                <w:sz w:val="22"/>
                <w:szCs w:val="22"/>
                <w:highlight w:val="none"/>
              </w:rPr>
            </w:pPr>
          </w:p>
        </w:tc>
        <w:tc>
          <w:tcPr>
            <w:tcW w:w="1477" w:type="dxa"/>
            <w:vAlign w:val="center"/>
          </w:tcPr>
          <w:p w14:paraId="7A0C7257">
            <w:pPr>
              <w:spacing w:line="460" w:lineRule="exact"/>
              <w:jc w:val="center"/>
              <w:rPr>
                <w:rFonts w:ascii="新宋体" w:hAnsi="新宋体" w:eastAsia="新宋体" w:cs="新宋体"/>
                <w:color w:val="auto"/>
                <w:sz w:val="22"/>
                <w:szCs w:val="22"/>
                <w:highlight w:val="none"/>
              </w:rPr>
            </w:pPr>
          </w:p>
        </w:tc>
        <w:tc>
          <w:tcPr>
            <w:tcW w:w="1570" w:type="dxa"/>
            <w:vAlign w:val="center"/>
          </w:tcPr>
          <w:p w14:paraId="417F2CF1">
            <w:pPr>
              <w:spacing w:line="460" w:lineRule="exact"/>
              <w:ind w:right="-11"/>
              <w:jc w:val="center"/>
              <w:rPr>
                <w:rFonts w:ascii="新宋体" w:hAnsi="新宋体" w:eastAsia="新宋体" w:cs="新宋体"/>
                <w:color w:val="auto"/>
                <w:sz w:val="22"/>
                <w:szCs w:val="22"/>
                <w:highlight w:val="none"/>
              </w:rPr>
            </w:pPr>
          </w:p>
        </w:tc>
        <w:tc>
          <w:tcPr>
            <w:tcW w:w="991" w:type="dxa"/>
            <w:vAlign w:val="center"/>
          </w:tcPr>
          <w:p w14:paraId="5C4AAC81">
            <w:pPr>
              <w:spacing w:line="460" w:lineRule="exact"/>
              <w:jc w:val="center"/>
              <w:rPr>
                <w:rFonts w:ascii="新宋体" w:hAnsi="新宋体" w:eastAsia="新宋体" w:cs="新宋体"/>
                <w:color w:val="auto"/>
                <w:sz w:val="22"/>
                <w:szCs w:val="22"/>
                <w:highlight w:val="none"/>
              </w:rPr>
            </w:pPr>
          </w:p>
        </w:tc>
        <w:tc>
          <w:tcPr>
            <w:tcW w:w="1148" w:type="dxa"/>
            <w:vAlign w:val="center"/>
          </w:tcPr>
          <w:p w14:paraId="1A4460D0">
            <w:pPr>
              <w:spacing w:line="460" w:lineRule="exact"/>
              <w:ind w:right="-11"/>
              <w:jc w:val="center"/>
              <w:rPr>
                <w:rFonts w:ascii="新宋体" w:hAnsi="新宋体" w:eastAsia="新宋体" w:cs="新宋体"/>
                <w:color w:val="auto"/>
                <w:sz w:val="22"/>
                <w:szCs w:val="22"/>
                <w:highlight w:val="none"/>
              </w:rPr>
            </w:pPr>
          </w:p>
        </w:tc>
        <w:tc>
          <w:tcPr>
            <w:tcW w:w="1193" w:type="dxa"/>
            <w:vAlign w:val="center"/>
          </w:tcPr>
          <w:p w14:paraId="0ACD0433">
            <w:pPr>
              <w:spacing w:line="460" w:lineRule="exact"/>
              <w:ind w:right="-11"/>
              <w:jc w:val="center"/>
              <w:rPr>
                <w:rFonts w:ascii="新宋体" w:hAnsi="新宋体" w:eastAsia="新宋体" w:cs="新宋体"/>
                <w:color w:val="auto"/>
                <w:sz w:val="22"/>
                <w:szCs w:val="22"/>
                <w:highlight w:val="none"/>
              </w:rPr>
            </w:pPr>
          </w:p>
        </w:tc>
        <w:tc>
          <w:tcPr>
            <w:tcW w:w="1352" w:type="dxa"/>
            <w:vAlign w:val="center"/>
          </w:tcPr>
          <w:p w14:paraId="3093D54F">
            <w:pPr>
              <w:spacing w:line="460" w:lineRule="exact"/>
              <w:ind w:right="-11"/>
              <w:jc w:val="center"/>
              <w:rPr>
                <w:rFonts w:ascii="新宋体" w:hAnsi="新宋体" w:eastAsia="新宋体" w:cs="新宋体"/>
                <w:color w:val="auto"/>
                <w:sz w:val="22"/>
                <w:szCs w:val="22"/>
                <w:highlight w:val="none"/>
              </w:rPr>
            </w:pPr>
          </w:p>
        </w:tc>
      </w:tr>
      <w:tr w14:paraId="6C520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4732FCAC">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3</w:t>
            </w:r>
          </w:p>
        </w:tc>
        <w:tc>
          <w:tcPr>
            <w:tcW w:w="1605" w:type="dxa"/>
            <w:vAlign w:val="center"/>
          </w:tcPr>
          <w:p w14:paraId="4A437D2A">
            <w:pPr>
              <w:tabs>
                <w:tab w:val="left" w:pos="360"/>
              </w:tabs>
              <w:spacing w:line="460" w:lineRule="exact"/>
              <w:jc w:val="center"/>
              <w:rPr>
                <w:rFonts w:ascii="新宋体" w:hAnsi="新宋体" w:eastAsia="新宋体" w:cs="新宋体"/>
                <w:color w:val="auto"/>
                <w:sz w:val="22"/>
                <w:szCs w:val="22"/>
                <w:highlight w:val="none"/>
              </w:rPr>
            </w:pPr>
          </w:p>
        </w:tc>
        <w:tc>
          <w:tcPr>
            <w:tcW w:w="1477" w:type="dxa"/>
            <w:vAlign w:val="center"/>
          </w:tcPr>
          <w:p w14:paraId="394ACF85">
            <w:pPr>
              <w:spacing w:line="460" w:lineRule="exact"/>
              <w:jc w:val="center"/>
              <w:rPr>
                <w:rFonts w:ascii="新宋体" w:hAnsi="新宋体" w:eastAsia="新宋体" w:cs="新宋体"/>
                <w:color w:val="auto"/>
                <w:sz w:val="22"/>
                <w:szCs w:val="22"/>
                <w:highlight w:val="none"/>
              </w:rPr>
            </w:pPr>
          </w:p>
        </w:tc>
        <w:tc>
          <w:tcPr>
            <w:tcW w:w="1570" w:type="dxa"/>
            <w:vAlign w:val="center"/>
          </w:tcPr>
          <w:p w14:paraId="52B3B040">
            <w:pPr>
              <w:spacing w:line="460" w:lineRule="exact"/>
              <w:ind w:right="-11"/>
              <w:jc w:val="center"/>
              <w:rPr>
                <w:rFonts w:ascii="新宋体" w:hAnsi="新宋体" w:eastAsia="新宋体" w:cs="新宋体"/>
                <w:color w:val="auto"/>
                <w:sz w:val="22"/>
                <w:szCs w:val="22"/>
                <w:highlight w:val="none"/>
              </w:rPr>
            </w:pPr>
          </w:p>
        </w:tc>
        <w:tc>
          <w:tcPr>
            <w:tcW w:w="991" w:type="dxa"/>
            <w:vAlign w:val="center"/>
          </w:tcPr>
          <w:p w14:paraId="6503F73B">
            <w:pPr>
              <w:spacing w:line="460" w:lineRule="exact"/>
              <w:jc w:val="center"/>
              <w:rPr>
                <w:rFonts w:ascii="新宋体" w:hAnsi="新宋体" w:eastAsia="新宋体" w:cs="新宋体"/>
                <w:color w:val="auto"/>
                <w:sz w:val="22"/>
                <w:szCs w:val="22"/>
                <w:highlight w:val="none"/>
              </w:rPr>
            </w:pPr>
          </w:p>
        </w:tc>
        <w:tc>
          <w:tcPr>
            <w:tcW w:w="1148" w:type="dxa"/>
            <w:vAlign w:val="center"/>
          </w:tcPr>
          <w:p w14:paraId="228A438F">
            <w:pPr>
              <w:spacing w:line="460" w:lineRule="exact"/>
              <w:ind w:right="-11"/>
              <w:jc w:val="center"/>
              <w:rPr>
                <w:rFonts w:ascii="新宋体" w:hAnsi="新宋体" w:eastAsia="新宋体" w:cs="新宋体"/>
                <w:color w:val="auto"/>
                <w:sz w:val="22"/>
                <w:szCs w:val="22"/>
                <w:highlight w:val="none"/>
              </w:rPr>
            </w:pPr>
          </w:p>
        </w:tc>
        <w:tc>
          <w:tcPr>
            <w:tcW w:w="1193" w:type="dxa"/>
            <w:vAlign w:val="center"/>
          </w:tcPr>
          <w:p w14:paraId="48C493E4">
            <w:pPr>
              <w:spacing w:line="460" w:lineRule="exact"/>
              <w:ind w:right="-11"/>
              <w:jc w:val="center"/>
              <w:rPr>
                <w:rFonts w:ascii="新宋体" w:hAnsi="新宋体" w:eastAsia="新宋体" w:cs="新宋体"/>
                <w:color w:val="auto"/>
                <w:sz w:val="22"/>
                <w:szCs w:val="22"/>
                <w:highlight w:val="none"/>
              </w:rPr>
            </w:pPr>
          </w:p>
        </w:tc>
        <w:tc>
          <w:tcPr>
            <w:tcW w:w="1352" w:type="dxa"/>
            <w:vAlign w:val="center"/>
          </w:tcPr>
          <w:p w14:paraId="30925A60">
            <w:pPr>
              <w:spacing w:line="460" w:lineRule="exact"/>
              <w:ind w:right="-11"/>
              <w:jc w:val="center"/>
              <w:rPr>
                <w:rFonts w:ascii="新宋体" w:hAnsi="新宋体" w:eastAsia="新宋体" w:cs="新宋体"/>
                <w:color w:val="auto"/>
                <w:sz w:val="22"/>
                <w:szCs w:val="22"/>
                <w:highlight w:val="none"/>
              </w:rPr>
            </w:pPr>
          </w:p>
        </w:tc>
      </w:tr>
      <w:tr w14:paraId="4C9CD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4E650B43">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4</w:t>
            </w:r>
          </w:p>
        </w:tc>
        <w:tc>
          <w:tcPr>
            <w:tcW w:w="1605" w:type="dxa"/>
            <w:vAlign w:val="center"/>
          </w:tcPr>
          <w:p w14:paraId="4F9E110A">
            <w:pPr>
              <w:widowControl/>
              <w:spacing w:line="460" w:lineRule="exact"/>
              <w:jc w:val="center"/>
              <w:textAlignment w:val="center"/>
              <w:rPr>
                <w:rFonts w:ascii="新宋体" w:hAnsi="新宋体" w:eastAsia="新宋体" w:cs="新宋体"/>
                <w:color w:val="auto"/>
                <w:sz w:val="22"/>
                <w:szCs w:val="22"/>
                <w:highlight w:val="none"/>
              </w:rPr>
            </w:pPr>
          </w:p>
        </w:tc>
        <w:tc>
          <w:tcPr>
            <w:tcW w:w="1477" w:type="dxa"/>
            <w:vAlign w:val="center"/>
          </w:tcPr>
          <w:p w14:paraId="6A62077E">
            <w:pPr>
              <w:spacing w:line="460" w:lineRule="exact"/>
              <w:jc w:val="center"/>
              <w:rPr>
                <w:rFonts w:ascii="新宋体" w:hAnsi="新宋体" w:eastAsia="新宋体" w:cs="新宋体"/>
                <w:color w:val="auto"/>
                <w:sz w:val="22"/>
                <w:szCs w:val="22"/>
                <w:highlight w:val="none"/>
              </w:rPr>
            </w:pPr>
          </w:p>
        </w:tc>
        <w:tc>
          <w:tcPr>
            <w:tcW w:w="1570" w:type="dxa"/>
            <w:vAlign w:val="center"/>
          </w:tcPr>
          <w:p w14:paraId="298784C9">
            <w:pPr>
              <w:spacing w:line="460" w:lineRule="exact"/>
              <w:ind w:right="-11"/>
              <w:jc w:val="center"/>
              <w:rPr>
                <w:rFonts w:ascii="新宋体" w:hAnsi="新宋体" w:eastAsia="新宋体" w:cs="新宋体"/>
                <w:color w:val="auto"/>
                <w:sz w:val="22"/>
                <w:szCs w:val="22"/>
                <w:highlight w:val="none"/>
              </w:rPr>
            </w:pPr>
          </w:p>
        </w:tc>
        <w:tc>
          <w:tcPr>
            <w:tcW w:w="991" w:type="dxa"/>
            <w:vAlign w:val="center"/>
          </w:tcPr>
          <w:p w14:paraId="352216E9">
            <w:pPr>
              <w:spacing w:line="460" w:lineRule="exact"/>
              <w:jc w:val="center"/>
              <w:rPr>
                <w:rFonts w:ascii="新宋体" w:hAnsi="新宋体" w:eastAsia="新宋体" w:cs="新宋体"/>
                <w:color w:val="auto"/>
                <w:sz w:val="22"/>
                <w:szCs w:val="22"/>
                <w:highlight w:val="none"/>
              </w:rPr>
            </w:pPr>
          </w:p>
        </w:tc>
        <w:tc>
          <w:tcPr>
            <w:tcW w:w="1148" w:type="dxa"/>
            <w:vAlign w:val="center"/>
          </w:tcPr>
          <w:p w14:paraId="702481B0">
            <w:pPr>
              <w:spacing w:line="460" w:lineRule="exact"/>
              <w:ind w:right="-11"/>
              <w:jc w:val="center"/>
              <w:rPr>
                <w:rFonts w:ascii="新宋体" w:hAnsi="新宋体" w:eastAsia="新宋体" w:cs="新宋体"/>
                <w:color w:val="auto"/>
                <w:sz w:val="22"/>
                <w:szCs w:val="22"/>
                <w:highlight w:val="none"/>
              </w:rPr>
            </w:pPr>
          </w:p>
        </w:tc>
        <w:tc>
          <w:tcPr>
            <w:tcW w:w="1193" w:type="dxa"/>
            <w:vAlign w:val="center"/>
          </w:tcPr>
          <w:p w14:paraId="1571BB5C">
            <w:pPr>
              <w:spacing w:line="460" w:lineRule="exact"/>
              <w:ind w:right="-11"/>
              <w:jc w:val="center"/>
              <w:rPr>
                <w:rFonts w:ascii="新宋体" w:hAnsi="新宋体" w:eastAsia="新宋体" w:cs="新宋体"/>
                <w:color w:val="auto"/>
                <w:sz w:val="22"/>
                <w:szCs w:val="22"/>
                <w:highlight w:val="none"/>
              </w:rPr>
            </w:pPr>
          </w:p>
        </w:tc>
        <w:tc>
          <w:tcPr>
            <w:tcW w:w="1352" w:type="dxa"/>
            <w:vAlign w:val="center"/>
          </w:tcPr>
          <w:p w14:paraId="7FA052D4">
            <w:pPr>
              <w:spacing w:line="460" w:lineRule="exact"/>
              <w:ind w:right="-11"/>
              <w:jc w:val="center"/>
              <w:rPr>
                <w:rFonts w:ascii="新宋体" w:hAnsi="新宋体" w:eastAsia="新宋体" w:cs="新宋体"/>
                <w:color w:val="auto"/>
                <w:sz w:val="22"/>
                <w:szCs w:val="22"/>
                <w:highlight w:val="none"/>
              </w:rPr>
            </w:pPr>
          </w:p>
        </w:tc>
      </w:tr>
      <w:tr w14:paraId="03275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21348886">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5</w:t>
            </w:r>
          </w:p>
        </w:tc>
        <w:tc>
          <w:tcPr>
            <w:tcW w:w="1605" w:type="dxa"/>
            <w:vAlign w:val="center"/>
          </w:tcPr>
          <w:p w14:paraId="5AB55D04">
            <w:pPr>
              <w:widowControl/>
              <w:spacing w:line="460" w:lineRule="exact"/>
              <w:jc w:val="center"/>
              <w:textAlignment w:val="center"/>
              <w:rPr>
                <w:rFonts w:ascii="新宋体" w:hAnsi="新宋体" w:eastAsia="新宋体" w:cs="新宋体"/>
                <w:color w:val="auto"/>
                <w:sz w:val="22"/>
                <w:szCs w:val="22"/>
                <w:highlight w:val="none"/>
              </w:rPr>
            </w:pPr>
          </w:p>
        </w:tc>
        <w:tc>
          <w:tcPr>
            <w:tcW w:w="1477" w:type="dxa"/>
            <w:vAlign w:val="center"/>
          </w:tcPr>
          <w:p w14:paraId="33A66A5A">
            <w:pPr>
              <w:spacing w:line="460" w:lineRule="exact"/>
              <w:jc w:val="center"/>
              <w:rPr>
                <w:rFonts w:ascii="新宋体" w:hAnsi="新宋体" w:eastAsia="新宋体" w:cs="新宋体"/>
                <w:color w:val="auto"/>
                <w:sz w:val="22"/>
                <w:szCs w:val="22"/>
                <w:highlight w:val="none"/>
              </w:rPr>
            </w:pPr>
          </w:p>
        </w:tc>
        <w:tc>
          <w:tcPr>
            <w:tcW w:w="1570" w:type="dxa"/>
            <w:vAlign w:val="center"/>
          </w:tcPr>
          <w:p w14:paraId="0CE60ACD">
            <w:pPr>
              <w:spacing w:line="460" w:lineRule="exact"/>
              <w:ind w:right="-11"/>
              <w:jc w:val="center"/>
              <w:rPr>
                <w:rFonts w:ascii="新宋体" w:hAnsi="新宋体" w:eastAsia="新宋体" w:cs="新宋体"/>
                <w:color w:val="auto"/>
                <w:sz w:val="22"/>
                <w:szCs w:val="22"/>
                <w:highlight w:val="none"/>
              </w:rPr>
            </w:pPr>
          </w:p>
        </w:tc>
        <w:tc>
          <w:tcPr>
            <w:tcW w:w="991" w:type="dxa"/>
            <w:vAlign w:val="center"/>
          </w:tcPr>
          <w:p w14:paraId="2D473E7C">
            <w:pPr>
              <w:spacing w:line="460" w:lineRule="exact"/>
              <w:jc w:val="center"/>
              <w:rPr>
                <w:rFonts w:ascii="新宋体" w:hAnsi="新宋体" w:eastAsia="新宋体" w:cs="新宋体"/>
                <w:color w:val="auto"/>
                <w:sz w:val="22"/>
                <w:szCs w:val="22"/>
                <w:highlight w:val="none"/>
              </w:rPr>
            </w:pPr>
          </w:p>
        </w:tc>
        <w:tc>
          <w:tcPr>
            <w:tcW w:w="1148" w:type="dxa"/>
            <w:vAlign w:val="center"/>
          </w:tcPr>
          <w:p w14:paraId="251A62AD">
            <w:pPr>
              <w:spacing w:line="460" w:lineRule="exact"/>
              <w:ind w:right="-11"/>
              <w:jc w:val="center"/>
              <w:rPr>
                <w:rFonts w:ascii="新宋体" w:hAnsi="新宋体" w:eastAsia="新宋体" w:cs="新宋体"/>
                <w:color w:val="auto"/>
                <w:sz w:val="22"/>
                <w:szCs w:val="22"/>
                <w:highlight w:val="none"/>
              </w:rPr>
            </w:pPr>
          </w:p>
        </w:tc>
        <w:tc>
          <w:tcPr>
            <w:tcW w:w="1193" w:type="dxa"/>
            <w:vAlign w:val="center"/>
          </w:tcPr>
          <w:p w14:paraId="1404A9C6">
            <w:pPr>
              <w:spacing w:line="460" w:lineRule="exact"/>
              <w:ind w:right="-11"/>
              <w:jc w:val="center"/>
              <w:rPr>
                <w:rFonts w:ascii="新宋体" w:hAnsi="新宋体" w:eastAsia="新宋体" w:cs="新宋体"/>
                <w:color w:val="auto"/>
                <w:sz w:val="22"/>
                <w:szCs w:val="22"/>
                <w:highlight w:val="none"/>
              </w:rPr>
            </w:pPr>
          </w:p>
        </w:tc>
        <w:tc>
          <w:tcPr>
            <w:tcW w:w="1352" w:type="dxa"/>
            <w:vAlign w:val="center"/>
          </w:tcPr>
          <w:p w14:paraId="5B10100A">
            <w:pPr>
              <w:spacing w:line="460" w:lineRule="exact"/>
              <w:ind w:right="-11"/>
              <w:jc w:val="center"/>
              <w:rPr>
                <w:rFonts w:ascii="新宋体" w:hAnsi="新宋体" w:eastAsia="新宋体" w:cs="新宋体"/>
                <w:color w:val="auto"/>
                <w:sz w:val="22"/>
                <w:szCs w:val="22"/>
                <w:highlight w:val="none"/>
              </w:rPr>
            </w:pPr>
          </w:p>
        </w:tc>
      </w:tr>
      <w:tr w14:paraId="19401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018E493">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6</w:t>
            </w:r>
          </w:p>
        </w:tc>
        <w:tc>
          <w:tcPr>
            <w:tcW w:w="1605" w:type="dxa"/>
            <w:vAlign w:val="center"/>
          </w:tcPr>
          <w:p w14:paraId="5088340D">
            <w:pPr>
              <w:widowControl/>
              <w:spacing w:line="460" w:lineRule="exact"/>
              <w:jc w:val="center"/>
              <w:textAlignment w:val="center"/>
              <w:rPr>
                <w:rFonts w:ascii="新宋体" w:hAnsi="新宋体" w:eastAsia="新宋体" w:cs="新宋体"/>
                <w:color w:val="auto"/>
                <w:sz w:val="22"/>
                <w:szCs w:val="22"/>
                <w:highlight w:val="none"/>
              </w:rPr>
            </w:pPr>
          </w:p>
        </w:tc>
        <w:tc>
          <w:tcPr>
            <w:tcW w:w="1477" w:type="dxa"/>
            <w:vAlign w:val="center"/>
          </w:tcPr>
          <w:p w14:paraId="3D49B5A3">
            <w:pPr>
              <w:spacing w:line="460" w:lineRule="exact"/>
              <w:jc w:val="center"/>
              <w:rPr>
                <w:rFonts w:ascii="新宋体" w:hAnsi="新宋体" w:eastAsia="新宋体" w:cs="新宋体"/>
                <w:color w:val="auto"/>
                <w:sz w:val="22"/>
                <w:szCs w:val="22"/>
                <w:highlight w:val="none"/>
              </w:rPr>
            </w:pPr>
          </w:p>
        </w:tc>
        <w:tc>
          <w:tcPr>
            <w:tcW w:w="1570" w:type="dxa"/>
            <w:vAlign w:val="center"/>
          </w:tcPr>
          <w:p w14:paraId="200ED7A9">
            <w:pPr>
              <w:spacing w:line="460" w:lineRule="exact"/>
              <w:ind w:right="-11"/>
              <w:jc w:val="center"/>
              <w:rPr>
                <w:rFonts w:ascii="新宋体" w:hAnsi="新宋体" w:eastAsia="新宋体" w:cs="新宋体"/>
                <w:color w:val="auto"/>
                <w:sz w:val="22"/>
                <w:szCs w:val="22"/>
                <w:highlight w:val="none"/>
              </w:rPr>
            </w:pPr>
          </w:p>
        </w:tc>
        <w:tc>
          <w:tcPr>
            <w:tcW w:w="991" w:type="dxa"/>
            <w:vAlign w:val="center"/>
          </w:tcPr>
          <w:p w14:paraId="2432CE23">
            <w:pPr>
              <w:spacing w:line="460" w:lineRule="exact"/>
              <w:jc w:val="center"/>
              <w:rPr>
                <w:rFonts w:ascii="新宋体" w:hAnsi="新宋体" w:eastAsia="新宋体" w:cs="新宋体"/>
                <w:color w:val="auto"/>
                <w:sz w:val="22"/>
                <w:szCs w:val="22"/>
                <w:highlight w:val="none"/>
              </w:rPr>
            </w:pPr>
          </w:p>
        </w:tc>
        <w:tc>
          <w:tcPr>
            <w:tcW w:w="1148" w:type="dxa"/>
            <w:vAlign w:val="center"/>
          </w:tcPr>
          <w:p w14:paraId="7AAE1D6E">
            <w:pPr>
              <w:spacing w:line="460" w:lineRule="exact"/>
              <w:ind w:right="-11"/>
              <w:jc w:val="center"/>
              <w:rPr>
                <w:rFonts w:ascii="新宋体" w:hAnsi="新宋体" w:eastAsia="新宋体" w:cs="新宋体"/>
                <w:color w:val="auto"/>
                <w:sz w:val="22"/>
                <w:szCs w:val="22"/>
                <w:highlight w:val="none"/>
              </w:rPr>
            </w:pPr>
          </w:p>
        </w:tc>
        <w:tc>
          <w:tcPr>
            <w:tcW w:w="1193" w:type="dxa"/>
            <w:vAlign w:val="center"/>
          </w:tcPr>
          <w:p w14:paraId="6A45BE51">
            <w:pPr>
              <w:spacing w:line="460" w:lineRule="exact"/>
              <w:ind w:right="-11"/>
              <w:jc w:val="center"/>
              <w:rPr>
                <w:rFonts w:ascii="新宋体" w:hAnsi="新宋体" w:eastAsia="新宋体" w:cs="新宋体"/>
                <w:color w:val="auto"/>
                <w:sz w:val="22"/>
                <w:szCs w:val="22"/>
                <w:highlight w:val="none"/>
              </w:rPr>
            </w:pPr>
          </w:p>
        </w:tc>
        <w:tc>
          <w:tcPr>
            <w:tcW w:w="1352" w:type="dxa"/>
            <w:vAlign w:val="center"/>
          </w:tcPr>
          <w:p w14:paraId="6927014F">
            <w:pPr>
              <w:spacing w:line="460" w:lineRule="exact"/>
              <w:ind w:right="-11"/>
              <w:jc w:val="center"/>
              <w:rPr>
                <w:rFonts w:ascii="新宋体" w:hAnsi="新宋体" w:eastAsia="新宋体" w:cs="新宋体"/>
                <w:color w:val="auto"/>
                <w:sz w:val="22"/>
                <w:szCs w:val="22"/>
                <w:highlight w:val="none"/>
              </w:rPr>
            </w:pPr>
          </w:p>
        </w:tc>
      </w:tr>
      <w:tr w14:paraId="70CFB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7E1E984">
            <w:pPr>
              <w:widowControl/>
              <w:spacing w:line="460" w:lineRule="exact"/>
              <w:jc w:val="center"/>
              <w:textAlignment w:val="center"/>
              <w:rPr>
                <w:rFonts w:ascii="新宋体" w:hAnsi="新宋体" w:eastAsia="新宋体" w:cs="新宋体"/>
                <w:color w:val="auto"/>
                <w:kern w:val="0"/>
                <w:sz w:val="22"/>
                <w:szCs w:val="22"/>
                <w:highlight w:val="none"/>
                <w:lang w:bidi="ar"/>
              </w:rPr>
            </w:pPr>
          </w:p>
        </w:tc>
        <w:tc>
          <w:tcPr>
            <w:tcW w:w="1605" w:type="dxa"/>
            <w:vAlign w:val="center"/>
          </w:tcPr>
          <w:p w14:paraId="62A7A000">
            <w:pPr>
              <w:widowControl/>
              <w:spacing w:line="460" w:lineRule="exact"/>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w:t>
            </w:r>
          </w:p>
        </w:tc>
        <w:tc>
          <w:tcPr>
            <w:tcW w:w="1477" w:type="dxa"/>
            <w:vAlign w:val="center"/>
          </w:tcPr>
          <w:p w14:paraId="74011F66">
            <w:pPr>
              <w:spacing w:line="460" w:lineRule="exact"/>
              <w:jc w:val="center"/>
              <w:rPr>
                <w:rFonts w:ascii="新宋体" w:hAnsi="新宋体" w:eastAsia="新宋体" w:cs="新宋体"/>
                <w:color w:val="auto"/>
                <w:sz w:val="22"/>
                <w:szCs w:val="22"/>
                <w:highlight w:val="none"/>
              </w:rPr>
            </w:pPr>
          </w:p>
        </w:tc>
        <w:tc>
          <w:tcPr>
            <w:tcW w:w="1570" w:type="dxa"/>
            <w:vAlign w:val="center"/>
          </w:tcPr>
          <w:p w14:paraId="2B2FDE0D">
            <w:pPr>
              <w:spacing w:line="460" w:lineRule="exact"/>
              <w:ind w:right="-11"/>
              <w:jc w:val="center"/>
              <w:rPr>
                <w:rFonts w:ascii="新宋体" w:hAnsi="新宋体" w:eastAsia="新宋体" w:cs="新宋体"/>
                <w:color w:val="auto"/>
                <w:sz w:val="22"/>
                <w:szCs w:val="22"/>
                <w:highlight w:val="none"/>
              </w:rPr>
            </w:pPr>
          </w:p>
        </w:tc>
        <w:tc>
          <w:tcPr>
            <w:tcW w:w="991" w:type="dxa"/>
            <w:vAlign w:val="center"/>
          </w:tcPr>
          <w:p w14:paraId="7A314C03">
            <w:pPr>
              <w:spacing w:line="460" w:lineRule="exact"/>
              <w:jc w:val="center"/>
              <w:rPr>
                <w:rFonts w:ascii="新宋体" w:hAnsi="新宋体" w:eastAsia="新宋体" w:cs="新宋体"/>
                <w:color w:val="auto"/>
                <w:sz w:val="22"/>
                <w:szCs w:val="22"/>
                <w:highlight w:val="none"/>
              </w:rPr>
            </w:pPr>
          </w:p>
        </w:tc>
        <w:tc>
          <w:tcPr>
            <w:tcW w:w="1148" w:type="dxa"/>
            <w:vAlign w:val="center"/>
          </w:tcPr>
          <w:p w14:paraId="06EA84D0">
            <w:pPr>
              <w:spacing w:line="460" w:lineRule="exact"/>
              <w:ind w:right="-11"/>
              <w:jc w:val="center"/>
              <w:rPr>
                <w:rFonts w:ascii="新宋体" w:hAnsi="新宋体" w:eastAsia="新宋体" w:cs="新宋体"/>
                <w:color w:val="auto"/>
                <w:sz w:val="22"/>
                <w:szCs w:val="22"/>
                <w:highlight w:val="none"/>
              </w:rPr>
            </w:pPr>
          </w:p>
        </w:tc>
        <w:tc>
          <w:tcPr>
            <w:tcW w:w="1193" w:type="dxa"/>
            <w:vAlign w:val="center"/>
          </w:tcPr>
          <w:p w14:paraId="5730D1DC">
            <w:pPr>
              <w:spacing w:line="460" w:lineRule="exact"/>
              <w:ind w:right="-11"/>
              <w:jc w:val="center"/>
              <w:rPr>
                <w:rFonts w:ascii="新宋体" w:hAnsi="新宋体" w:eastAsia="新宋体" w:cs="新宋体"/>
                <w:color w:val="auto"/>
                <w:sz w:val="22"/>
                <w:szCs w:val="22"/>
                <w:highlight w:val="none"/>
              </w:rPr>
            </w:pPr>
          </w:p>
        </w:tc>
        <w:tc>
          <w:tcPr>
            <w:tcW w:w="1352" w:type="dxa"/>
            <w:vAlign w:val="center"/>
          </w:tcPr>
          <w:p w14:paraId="09F59030">
            <w:pPr>
              <w:spacing w:line="460" w:lineRule="exact"/>
              <w:ind w:right="-11"/>
              <w:jc w:val="center"/>
              <w:rPr>
                <w:rFonts w:ascii="新宋体" w:hAnsi="新宋体" w:eastAsia="新宋体" w:cs="新宋体"/>
                <w:color w:val="auto"/>
                <w:sz w:val="22"/>
                <w:szCs w:val="22"/>
                <w:highlight w:val="none"/>
              </w:rPr>
            </w:pPr>
          </w:p>
        </w:tc>
      </w:tr>
      <w:tr w14:paraId="6D8D9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4A2CE31B">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运杂及保险费（含卸货）</w:t>
            </w:r>
          </w:p>
        </w:tc>
        <w:tc>
          <w:tcPr>
            <w:tcW w:w="6254" w:type="dxa"/>
            <w:gridSpan w:val="5"/>
          </w:tcPr>
          <w:p w14:paraId="7A445EBF">
            <w:pPr>
              <w:spacing w:line="460" w:lineRule="exact"/>
              <w:rPr>
                <w:rFonts w:ascii="新宋体" w:hAnsi="新宋体" w:eastAsia="新宋体" w:cs="新宋体"/>
                <w:color w:val="auto"/>
                <w:sz w:val="22"/>
                <w:szCs w:val="22"/>
                <w:highlight w:val="none"/>
              </w:rPr>
            </w:pPr>
          </w:p>
        </w:tc>
      </w:tr>
      <w:tr w14:paraId="17CC0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50A554B3">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安装调试费（包括设备的测试、调试、验收等费用）</w:t>
            </w:r>
          </w:p>
        </w:tc>
        <w:tc>
          <w:tcPr>
            <w:tcW w:w="6254" w:type="dxa"/>
            <w:gridSpan w:val="5"/>
          </w:tcPr>
          <w:p w14:paraId="5BFB1B0A">
            <w:pPr>
              <w:spacing w:line="460" w:lineRule="exact"/>
              <w:rPr>
                <w:rFonts w:ascii="新宋体" w:hAnsi="新宋体" w:eastAsia="新宋体" w:cs="新宋体"/>
                <w:color w:val="auto"/>
                <w:sz w:val="22"/>
                <w:szCs w:val="22"/>
                <w:highlight w:val="none"/>
              </w:rPr>
            </w:pPr>
          </w:p>
        </w:tc>
      </w:tr>
      <w:tr w14:paraId="21406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04069AB">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培训费、技术服务费、售后服务费等</w:t>
            </w:r>
          </w:p>
        </w:tc>
        <w:tc>
          <w:tcPr>
            <w:tcW w:w="6254" w:type="dxa"/>
            <w:gridSpan w:val="5"/>
          </w:tcPr>
          <w:p w14:paraId="1522FB8C">
            <w:pPr>
              <w:spacing w:line="460" w:lineRule="exact"/>
              <w:rPr>
                <w:rFonts w:ascii="新宋体" w:hAnsi="新宋体" w:eastAsia="新宋体" w:cs="新宋体"/>
                <w:color w:val="auto"/>
                <w:sz w:val="22"/>
                <w:szCs w:val="22"/>
                <w:highlight w:val="none"/>
              </w:rPr>
            </w:pPr>
          </w:p>
        </w:tc>
      </w:tr>
      <w:tr w14:paraId="2C6E2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481AAA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税金</w:t>
            </w:r>
          </w:p>
        </w:tc>
        <w:tc>
          <w:tcPr>
            <w:tcW w:w="6254" w:type="dxa"/>
            <w:gridSpan w:val="5"/>
          </w:tcPr>
          <w:p w14:paraId="26387D41">
            <w:pPr>
              <w:spacing w:line="460" w:lineRule="exact"/>
              <w:rPr>
                <w:rFonts w:ascii="新宋体" w:hAnsi="新宋体" w:eastAsia="新宋体" w:cs="新宋体"/>
                <w:color w:val="auto"/>
                <w:sz w:val="22"/>
                <w:szCs w:val="22"/>
                <w:highlight w:val="none"/>
              </w:rPr>
            </w:pPr>
          </w:p>
        </w:tc>
      </w:tr>
      <w:tr w14:paraId="28C30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6A2FC63">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总计价</w:t>
            </w:r>
          </w:p>
        </w:tc>
        <w:tc>
          <w:tcPr>
            <w:tcW w:w="6254" w:type="dxa"/>
            <w:gridSpan w:val="5"/>
          </w:tcPr>
          <w:p w14:paraId="2A6154B5">
            <w:pPr>
              <w:spacing w:line="460" w:lineRule="exact"/>
              <w:rPr>
                <w:rFonts w:ascii="新宋体" w:hAnsi="新宋体" w:eastAsia="新宋体" w:cs="新宋体"/>
                <w:color w:val="auto"/>
                <w:sz w:val="22"/>
                <w:szCs w:val="22"/>
                <w:highlight w:val="none"/>
              </w:rPr>
            </w:pPr>
          </w:p>
        </w:tc>
      </w:tr>
    </w:tbl>
    <w:p w14:paraId="54093A00">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说明：</w:t>
      </w:r>
      <w:r>
        <w:rPr>
          <w:rFonts w:hint="eastAsia" w:ascii="新宋体" w:hAnsi="新宋体" w:eastAsia="新宋体" w:cs="新宋体"/>
          <w:b/>
          <w:bCs/>
          <w:color w:val="auto"/>
          <w:sz w:val="22"/>
          <w:szCs w:val="22"/>
          <w:highlight w:val="none"/>
        </w:rPr>
        <w:t>1、此表总计价应与</w:t>
      </w:r>
      <w:r>
        <w:rPr>
          <w:rFonts w:hint="eastAsia" w:ascii="新宋体" w:hAnsi="新宋体" w:eastAsia="新宋体" w:cs="新宋体"/>
          <w:b/>
          <w:color w:val="auto"/>
          <w:sz w:val="22"/>
          <w:highlight w:val="none"/>
        </w:rPr>
        <w:t>附件</w:t>
      </w:r>
      <w:r>
        <w:rPr>
          <w:rFonts w:hint="eastAsia" w:ascii="新宋体" w:hAnsi="新宋体" w:eastAsia="新宋体" w:cs="新宋体"/>
          <w:b/>
          <w:color w:val="auto"/>
          <w:sz w:val="22"/>
          <w:highlight w:val="none"/>
          <w:lang w:val="en-US" w:eastAsia="zh-CN"/>
        </w:rPr>
        <w:t>二</w:t>
      </w:r>
      <w:r>
        <w:rPr>
          <w:rFonts w:hint="eastAsia" w:ascii="新宋体" w:hAnsi="新宋体" w:eastAsia="新宋体" w:cs="新宋体"/>
          <w:b/>
          <w:color w:val="auto"/>
          <w:sz w:val="22"/>
          <w:highlight w:val="none"/>
        </w:rPr>
        <w:t>中</w:t>
      </w:r>
      <w:r>
        <w:rPr>
          <w:rFonts w:hint="eastAsia" w:ascii="新宋体" w:hAnsi="新宋体" w:eastAsia="新宋体" w:cs="新宋体"/>
          <w:b/>
          <w:bCs/>
          <w:color w:val="auto"/>
          <w:sz w:val="22"/>
          <w:szCs w:val="22"/>
          <w:highlight w:val="none"/>
        </w:rPr>
        <w:t>“1、投标报价一览表”中</w:t>
      </w:r>
      <w:r>
        <w:rPr>
          <w:rFonts w:hint="eastAsia" w:ascii="新宋体" w:hAnsi="新宋体" w:eastAsia="新宋体" w:cs="新宋体"/>
          <w:b/>
          <w:bCs/>
          <w:color w:val="auto"/>
          <w:sz w:val="22"/>
          <w:szCs w:val="22"/>
          <w:highlight w:val="none"/>
          <w:lang w:val="en-US" w:eastAsia="zh-CN"/>
        </w:rPr>
        <w:t>合计</w:t>
      </w:r>
      <w:r>
        <w:rPr>
          <w:rFonts w:hint="eastAsia" w:ascii="新宋体" w:hAnsi="新宋体" w:eastAsia="新宋体" w:cs="新宋体"/>
          <w:b/>
          <w:bCs/>
          <w:color w:val="auto"/>
          <w:sz w:val="22"/>
          <w:szCs w:val="22"/>
          <w:highlight w:val="none"/>
        </w:rPr>
        <w:t>报价相一致。</w:t>
      </w:r>
    </w:p>
    <w:p w14:paraId="5960C77D">
      <w:pPr>
        <w:spacing w:line="460" w:lineRule="exact"/>
        <w:ind w:firstLine="663" w:firstLineChars="3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2、不提供详细分项报价将视为没有实质性响应招标文件。</w:t>
      </w:r>
    </w:p>
    <w:p w14:paraId="5B7F5FE7">
      <w:pPr>
        <w:spacing w:line="460" w:lineRule="exact"/>
        <w:ind w:firstLine="663" w:firstLineChars="3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3、如果免费请在该项内容栏内注明“免”，如果含在产品价格中则填“含”，如无此项内容则填“无”。</w:t>
      </w:r>
    </w:p>
    <w:p w14:paraId="1D4A49AC">
      <w:pPr>
        <w:spacing w:line="460" w:lineRule="exact"/>
        <w:ind w:firstLine="5500" w:firstLineChars="2500"/>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B95569E">
      <w:pPr>
        <w:spacing w:line="460" w:lineRule="exact"/>
        <w:ind w:firstLine="5500" w:firstLineChars="2500"/>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E8AEFB3">
      <w:pPr>
        <w:spacing w:line="460" w:lineRule="exact"/>
        <w:ind w:firstLine="5500" w:firstLineChars="2500"/>
        <w:jc w:val="left"/>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w:t>日    期：</w:t>
      </w:r>
    </w:p>
    <w:p w14:paraId="19E2A9FA">
      <w:pPr>
        <w:rPr>
          <w:rFonts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458E7025">
      <w:pPr>
        <w:spacing w:line="400" w:lineRule="exact"/>
        <w:jc w:val="both"/>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3、符合财政扶持价格优惠政策的证明材料（如有）</w:t>
      </w:r>
    </w:p>
    <w:p w14:paraId="2634901C">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1</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中小企业的相关证明材料</w:t>
      </w:r>
    </w:p>
    <w:p w14:paraId="6CDBF3B1">
      <w:pPr>
        <w:snapToGrid w:val="0"/>
        <w:spacing w:line="460" w:lineRule="exact"/>
        <w:ind w:firstLine="464" w:firstLineChars="200"/>
        <w:jc w:val="center"/>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w:t>
      </w:r>
      <w:r>
        <w:rPr>
          <w:rFonts w:hint="eastAsia" w:ascii="新宋体" w:hAnsi="新宋体" w:eastAsia="新宋体" w:cs="新宋体"/>
          <w:color w:val="auto"/>
          <w:spacing w:val="6"/>
          <w:sz w:val="22"/>
          <w:szCs w:val="22"/>
          <w:highlight w:val="none"/>
          <w:lang w:val="zh-CN"/>
        </w:rPr>
        <w:t>小型、微型</w:t>
      </w:r>
      <w:r>
        <w:rPr>
          <w:rFonts w:hint="eastAsia" w:ascii="新宋体" w:hAnsi="新宋体" w:eastAsia="新宋体" w:cs="新宋体"/>
          <w:color w:val="auto"/>
          <w:spacing w:val="6"/>
          <w:sz w:val="22"/>
          <w:szCs w:val="22"/>
          <w:highlight w:val="none"/>
        </w:rPr>
        <w:t>企业不用提供】</w:t>
      </w:r>
    </w:p>
    <w:p w14:paraId="54C9F8EE">
      <w:pPr>
        <w:spacing w:line="380" w:lineRule="exact"/>
        <w:rPr>
          <w:rFonts w:ascii="新宋体" w:hAnsi="新宋体" w:eastAsia="新宋体" w:cs="新宋体"/>
          <w:color w:val="auto"/>
          <w:sz w:val="22"/>
          <w:szCs w:val="22"/>
          <w:highlight w:val="none"/>
        </w:rPr>
      </w:pPr>
    </w:p>
    <w:p w14:paraId="6B642595">
      <w:pPr>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3CF8EAF2">
      <w:pPr>
        <w:spacing w:line="460" w:lineRule="exact"/>
        <w:ind w:firstLine="442" w:firstLineChars="200"/>
        <w:rPr>
          <w:rFonts w:ascii="新宋体" w:hAnsi="新宋体" w:eastAsia="新宋体" w:cs="新宋体"/>
          <w:b/>
          <w:bCs/>
          <w:color w:val="auto"/>
          <w:sz w:val="22"/>
          <w:szCs w:val="22"/>
          <w:highlight w:val="none"/>
          <w:lang w:val="zh-CN"/>
        </w:rPr>
      </w:pPr>
    </w:p>
    <w:p w14:paraId="7988628F">
      <w:pPr>
        <w:spacing w:line="460" w:lineRule="exact"/>
        <w:jc w:val="center"/>
        <w:rPr>
          <w:rFonts w:ascii="新宋体" w:hAnsi="新宋体" w:eastAsia="新宋体" w:cs="新宋体"/>
          <w:b/>
          <w:bCs/>
          <w:color w:val="auto"/>
          <w:sz w:val="22"/>
          <w:szCs w:val="22"/>
          <w:highlight w:val="none"/>
        </w:rPr>
      </w:pPr>
    </w:p>
    <w:p w14:paraId="0D2F1E0D">
      <w:pPr>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pacing w:val="20"/>
          <w:sz w:val="22"/>
          <w:szCs w:val="22"/>
          <w:highlight w:val="none"/>
        </w:rPr>
        <w:t>中小企业声明函（货物）</w:t>
      </w:r>
      <w:r>
        <w:rPr>
          <w:rFonts w:hint="eastAsia" w:ascii="新宋体" w:hAnsi="新宋体" w:eastAsia="新宋体" w:cs="新宋体"/>
          <w:b/>
          <w:bCs/>
          <w:color w:val="auto"/>
          <w:sz w:val="22"/>
          <w:szCs w:val="22"/>
          <w:highlight w:val="none"/>
        </w:rPr>
        <w:t>》</w:t>
      </w:r>
    </w:p>
    <w:p w14:paraId="3BDBD90D">
      <w:pPr>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【不属于中小企业单位的无需填写、递交】</w:t>
      </w:r>
    </w:p>
    <w:p w14:paraId="1B09F5BB">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本公司（联合体）郑重声明，根据《政府采购促进中小企业发展管理办法》（财库﹝2020﹞46 号）的规定，本公司（联合体）参加</w:t>
      </w:r>
      <w:r>
        <w:rPr>
          <w:rFonts w:hint="eastAsia" w:ascii="新宋体" w:hAnsi="新宋体" w:eastAsia="新宋体" w:cs="新宋体"/>
          <w:color w:val="auto"/>
          <w:spacing w:val="20"/>
          <w:sz w:val="22"/>
          <w:szCs w:val="22"/>
          <w:highlight w:val="none"/>
          <w:u w:val="single"/>
        </w:rPr>
        <w:t>（单位名称）</w:t>
      </w:r>
      <w:r>
        <w:rPr>
          <w:rFonts w:hint="eastAsia" w:ascii="新宋体" w:hAnsi="新宋体" w:eastAsia="新宋体" w:cs="新宋体"/>
          <w:color w:val="auto"/>
          <w:spacing w:val="20"/>
          <w:sz w:val="22"/>
          <w:szCs w:val="22"/>
          <w:highlight w:val="none"/>
        </w:rPr>
        <w:t>的</w:t>
      </w:r>
      <w:r>
        <w:rPr>
          <w:rFonts w:hint="eastAsia" w:ascii="新宋体" w:hAnsi="新宋体" w:eastAsia="新宋体" w:cs="新宋体"/>
          <w:color w:val="auto"/>
          <w:spacing w:val="20"/>
          <w:sz w:val="22"/>
          <w:szCs w:val="22"/>
          <w:highlight w:val="none"/>
          <w:u w:val="single"/>
        </w:rPr>
        <w:t>（项目名称）</w:t>
      </w:r>
      <w:r>
        <w:rPr>
          <w:rFonts w:hint="eastAsia" w:ascii="新宋体" w:hAnsi="新宋体" w:eastAsia="新宋体" w:cs="新宋体"/>
          <w:color w:val="auto"/>
          <w:spacing w:val="20"/>
          <w:sz w:val="22"/>
          <w:szCs w:val="22"/>
          <w:highlight w:val="none"/>
        </w:rPr>
        <w:t>采购活动，提供的货物全部由符合政策要求的中小企业制造。相关企业（含联合体中的中小企业、签订分包意向协议的中小企业）的具体情况如下：</w:t>
      </w:r>
    </w:p>
    <w:p w14:paraId="0A44A51D">
      <w:pPr>
        <w:spacing w:line="460" w:lineRule="exact"/>
        <w:ind w:firstLine="44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z w:val="22"/>
          <w:szCs w:val="22"/>
          <w:highlight w:val="none"/>
          <w:lang w:val="zh-CN"/>
        </w:rPr>
        <w:t>1.</w:t>
      </w:r>
      <w:r>
        <w:rPr>
          <w:rFonts w:hint="eastAsia" w:ascii="新宋体" w:hAnsi="新宋体" w:eastAsia="新宋体" w:cs="新宋体"/>
          <w:color w:val="auto"/>
          <w:sz w:val="22"/>
          <w:szCs w:val="22"/>
          <w:highlight w:val="none"/>
          <w:u w:val="single"/>
          <w:lang w:val="zh-CN"/>
        </w:rPr>
        <w:t>（标的名称）</w:t>
      </w:r>
      <w:r>
        <w:rPr>
          <w:rFonts w:hint="eastAsia" w:ascii="新宋体" w:hAnsi="新宋体" w:eastAsia="新宋体" w:cs="新宋体"/>
          <w:color w:val="auto"/>
          <w:sz w:val="22"/>
          <w:szCs w:val="22"/>
          <w:highlight w:val="none"/>
          <w:lang w:val="zh-CN"/>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4D2C47BD">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2.</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行业；制造商为（企业名称），从业人员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2C904625">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w:t>
      </w:r>
    </w:p>
    <w:p w14:paraId="2BC1EF0A">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以上企业，不属于大企业的分支机构，不存在控股股东为大企业的情形，也不存在与大企业的负责人为同一人的情形。</w:t>
      </w:r>
    </w:p>
    <w:p w14:paraId="1DCBE577">
      <w:pPr>
        <w:spacing w:line="460" w:lineRule="exact"/>
        <w:ind w:firstLine="52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本企业对上述声明内容的真实性负责。如有虚假，将依法承担相应责任。</w:t>
      </w:r>
    </w:p>
    <w:p w14:paraId="64A2CB51">
      <w:pPr>
        <w:spacing w:line="460" w:lineRule="exact"/>
        <w:ind w:firstLine="4420" w:firstLineChars="17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企业名称（盖章）：</w:t>
      </w:r>
    </w:p>
    <w:p w14:paraId="1EF35D82">
      <w:pPr>
        <w:spacing w:line="460" w:lineRule="exact"/>
        <w:ind w:firstLine="4420" w:firstLineChars="17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日 期：</w:t>
      </w:r>
    </w:p>
    <w:p w14:paraId="20232122">
      <w:pPr>
        <w:rPr>
          <w:rFonts w:ascii="新宋体" w:hAnsi="新宋体" w:eastAsia="新宋体" w:cs="新宋体"/>
          <w:color w:val="auto"/>
          <w:spacing w:val="20"/>
          <w:sz w:val="22"/>
          <w:szCs w:val="22"/>
          <w:highlight w:val="none"/>
        </w:rPr>
      </w:pPr>
    </w:p>
    <w:p w14:paraId="630A75E2">
      <w:pPr>
        <w:rPr>
          <w:rFonts w:hint="eastAsia" w:ascii="新宋体" w:hAnsi="新宋体" w:eastAsia="新宋体" w:cs="新宋体"/>
          <w:b/>
          <w:bCs/>
          <w:color w:val="auto"/>
          <w:sz w:val="24"/>
          <w:highlight w:val="none"/>
          <w:lang w:eastAsia="zh-CN"/>
        </w:rPr>
      </w:pPr>
      <w:r>
        <w:rPr>
          <w:rFonts w:hint="eastAsia" w:ascii="新宋体" w:hAnsi="新宋体" w:eastAsia="新宋体" w:cs="新宋体"/>
          <w:b/>
          <w:bCs/>
          <w:color w:val="auto"/>
          <w:sz w:val="24"/>
          <w:highlight w:val="none"/>
          <w:lang w:eastAsia="zh-CN"/>
        </w:rPr>
        <w:br w:type="page"/>
      </w:r>
    </w:p>
    <w:p w14:paraId="1FA206BF">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2</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监狱企业的相关证明材料</w:t>
      </w:r>
    </w:p>
    <w:p w14:paraId="6A8AE9B0">
      <w:pPr>
        <w:spacing w:line="460" w:lineRule="exact"/>
        <w:ind w:firstLine="466" w:firstLineChars="200"/>
        <w:rPr>
          <w:rFonts w:ascii="新宋体" w:hAnsi="新宋体" w:eastAsia="新宋体" w:cs="新宋体"/>
          <w:b/>
          <w:bCs/>
          <w:color w:val="auto"/>
          <w:sz w:val="22"/>
          <w:szCs w:val="22"/>
          <w:highlight w:val="none"/>
          <w:u w:val="single"/>
          <w:lang w:val="zh-CN"/>
        </w:rPr>
      </w:pPr>
      <w:r>
        <w:rPr>
          <w:rFonts w:hint="eastAsia" w:ascii="新宋体" w:hAnsi="新宋体" w:eastAsia="新宋体" w:cs="新宋体"/>
          <w:b/>
          <w:color w:val="auto"/>
          <w:spacing w:val="6"/>
          <w:sz w:val="22"/>
          <w:szCs w:val="22"/>
          <w:highlight w:val="none"/>
        </w:rPr>
        <w:t>需提供相关证明材料，</w:t>
      </w:r>
      <w:r>
        <w:rPr>
          <w:rFonts w:hint="eastAsia" w:ascii="新宋体" w:hAnsi="新宋体" w:eastAsia="新宋体" w:cs="新宋体"/>
          <w:b/>
          <w:bCs/>
          <w:color w:val="auto"/>
          <w:sz w:val="22"/>
          <w:szCs w:val="22"/>
          <w:highlight w:val="none"/>
          <w:u w:val="single"/>
          <w:lang w:val="zh-CN"/>
        </w:rPr>
        <w:t>未提供证明材料或不能清楚辨析</w:t>
      </w:r>
      <w:r>
        <w:rPr>
          <w:rFonts w:hint="eastAsia" w:ascii="新宋体" w:hAnsi="新宋体" w:eastAsia="新宋体" w:cs="新宋体"/>
          <w:b/>
          <w:bCs/>
          <w:color w:val="auto"/>
          <w:sz w:val="22"/>
          <w:szCs w:val="22"/>
          <w:highlight w:val="none"/>
          <w:u w:val="single"/>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lang w:val="zh-CN"/>
        </w:rPr>
        <w:t>。</w:t>
      </w:r>
    </w:p>
    <w:p w14:paraId="53CF6E61">
      <w:pPr>
        <w:adjustRightInd w:val="0"/>
        <w:snapToGrid w:val="0"/>
        <w:spacing w:line="300" w:lineRule="auto"/>
        <w:jc w:val="center"/>
        <w:rPr>
          <w:rFonts w:ascii="新宋体" w:hAnsi="新宋体" w:eastAsia="新宋体" w:cs="新宋体"/>
          <w:b/>
          <w:color w:val="auto"/>
          <w:spacing w:val="6"/>
          <w:sz w:val="22"/>
          <w:szCs w:val="22"/>
          <w:highlight w:val="none"/>
        </w:rPr>
      </w:pPr>
    </w:p>
    <w:p w14:paraId="0AB210CA">
      <w:pPr>
        <w:adjustRightInd w:val="0"/>
        <w:snapToGrid w:val="0"/>
        <w:spacing w:line="300" w:lineRule="auto"/>
        <w:jc w:val="center"/>
        <w:rPr>
          <w:rFonts w:ascii="新宋体" w:hAnsi="新宋体" w:eastAsia="新宋体" w:cs="新宋体"/>
          <w:b/>
          <w:color w:val="auto"/>
          <w:spacing w:val="6"/>
          <w:sz w:val="22"/>
          <w:szCs w:val="22"/>
          <w:highlight w:val="none"/>
        </w:rPr>
      </w:pPr>
    </w:p>
    <w:p w14:paraId="2EF1D1AB">
      <w:pPr>
        <w:adjustRightInd w:val="0"/>
        <w:snapToGrid w:val="0"/>
        <w:spacing w:line="300" w:lineRule="auto"/>
        <w:jc w:val="center"/>
        <w:rPr>
          <w:rFonts w:ascii="新宋体" w:hAnsi="新宋体" w:eastAsia="新宋体" w:cs="新宋体"/>
          <w:b/>
          <w:color w:val="auto"/>
          <w:spacing w:val="6"/>
          <w:sz w:val="22"/>
          <w:szCs w:val="22"/>
          <w:highlight w:val="none"/>
        </w:rPr>
      </w:pPr>
    </w:p>
    <w:p w14:paraId="16C3DC51">
      <w:pPr>
        <w:adjustRightInd w:val="0"/>
        <w:snapToGrid w:val="0"/>
        <w:spacing w:line="300" w:lineRule="auto"/>
        <w:jc w:val="center"/>
        <w:rPr>
          <w:rFonts w:ascii="新宋体" w:hAnsi="新宋体" w:eastAsia="新宋体" w:cs="新宋体"/>
          <w:color w:val="auto"/>
          <w:kern w:val="0"/>
          <w:sz w:val="22"/>
          <w:szCs w:val="22"/>
          <w:highlight w:val="none"/>
        </w:rPr>
      </w:pPr>
      <w:r>
        <w:rPr>
          <w:rFonts w:hint="eastAsia" w:ascii="新宋体" w:hAnsi="新宋体" w:eastAsia="新宋体" w:cs="新宋体"/>
          <w:b/>
          <w:color w:val="auto"/>
          <w:spacing w:val="6"/>
          <w:sz w:val="22"/>
          <w:szCs w:val="22"/>
          <w:highlight w:val="none"/>
        </w:rPr>
        <w:t>监狱企业声明函</w:t>
      </w:r>
    </w:p>
    <w:p w14:paraId="05EBEC71">
      <w:pPr>
        <w:snapToGrid w:val="0"/>
        <w:spacing w:line="460" w:lineRule="exact"/>
        <w:jc w:val="center"/>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14:paraId="13292500">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本企业郑重声明，根据《关于政府采购支持监狱企业发展有关问题的通知》（财库[2014]68号）的规定，本企业为监狱企业。 </w:t>
      </w:r>
    </w:p>
    <w:p w14:paraId="589E26E6">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根据上述标准，我企业属于监狱企业的理由为：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 </w:t>
      </w:r>
    </w:p>
    <w:p w14:paraId="12C14952">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本企业为参加（招标项目名称：</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）（招标编号：</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）采购活动并承担本工程。 </w:t>
      </w:r>
    </w:p>
    <w:p w14:paraId="7F0A52D4">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本企业对上述声明的真实性负责。如有虚假，将依法承担相应责任。  </w:t>
      </w:r>
    </w:p>
    <w:p w14:paraId="499E8840">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投标人全称（</w:t>
      </w:r>
      <w:r>
        <w:rPr>
          <w:rFonts w:hint="eastAsia" w:ascii="新宋体" w:hAnsi="新宋体" w:eastAsia="新宋体" w:cs="新宋体"/>
          <w:color w:val="auto"/>
          <w:kern w:val="0"/>
          <w:sz w:val="22"/>
          <w:szCs w:val="22"/>
          <w:highlight w:val="none"/>
        </w:rPr>
        <w:t>盖章）：</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 xml:space="preserve"> </w:t>
      </w:r>
    </w:p>
    <w:p w14:paraId="4CFB89AD">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 xml:space="preserve">日期：    年    月 </w:t>
      </w:r>
      <w:r>
        <w:rPr>
          <w:rFonts w:hint="eastAsia" w:ascii="新宋体" w:hAnsi="新宋体" w:eastAsia="新宋体" w:cs="新宋体"/>
          <w:color w:val="auto"/>
          <w:kern w:val="0"/>
          <w:sz w:val="22"/>
          <w:szCs w:val="22"/>
          <w:highlight w:val="none"/>
        </w:rPr>
        <w:t xml:space="preserve">  日 </w:t>
      </w:r>
    </w:p>
    <w:p w14:paraId="3A58EF72">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14:paraId="3BFF34D4">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25C34528">
      <w:pPr>
        <w:spacing w:line="460" w:lineRule="exact"/>
        <w:rPr>
          <w:rFonts w:ascii="新宋体" w:hAnsi="新宋体" w:eastAsia="新宋体" w:cs="新宋体"/>
          <w:color w:val="auto"/>
          <w:spacing w:val="20"/>
          <w:sz w:val="22"/>
          <w:szCs w:val="22"/>
          <w:highlight w:val="none"/>
        </w:rPr>
      </w:pPr>
    </w:p>
    <w:p w14:paraId="5052C9C2">
      <w:pPr>
        <w:spacing w:line="460" w:lineRule="exact"/>
        <w:rPr>
          <w:rFonts w:ascii="新宋体" w:hAnsi="新宋体" w:eastAsia="新宋体" w:cs="新宋体"/>
          <w:color w:val="auto"/>
          <w:spacing w:val="20"/>
          <w:sz w:val="22"/>
          <w:szCs w:val="22"/>
          <w:highlight w:val="none"/>
        </w:rPr>
      </w:pPr>
    </w:p>
    <w:p w14:paraId="453AC84F">
      <w:pPr>
        <w:spacing w:line="380" w:lineRule="exact"/>
        <w:rPr>
          <w:rFonts w:ascii="新宋体" w:hAnsi="新宋体" w:eastAsia="新宋体" w:cs="新宋体"/>
          <w:color w:val="auto"/>
          <w:sz w:val="22"/>
          <w:szCs w:val="22"/>
          <w:highlight w:val="none"/>
        </w:rPr>
      </w:pPr>
    </w:p>
    <w:p w14:paraId="3CBB9BDC">
      <w:pPr>
        <w:spacing w:line="380" w:lineRule="exact"/>
        <w:rPr>
          <w:rFonts w:ascii="新宋体" w:hAnsi="新宋体" w:eastAsia="新宋体" w:cs="新宋体"/>
          <w:color w:val="auto"/>
          <w:sz w:val="22"/>
          <w:szCs w:val="22"/>
          <w:highlight w:val="none"/>
        </w:rPr>
      </w:pPr>
    </w:p>
    <w:p w14:paraId="7B71D150">
      <w:pPr>
        <w:spacing w:line="380" w:lineRule="exact"/>
        <w:rPr>
          <w:rFonts w:ascii="新宋体" w:hAnsi="新宋体" w:eastAsia="新宋体" w:cs="新宋体"/>
          <w:color w:val="auto"/>
          <w:sz w:val="22"/>
          <w:szCs w:val="22"/>
          <w:highlight w:val="none"/>
        </w:rPr>
      </w:pPr>
    </w:p>
    <w:p w14:paraId="631FBFBE">
      <w:pPr>
        <w:spacing w:line="380" w:lineRule="exact"/>
        <w:rPr>
          <w:rFonts w:ascii="新宋体" w:hAnsi="新宋体" w:eastAsia="新宋体" w:cs="新宋体"/>
          <w:color w:val="auto"/>
          <w:sz w:val="22"/>
          <w:szCs w:val="22"/>
          <w:highlight w:val="none"/>
        </w:rPr>
      </w:pPr>
    </w:p>
    <w:p w14:paraId="1D8415B5">
      <w:pPr>
        <w:spacing w:line="380" w:lineRule="exact"/>
        <w:rPr>
          <w:rFonts w:ascii="新宋体" w:hAnsi="新宋体" w:eastAsia="新宋体" w:cs="新宋体"/>
          <w:color w:val="auto"/>
          <w:sz w:val="22"/>
          <w:szCs w:val="22"/>
          <w:highlight w:val="none"/>
        </w:rPr>
      </w:pPr>
    </w:p>
    <w:p w14:paraId="47F0FB7C">
      <w:pPr>
        <w:spacing w:line="380" w:lineRule="exact"/>
        <w:rPr>
          <w:rFonts w:ascii="新宋体" w:hAnsi="新宋体" w:eastAsia="新宋体" w:cs="新宋体"/>
          <w:color w:val="auto"/>
          <w:sz w:val="22"/>
          <w:szCs w:val="22"/>
          <w:highlight w:val="none"/>
        </w:rPr>
      </w:pPr>
    </w:p>
    <w:p w14:paraId="377BDFBB">
      <w:pPr>
        <w:spacing w:line="380" w:lineRule="exact"/>
        <w:rPr>
          <w:rFonts w:ascii="新宋体" w:hAnsi="新宋体" w:eastAsia="新宋体" w:cs="新宋体"/>
          <w:color w:val="auto"/>
          <w:sz w:val="22"/>
          <w:szCs w:val="22"/>
          <w:highlight w:val="none"/>
        </w:rPr>
      </w:pPr>
    </w:p>
    <w:p w14:paraId="1495C31A">
      <w:pPr>
        <w:spacing w:line="380" w:lineRule="exact"/>
        <w:rPr>
          <w:rFonts w:ascii="新宋体" w:hAnsi="新宋体" w:eastAsia="新宋体" w:cs="新宋体"/>
          <w:color w:val="auto"/>
          <w:sz w:val="22"/>
          <w:szCs w:val="22"/>
          <w:highlight w:val="none"/>
        </w:rPr>
      </w:pPr>
    </w:p>
    <w:p w14:paraId="0B96B1BB">
      <w:pPr>
        <w:pStyle w:val="23"/>
        <w:rPr>
          <w:rFonts w:ascii="新宋体" w:hAnsi="新宋体" w:eastAsia="新宋体" w:cs="新宋体"/>
          <w:color w:val="auto"/>
          <w:highlight w:val="none"/>
        </w:rPr>
      </w:pPr>
    </w:p>
    <w:p w14:paraId="1DB5E0C8">
      <w:pPr>
        <w:pStyle w:val="23"/>
        <w:rPr>
          <w:rFonts w:ascii="新宋体" w:hAnsi="新宋体" w:eastAsia="新宋体" w:cs="新宋体"/>
          <w:color w:val="auto"/>
          <w:highlight w:val="none"/>
        </w:rPr>
      </w:pPr>
    </w:p>
    <w:p w14:paraId="673D0404">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残疾人福利性单位的相关证明材料</w:t>
      </w:r>
    </w:p>
    <w:p w14:paraId="03161DF7">
      <w:pPr>
        <w:spacing w:line="460" w:lineRule="exact"/>
        <w:ind w:firstLine="520" w:firstLineChars="200"/>
        <w:rPr>
          <w:rFonts w:ascii="新宋体" w:hAnsi="新宋体" w:eastAsia="新宋体" w:cs="新宋体"/>
          <w:color w:val="auto"/>
          <w:spacing w:val="20"/>
          <w:sz w:val="22"/>
          <w:szCs w:val="22"/>
          <w:highlight w:val="none"/>
        </w:rPr>
      </w:pPr>
    </w:p>
    <w:p w14:paraId="2AFA652B">
      <w:pPr>
        <w:spacing w:line="460" w:lineRule="exact"/>
        <w:rPr>
          <w:rFonts w:ascii="新宋体" w:hAnsi="新宋体" w:eastAsia="新宋体" w:cs="新宋体"/>
          <w:color w:val="auto"/>
          <w:spacing w:val="20"/>
          <w:sz w:val="22"/>
          <w:szCs w:val="22"/>
          <w:highlight w:val="none"/>
        </w:rPr>
      </w:pPr>
    </w:p>
    <w:p w14:paraId="2D4D8973">
      <w:pPr>
        <w:spacing w:line="460" w:lineRule="exact"/>
        <w:rPr>
          <w:rFonts w:ascii="新宋体" w:hAnsi="新宋体" w:eastAsia="新宋体" w:cs="新宋体"/>
          <w:color w:val="auto"/>
          <w:spacing w:val="20"/>
          <w:sz w:val="22"/>
          <w:szCs w:val="22"/>
          <w:highlight w:val="none"/>
        </w:rPr>
      </w:pPr>
    </w:p>
    <w:p w14:paraId="341DFECB">
      <w:pPr>
        <w:spacing w:line="460" w:lineRule="exact"/>
        <w:jc w:val="center"/>
        <w:rPr>
          <w:rFonts w:ascii="新宋体" w:hAnsi="新宋体" w:eastAsia="新宋体" w:cs="新宋体"/>
          <w:color w:val="auto"/>
          <w:spacing w:val="6"/>
          <w:sz w:val="22"/>
          <w:szCs w:val="22"/>
          <w:highlight w:val="none"/>
        </w:rPr>
      </w:pPr>
      <w:r>
        <w:rPr>
          <w:rFonts w:hint="eastAsia" w:ascii="新宋体" w:hAnsi="新宋体" w:eastAsia="新宋体" w:cs="新宋体"/>
          <w:b/>
          <w:color w:val="auto"/>
          <w:spacing w:val="6"/>
          <w:sz w:val="22"/>
          <w:szCs w:val="22"/>
          <w:highlight w:val="none"/>
        </w:rPr>
        <w:t>残疾人福利性单位声明函</w:t>
      </w:r>
    </w:p>
    <w:p w14:paraId="4E3A6541">
      <w:pPr>
        <w:widowControl/>
        <w:adjustRightInd w:val="0"/>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【不属于残疾人福利性单位的无需填写、递交】</w:t>
      </w:r>
    </w:p>
    <w:p w14:paraId="2D7ABB76">
      <w:pPr>
        <w:snapToGrid w:val="0"/>
        <w:spacing w:line="460" w:lineRule="exact"/>
        <w:jc w:val="center"/>
        <w:rPr>
          <w:rFonts w:ascii="新宋体" w:hAnsi="新宋体" w:eastAsia="新宋体" w:cs="新宋体"/>
          <w:b/>
          <w:bCs/>
          <w:color w:val="auto"/>
          <w:sz w:val="22"/>
          <w:szCs w:val="22"/>
          <w:highlight w:val="none"/>
        </w:rPr>
      </w:pPr>
    </w:p>
    <w:p w14:paraId="75660BC9">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rPr>
        <w:t>〔2017〕141</w:t>
      </w:r>
      <w:r>
        <w:rPr>
          <w:rFonts w:hint="eastAsia" w:ascii="新宋体" w:hAnsi="新宋体" w:eastAsia="新宋体" w:cs="新宋体"/>
          <w:color w:val="auto"/>
          <w:spacing w:val="6"/>
          <w:sz w:val="22"/>
          <w:szCs w:val="22"/>
          <w:highlight w:val="none"/>
        </w:rPr>
        <w:t>号）的规定，本单位为符合条件的残疾人福利性单位，且本单位参加</w:t>
      </w:r>
      <w:r>
        <w:rPr>
          <w:rFonts w:hint="eastAsia" w:ascii="新宋体" w:hAnsi="新宋体" w:eastAsia="新宋体" w:cs="新宋体"/>
          <w:color w:val="auto"/>
          <w:spacing w:val="6"/>
          <w:sz w:val="22"/>
          <w:szCs w:val="22"/>
          <w:highlight w:val="none"/>
          <w:u w:val="single"/>
        </w:rPr>
        <w:t>（招标人名称）</w:t>
      </w:r>
      <w:r>
        <w:rPr>
          <w:rFonts w:hint="eastAsia" w:ascii="新宋体" w:hAnsi="新宋体" w:eastAsia="新宋体" w:cs="新宋体"/>
          <w:color w:val="auto"/>
          <w:spacing w:val="6"/>
          <w:sz w:val="22"/>
          <w:szCs w:val="22"/>
          <w:highlight w:val="none"/>
        </w:rPr>
        <w:t>单位的</w:t>
      </w:r>
      <w:r>
        <w:rPr>
          <w:rFonts w:hint="eastAsia" w:ascii="新宋体" w:hAnsi="新宋体" w:eastAsia="新宋体" w:cs="新宋体"/>
          <w:color w:val="auto"/>
          <w:spacing w:val="6"/>
          <w:sz w:val="22"/>
          <w:szCs w:val="22"/>
          <w:highlight w:val="none"/>
          <w:u w:val="single"/>
        </w:rPr>
        <w:t>（招标项目名称）</w:t>
      </w:r>
      <w:r>
        <w:rPr>
          <w:rFonts w:hint="eastAsia" w:ascii="新宋体" w:hAnsi="新宋体" w:eastAsia="新宋体" w:cs="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14:paraId="212229D4">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14:paraId="347F2363">
      <w:pPr>
        <w:snapToGrid w:val="0"/>
        <w:spacing w:line="460" w:lineRule="exact"/>
        <w:ind w:firstLine="464" w:firstLineChars="200"/>
        <w:rPr>
          <w:rFonts w:ascii="新宋体" w:hAnsi="新宋体" w:eastAsia="新宋体" w:cs="新宋体"/>
          <w:color w:val="auto"/>
          <w:spacing w:val="6"/>
          <w:sz w:val="22"/>
          <w:szCs w:val="22"/>
          <w:highlight w:val="none"/>
        </w:rPr>
      </w:pPr>
    </w:p>
    <w:p w14:paraId="0D751711">
      <w:pPr>
        <w:snapToGrid w:val="0"/>
        <w:spacing w:line="460" w:lineRule="exact"/>
        <w:ind w:firstLine="464" w:firstLineChars="200"/>
        <w:rPr>
          <w:rFonts w:ascii="新宋体" w:hAnsi="新宋体" w:eastAsia="新宋体" w:cs="新宋体"/>
          <w:color w:val="auto"/>
          <w:spacing w:val="6"/>
          <w:sz w:val="22"/>
          <w:szCs w:val="22"/>
          <w:highlight w:val="none"/>
        </w:rPr>
      </w:pPr>
    </w:p>
    <w:p w14:paraId="6C780131">
      <w:pPr>
        <w:adjustRightInd w:val="0"/>
        <w:snapToGrid w:val="0"/>
        <w:spacing w:line="460" w:lineRule="exact"/>
        <w:ind w:firstLine="440" w:firstLineChars="20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p>
    <w:p w14:paraId="79AA47F2">
      <w:pPr>
        <w:pStyle w:val="23"/>
        <w:spacing w:line="460" w:lineRule="exact"/>
        <w:ind w:left="877" w:leftChars="208"/>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6EA18DFF">
      <w:pPr>
        <w:pStyle w:val="23"/>
        <w:spacing w:line="460" w:lineRule="exact"/>
        <w:ind w:left="860" w:hanging="440"/>
        <w:rPr>
          <w:rFonts w:ascii="新宋体" w:hAnsi="新宋体" w:eastAsia="新宋体" w:cs="新宋体"/>
          <w:color w:val="auto"/>
          <w:kern w:val="0"/>
          <w:sz w:val="22"/>
          <w:szCs w:val="22"/>
          <w:highlight w:val="none"/>
        </w:rPr>
      </w:pPr>
    </w:p>
    <w:p w14:paraId="38E7ACDC">
      <w:pPr>
        <w:pStyle w:val="23"/>
        <w:ind w:left="860" w:hanging="440"/>
        <w:rPr>
          <w:rFonts w:ascii="新宋体" w:hAnsi="新宋体" w:eastAsia="新宋体" w:cs="新宋体"/>
          <w:color w:val="auto"/>
          <w:kern w:val="0"/>
          <w:sz w:val="22"/>
          <w:szCs w:val="22"/>
          <w:highlight w:val="none"/>
        </w:rPr>
      </w:pPr>
    </w:p>
    <w:p w14:paraId="4799C431">
      <w:pPr>
        <w:pStyle w:val="23"/>
        <w:ind w:left="440" w:hanging="440"/>
        <w:rPr>
          <w:rFonts w:ascii="新宋体" w:hAnsi="新宋体" w:eastAsia="新宋体" w:cs="新宋体"/>
          <w:color w:val="auto"/>
          <w:kern w:val="0"/>
          <w:sz w:val="22"/>
          <w:szCs w:val="22"/>
          <w:highlight w:val="none"/>
        </w:rPr>
      </w:pPr>
    </w:p>
    <w:p w14:paraId="2F33B8C8">
      <w:pPr>
        <w:pStyle w:val="23"/>
        <w:ind w:left="440" w:hanging="440"/>
        <w:rPr>
          <w:rFonts w:ascii="新宋体" w:hAnsi="新宋体" w:eastAsia="新宋体" w:cs="新宋体"/>
          <w:color w:val="auto"/>
          <w:kern w:val="0"/>
          <w:sz w:val="22"/>
          <w:szCs w:val="22"/>
          <w:highlight w:val="none"/>
        </w:rPr>
      </w:pPr>
    </w:p>
    <w:p w14:paraId="48D2E010">
      <w:pPr>
        <w:pStyle w:val="23"/>
        <w:ind w:left="440" w:hanging="440"/>
        <w:rPr>
          <w:rFonts w:ascii="新宋体" w:hAnsi="新宋体" w:eastAsia="新宋体" w:cs="新宋体"/>
          <w:color w:val="auto"/>
          <w:kern w:val="0"/>
          <w:sz w:val="22"/>
          <w:szCs w:val="22"/>
          <w:highlight w:val="none"/>
        </w:rPr>
      </w:pPr>
    </w:p>
    <w:p w14:paraId="55763347">
      <w:pPr>
        <w:rPr>
          <w:rFonts w:ascii="新宋体" w:hAnsi="新宋体" w:eastAsia="新宋体" w:cs="新宋体"/>
          <w:b/>
          <w:bCs/>
          <w:color w:val="auto"/>
          <w:sz w:val="22"/>
          <w:szCs w:val="22"/>
          <w:highlight w:val="none"/>
        </w:rPr>
      </w:pPr>
    </w:p>
    <w:p w14:paraId="3A3C2184">
      <w:pP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7FF66F2E">
      <w:pPr>
        <w:outlineLvl w:val="1"/>
        <w:rPr>
          <w:rFonts w:ascii="新宋体" w:hAnsi="新宋体" w:eastAsia="新宋体" w:cs="新宋体"/>
          <w:b/>
          <w:bCs/>
          <w:color w:val="auto"/>
          <w:sz w:val="22"/>
          <w:szCs w:val="22"/>
          <w:highlight w:val="none"/>
        </w:rPr>
      </w:pPr>
      <w:bookmarkStart w:id="41" w:name="_Toc23682"/>
      <w:r>
        <w:rPr>
          <w:rFonts w:hint="eastAsia" w:ascii="新宋体" w:hAnsi="新宋体" w:eastAsia="新宋体" w:cs="新宋体"/>
          <w:b/>
          <w:bCs/>
          <w:color w:val="auto"/>
          <w:sz w:val="22"/>
          <w:szCs w:val="22"/>
          <w:highlight w:val="none"/>
        </w:rPr>
        <w:t>附件三</w:t>
      </w:r>
      <w:bookmarkEnd w:id="40"/>
      <w:bookmarkEnd w:id="41"/>
    </w:p>
    <w:p w14:paraId="427667DA">
      <w:pPr>
        <w:spacing w:line="460" w:lineRule="exact"/>
        <w:jc w:val="center"/>
        <w:outlineLvl w:val="2"/>
        <w:rPr>
          <w:rFonts w:ascii="新宋体" w:hAnsi="新宋体" w:eastAsia="新宋体" w:cs="新宋体"/>
          <w:b/>
          <w:bCs/>
          <w:color w:val="auto"/>
          <w:sz w:val="28"/>
          <w:szCs w:val="28"/>
          <w:highlight w:val="none"/>
          <w:lang w:val="zh-CN"/>
        </w:rPr>
      </w:pPr>
      <w:bookmarkStart w:id="42" w:name="_Toc9721"/>
      <w:bookmarkStart w:id="43" w:name="_Toc29102"/>
      <w:r>
        <w:rPr>
          <w:rFonts w:hint="eastAsia" w:ascii="新宋体" w:hAnsi="新宋体" w:eastAsia="新宋体" w:cs="新宋体"/>
          <w:b/>
          <w:bCs/>
          <w:color w:val="auto"/>
          <w:sz w:val="28"/>
          <w:szCs w:val="28"/>
          <w:highlight w:val="none"/>
          <w:lang w:val="zh-CN"/>
        </w:rPr>
        <w:t>商务技术文件</w:t>
      </w:r>
      <w:bookmarkEnd w:id="42"/>
      <w:bookmarkEnd w:id="43"/>
    </w:p>
    <w:p w14:paraId="03CFCC5B">
      <w:pPr>
        <w:spacing w:line="40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zh-CN"/>
        </w:rPr>
        <w:t>投标</w:t>
      </w:r>
      <w:r>
        <w:rPr>
          <w:rFonts w:hint="eastAsia" w:ascii="新宋体" w:hAnsi="新宋体" w:eastAsia="新宋体" w:cs="新宋体"/>
          <w:b/>
          <w:bCs/>
          <w:color w:val="auto"/>
          <w:sz w:val="28"/>
          <w:szCs w:val="28"/>
          <w:highlight w:val="none"/>
        </w:rPr>
        <w:t>响应</w:t>
      </w:r>
      <w:r>
        <w:rPr>
          <w:rFonts w:hint="eastAsia" w:ascii="新宋体" w:hAnsi="新宋体" w:eastAsia="新宋体" w:cs="新宋体"/>
          <w:b/>
          <w:bCs/>
          <w:color w:val="auto"/>
          <w:sz w:val="28"/>
          <w:szCs w:val="28"/>
          <w:highlight w:val="none"/>
          <w:lang w:val="zh-CN"/>
        </w:rPr>
        <w:t>函</w:t>
      </w:r>
    </w:p>
    <w:p w14:paraId="09D293CC">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致：</w:t>
      </w:r>
      <w:r>
        <w:rPr>
          <w:rFonts w:hint="eastAsia" w:ascii="新宋体" w:hAnsi="新宋体" w:eastAsia="新宋体" w:cs="新宋体"/>
          <w:color w:val="auto"/>
          <w:sz w:val="22"/>
          <w:szCs w:val="22"/>
          <w:highlight w:val="none"/>
          <w:lang w:eastAsia="zh-CN"/>
        </w:rPr>
        <w:t>温州市第七人民医院</w:t>
      </w:r>
    </w:p>
    <w:p w14:paraId="4582C9F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项目（招标编号：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（投标人名称）作为投标人正式授权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（授权代表全名，职务）代表我方处理有关本投标的一切事宜。为此：</w:t>
      </w:r>
    </w:p>
    <w:p w14:paraId="5ABBE2D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1、我方同意在投标人编制和提交投标文件须知规定的开标日期起遵守本投标书中的承诺且在投标有效期满之前均具有约束力。</w:t>
      </w:r>
    </w:p>
    <w:p w14:paraId="1F22789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2、我方承诺已经具备《中华人民共和国政府采购法》中规定的参加政府采购活动的投标人应当具备的条件：</w:t>
      </w:r>
    </w:p>
    <w:p w14:paraId="4C6B133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14:paraId="10888BE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14:paraId="308E300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14:paraId="1BACCA1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14:paraId="6CB1E06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14:paraId="3E3ED88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14:paraId="3929061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14:paraId="148EB74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3、提供编制和提交投标文件须知规定的全部投标文件，包括资格文件、报价文件、商务技术文件。具体内容为：</w:t>
      </w:r>
    </w:p>
    <w:p w14:paraId="5CBACCC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14:paraId="33F6ED4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14:paraId="654A818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商务技术文件</w:t>
      </w:r>
      <w:r>
        <w:rPr>
          <w:rFonts w:hint="eastAsia" w:ascii="新宋体" w:hAnsi="新宋体" w:eastAsia="新宋体" w:cs="新宋体"/>
          <w:color w:val="auto"/>
          <w:sz w:val="22"/>
          <w:szCs w:val="22"/>
          <w:highlight w:val="none"/>
        </w:rPr>
        <w:t>；</w:t>
      </w:r>
    </w:p>
    <w:p w14:paraId="6A73D55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（4）编制和提交投标文件须知要求投标人提交的全部文件；</w:t>
      </w:r>
    </w:p>
    <w:p w14:paraId="79BB272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14:paraId="1DC82D6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14:paraId="02C8031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14:paraId="72CC299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4、投标有效期内不撤销投标文件，如中标，有效期将延至合同终止日为止。</w:t>
      </w:r>
    </w:p>
    <w:p w14:paraId="512F0E0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14:paraId="23EF317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741DD1C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7、如中标，按招标文件规定的招标代理服务费标准，在领取中标通知书时向招标代理机构支付招标代理服务费。</w:t>
      </w:r>
    </w:p>
    <w:p w14:paraId="2BDE05F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14:paraId="3761DA0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5618FE4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2BC2E0E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14:paraId="6DFD98E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（2）采取不正当手段诋毁、排挤其他投标人的；</w:t>
      </w:r>
    </w:p>
    <w:p w14:paraId="132E497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（3）与招标人、其它投标人或者招标代理机构恶意串通的；</w:t>
      </w:r>
    </w:p>
    <w:p w14:paraId="7BF2294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（4）向招标人、招标代理机构行贿或者提供其他不正当利益的；</w:t>
      </w:r>
    </w:p>
    <w:p w14:paraId="75FCE81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（5）在招标采购过程中与招标人进行协商谈判的；</w:t>
      </w:r>
    </w:p>
    <w:p w14:paraId="141FDEA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14:paraId="0909CF3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投标人有前款第（1）至（5）项情形之一的，中标、成交无效。</w:t>
      </w:r>
    </w:p>
    <w:p w14:paraId="7EAD465E">
      <w:pPr>
        <w:spacing w:line="460" w:lineRule="exact"/>
        <w:rPr>
          <w:rFonts w:ascii="新宋体" w:hAnsi="新宋体" w:eastAsia="新宋体" w:cs="新宋体"/>
          <w:color w:val="auto"/>
          <w:sz w:val="22"/>
          <w:szCs w:val="22"/>
          <w:highlight w:val="none"/>
          <w:lang w:val="zh-CN"/>
        </w:rPr>
      </w:pPr>
    </w:p>
    <w:p w14:paraId="0CC69BD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法定（授权）代表人（签字）：</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p>
    <w:p w14:paraId="0D4E1AA7">
      <w:pPr>
        <w:spacing w:line="460" w:lineRule="exact"/>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投标人（盖 章）：</w:t>
      </w:r>
      <w:r>
        <w:rPr>
          <w:rFonts w:hint="eastAsia" w:ascii="新宋体" w:hAnsi="新宋体" w:eastAsia="新宋体" w:cs="新宋体"/>
          <w:color w:val="auto"/>
          <w:sz w:val="22"/>
          <w:szCs w:val="22"/>
          <w:highlight w:val="none"/>
          <w:u w:val="single"/>
          <w:lang w:val="zh-CN"/>
        </w:rPr>
        <w:t xml:space="preserve">                   </w:t>
      </w:r>
    </w:p>
    <w:p w14:paraId="0E8E6F70">
      <w:pPr>
        <w:spacing w:line="460" w:lineRule="exact"/>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val="zh-CN"/>
        </w:rPr>
        <w:t>联系电话：</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传真：</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电子邮件：</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7D526EA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联系地址：</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6DF613F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邮政编码：</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 xml:space="preserve"> </w:t>
      </w:r>
    </w:p>
    <w:p w14:paraId="6BE9FA4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日</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zh-CN"/>
        </w:rPr>
        <w:t>期</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月</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日</w:t>
      </w:r>
    </w:p>
    <w:p w14:paraId="2BF0B833">
      <w:pPr>
        <w:spacing w:line="460" w:lineRule="exact"/>
        <w:rPr>
          <w:rFonts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注：未按照本投标响应函要求填报的将被视为非实质性响应，从而可能导致该投标文件被拒绝。</w:t>
      </w:r>
    </w:p>
    <w:p w14:paraId="4C3A4CDB">
      <w:pPr>
        <w:pStyle w:val="23"/>
        <w:ind w:left="442" w:hanging="442"/>
        <w:rPr>
          <w:rFonts w:ascii="新宋体" w:hAnsi="新宋体" w:eastAsia="新宋体" w:cs="新宋体"/>
          <w:b/>
          <w:bCs/>
          <w:color w:val="auto"/>
          <w:sz w:val="22"/>
          <w:szCs w:val="22"/>
          <w:highlight w:val="none"/>
        </w:rPr>
      </w:pPr>
    </w:p>
    <w:p w14:paraId="5F9D252A">
      <w:pPr>
        <w:pStyle w:val="23"/>
        <w:ind w:left="442" w:hanging="442"/>
        <w:rPr>
          <w:rFonts w:ascii="新宋体" w:hAnsi="新宋体" w:eastAsia="新宋体" w:cs="新宋体"/>
          <w:b/>
          <w:bCs/>
          <w:color w:val="auto"/>
          <w:sz w:val="22"/>
          <w:szCs w:val="22"/>
          <w:highlight w:val="none"/>
        </w:rPr>
      </w:pPr>
    </w:p>
    <w:p w14:paraId="1025EE94">
      <w:pPr>
        <w:pStyle w:val="23"/>
        <w:ind w:left="442" w:hanging="442"/>
        <w:rPr>
          <w:rFonts w:ascii="新宋体" w:hAnsi="新宋体" w:eastAsia="新宋体" w:cs="新宋体"/>
          <w:b/>
          <w:bCs/>
          <w:color w:val="auto"/>
          <w:sz w:val="22"/>
          <w:szCs w:val="22"/>
          <w:highlight w:val="none"/>
        </w:rPr>
      </w:pPr>
    </w:p>
    <w:p w14:paraId="08DA6FDC">
      <w:pPr>
        <w:pStyle w:val="23"/>
        <w:ind w:left="442" w:hanging="442"/>
        <w:rPr>
          <w:rFonts w:ascii="新宋体" w:hAnsi="新宋体" w:eastAsia="新宋体" w:cs="新宋体"/>
          <w:b/>
          <w:bCs/>
          <w:color w:val="auto"/>
          <w:sz w:val="22"/>
          <w:szCs w:val="22"/>
          <w:highlight w:val="none"/>
        </w:rPr>
      </w:pPr>
    </w:p>
    <w:p w14:paraId="2B61CDF4">
      <w:pPr>
        <w:pStyle w:val="63"/>
        <w:spacing w:before="156" w:after="156"/>
        <w:ind w:firstLine="0" w:firstLineChars="0"/>
        <w:rPr>
          <w:color w:val="auto"/>
          <w:highlight w:val="none"/>
        </w:rPr>
      </w:pPr>
    </w:p>
    <w:p w14:paraId="5943038D">
      <w:pPr>
        <w:rPr>
          <w:rFonts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5A74C218">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2、法定代表人授权书</w:t>
      </w:r>
    </w:p>
    <w:p w14:paraId="4DFDDB33">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w:t>
      </w:r>
    </w:p>
    <w:p w14:paraId="3F98DE14">
      <w:pPr>
        <w:spacing w:line="460" w:lineRule="exact"/>
        <w:rPr>
          <w:rFonts w:ascii="新宋体" w:hAnsi="新宋体" w:eastAsia="新宋体" w:cs="新宋体"/>
          <w:color w:val="auto"/>
          <w:sz w:val="22"/>
          <w:szCs w:val="22"/>
          <w:highlight w:val="none"/>
          <w:u w:val="single"/>
        </w:rPr>
      </w:pPr>
    </w:p>
    <w:p w14:paraId="0916B577">
      <w:pPr>
        <w:spacing w:line="460" w:lineRule="exact"/>
        <w:ind w:firstLine="550" w:firstLineChars="2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（全权代表姓名）为全权代表，参加贵处组织的（项目名称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）的招标活动，全权代表我方处理招标活动中的一切事宜。</w:t>
      </w:r>
    </w:p>
    <w:p w14:paraId="09A9B314">
      <w:pPr>
        <w:spacing w:line="460" w:lineRule="exact"/>
        <w:ind w:firstLine="2955"/>
        <w:rPr>
          <w:rFonts w:ascii="新宋体" w:hAnsi="新宋体" w:eastAsia="新宋体" w:cs="新宋体"/>
          <w:color w:val="auto"/>
          <w:sz w:val="22"/>
          <w:szCs w:val="22"/>
          <w:highlight w:val="none"/>
        </w:rPr>
      </w:pPr>
    </w:p>
    <w:p w14:paraId="24101690">
      <w:pPr>
        <w:spacing w:line="460" w:lineRule="exact"/>
        <w:ind w:firstLine="2955"/>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14:paraId="66664453">
      <w:pPr>
        <w:spacing w:line="460" w:lineRule="exact"/>
        <w:ind w:firstLine="4081" w:firstLineChars="1855"/>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法定代表人（签字或盖章）：</w:t>
      </w:r>
    </w:p>
    <w:p w14:paraId="7E2A6664">
      <w:pPr>
        <w:spacing w:line="460" w:lineRule="exact"/>
        <w:ind w:firstLine="4081" w:firstLineChars="1855"/>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投标人全称（公章）：</w:t>
      </w:r>
    </w:p>
    <w:p w14:paraId="20469C9B">
      <w:pPr>
        <w:spacing w:line="460" w:lineRule="exact"/>
        <w:ind w:firstLine="4081" w:firstLineChars="1855"/>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日   期：  </w:t>
      </w:r>
    </w:p>
    <w:p w14:paraId="4088A2D6">
      <w:pPr>
        <w:spacing w:line="460" w:lineRule="exact"/>
        <w:ind w:firstLine="4081" w:firstLineChars="1855"/>
        <w:rPr>
          <w:rFonts w:ascii="新宋体" w:hAnsi="新宋体" w:eastAsia="新宋体" w:cs="新宋体"/>
          <w:color w:val="auto"/>
          <w:sz w:val="22"/>
          <w:szCs w:val="22"/>
          <w:highlight w:val="none"/>
        </w:rPr>
      </w:pPr>
    </w:p>
    <w:p w14:paraId="2CE3ADEC">
      <w:pPr>
        <w:spacing w:line="460" w:lineRule="exact"/>
        <w:rPr>
          <w:rFonts w:ascii="新宋体" w:hAnsi="新宋体" w:eastAsia="新宋体" w:cs="新宋体"/>
          <w:color w:val="auto"/>
          <w:sz w:val="22"/>
          <w:szCs w:val="22"/>
          <w:highlight w:val="none"/>
        </w:rPr>
      </w:pPr>
    </w:p>
    <w:p w14:paraId="2439ADBF">
      <w:pPr>
        <w:spacing w:line="460" w:lineRule="exact"/>
        <w:rPr>
          <w:rFonts w:ascii="新宋体" w:hAnsi="新宋体" w:eastAsia="新宋体" w:cs="新宋体"/>
          <w:color w:val="auto"/>
          <w:sz w:val="22"/>
          <w:szCs w:val="22"/>
          <w:highlight w:val="none"/>
        </w:rPr>
      </w:pPr>
    </w:p>
    <w:p w14:paraId="0FF756E9">
      <w:pPr>
        <w:spacing w:line="460" w:lineRule="exact"/>
        <w:ind w:firstLine="541" w:firstLineChars="245"/>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w:t>
      </w:r>
    </w:p>
    <w:p w14:paraId="5CFCDE71">
      <w:pPr>
        <w:spacing w:line="460" w:lineRule="exact"/>
        <w:ind w:firstLine="539" w:firstLineChars="245"/>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授权代表姓名：                               </w:t>
      </w:r>
    </w:p>
    <w:p w14:paraId="17EA3BB8">
      <w:pPr>
        <w:spacing w:line="460" w:lineRule="exact"/>
        <w:ind w:firstLine="539" w:firstLineChars="245"/>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职务：</w:t>
      </w:r>
    </w:p>
    <w:p w14:paraId="1B016290">
      <w:pPr>
        <w:spacing w:line="460" w:lineRule="exact"/>
        <w:ind w:firstLine="539" w:firstLineChars="245"/>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详细通讯地址：</w:t>
      </w:r>
    </w:p>
    <w:p w14:paraId="78BD2346">
      <w:pPr>
        <w:spacing w:line="460" w:lineRule="exact"/>
        <w:ind w:firstLine="539" w:firstLineChars="245"/>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电话：</w:t>
      </w:r>
    </w:p>
    <w:p w14:paraId="7CA0DDB5">
      <w:pPr>
        <w:spacing w:line="460" w:lineRule="exact"/>
        <w:ind w:firstLine="539" w:firstLineChars="245"/>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传真：</w:t>
      </w:r>
    </w:p>
    <w:p w14:paraId="07611AA7">
      <w:pPr>
        <w:spacing w:line="460" w:lineRule="exact"/>
        <w:ind w:firstLine="539" w:firstLineChars="245"/>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邮政编码：</w:t>
      </w:r>
    </w:p>
    <w:p w14:paraId="2A899CA3">
      <w:pPr>
        <w:spacing w:line="380" w:lineRule="exact"/>
        <w:rPr>
          <w:rFonts w:ascii="新宋体" w:hAnsi="新宋体" w:eastAsia="新宋体" w:cs="新宋体"/>
          <w:color w:val="auto"/>
          <w:sz w:val="22"/>
          <w:szCs w:val="22"/>
          <w:highlight w:val="none"/>
        </w:rPr>
      </w:pPr>
    </w:p>
    <w:p w14:paraId="21F6583D">
      <w:pPr>
        <w:spacing w:line="460" w:lineRule="exact"/>
        <w:jc w:val="center"/>
        <w:rPr>
          <w:rFonts w:ascii="新宋体" w:hAnsi="新宋体" w:eastAsia="新宋体" w:cs="新宋体"/>
          <w:b/>
          <w:bCs/>
          <w:color w:val="auto"/>
          <w:sz w:val="28"/>
          <w:szCs w:val="28"/>
          <w:highlight w:val="none"/>
        </w:rPr>
      </w:pPr>
    </w:p>
    <w:p w14:paraId="0B60F87E">
      <w:pPr>
        <w:pStyle w:val="63"/>
        <w:spacing w:before="156" w:after="156"/>
        <w:ind w:firstLine="0" w:firstLineChars="0"/>
        <w:rPr>
          <w:rFonts w:ascii="新宋体" w:hAnsi="新宋体" w:eastAsia="新宋体" w:cs="新宋体"/>
          <w:b/>
          <w:bCs/>
          <w:color w:val="auto"/>
          <w:sz w:val="28"/>
          <w:szCs w:val="28"/>
          <w:highlight w:val="none"/>
        </w:rPr>
      </w:pPr>
    </w:p>
    <w:p w14:paraId="08D7A613">
      <w:pPr>
        <w:spacing w:line="460" w:lineRule="exact"/>
        <w:jc w:val="center"/>
        <w:rPr>
          <w:rFonts w:ascii="新宋体" w:hAnsi="新宋体" w:eastAsia="新宋体" w:cs="新宋体"/>
          <w:b/>
          <w:bCs/>
          <w:color w:val="auto"/>
          <w:sz w:val="28"/>
          <w:szCs w:val="28"/>
          <w:highlight w:val="none"/>
        </w:rPr>
      </w:pPr>
    </w:p>
    <w:p w14:paraId="26834E7D">
      <w:pPr>
        <w:spacing w:line="460" w:lineRule="exact"/>
        <w:jc w:val="center"/>
        <w:rPr>
          <w:rFonts w:ascii="新宋体" w:hAnsi="新宋体" w:eastAsia="新宋体" w:cs="新宋体"/>
          <w:b/>
          <w:bCs/>
          <w:color w:val="auto"/>
          <w:sz w:val="28"/>
          <w:szCs w:val="28"/>
          <w:highlight w:val="none"/>
        </w:rPr>
      </w:pPr>
    </w:p>
    <w:p w14:paraId="274A9F4F">
      <w:pPr>
        <w:spacing w:line="460" w:lineRule="exact"/>
        <w:jc w:val="center"/>
        <w:rPr>
          <w:rFonts w:ascii="新宋体" w:hAnsi="新宋体" w:eastAsia="新宋体" w:cs="新宋体"/>
          <w:b/>
          <w:bCs/>
          <w:color w:val="auto"/>
          <w:sz w:val="28"/>
          <w:szCs w:val="28"/>
          <w:highlight w:val="none"/>
        </w:rPr>
      </w:pPr>
    </w:p>
    <w:p w14:paraId="154DDCF9">
      <w:pPr>
        <w:spacing w:line="460" w:lineRule="exact"/>
        <w:jc w:val="center"/>
        <w:rPr>
          <w:rFonts w:ascii="新宋体" w:hAnsi="新宋体" w:eastAsia="新宋体" w:cs="新宋体"/>
          <w:b/>
          <w:bCs/>
          <w:color w:val="auto"/>
          <w:sz w:val="28"/>
          <w:szCs w:val="28"/>
          <w:highlight w:val="none"/>
        </w:rPr>
      </w:pPr>
    </w:p>
    <w:p w14:paraId="5E0E686A">
      <w:pPr>
        <w:spacing w:line="460" w:lineRule="exact"/>
        <w:jc w:val="center"/>
        <w:rPr>
          <w:rFonts w:ascii="新宋体" w:hAnsi="新宋体" w:eastAsia="新宋体" w:cs="新宋体"/>
          <w:b/>
          <w:bCs/>
          <w:color w:val="auto"/>
          <w:sz w:val="28"/>
          <w:szCs w:val="28"/>
          <w:highlight w:val="none"/>
        </w:rPr>
      </w:pPr>
    </w:p>
    <w:p w14:paraId="00A61D35">
      <w:pPr>
        <w:spacing w:line="460" w:lineRule="exact"/>
        <w:rPr>
          <w:rFonts w:ascii="新宋体" w:hAnsi="新宋体" w:eastAsia="新宋体" w:cs="新宋体"/>
          <w:b/>
          <w:bCs/>
          <w:color w:val="auto"/>
          <w:sz w:val="28"/>
          <w:szCs w:val="28"/>
          <w:highlight w:val="none"/>
        </w:rPr>
      </w:pPr>
    </w:p>
    <w:p w14:paraId="1B570478">
      <w:pPr>
        <w:spacing w:line="460" w:lineRule="exact"/>
        <w:jc w:val="center"/>
        <w:rPr>
          <w:rFonts w:ascii="新宋体" w:hAnsi="新宋体" w:eastAsia="新宋体" w:cs="新宋体"/>
          <w:b/>
          <w:bCs/>
          <w:color w:val="auto"/>
          <w:sz w:val="28"/>
          <w:szCs w:val="28"/>
          <w:highlight w:val="none"/>
        </w:rPr>
      </w:pPr>
    </w:p>
    <w:p w14:paraId="1A54EA64">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6" name="Text Box 2"/>
                <wp:cNvGraphicFramePr/>
                <a:graphic xmlns:a="http://schemas.openxmlformats.org/drawingml/2006/main">
                  <a:graphicData uri="http://schemas.microsoft.com/office/word/2010/wordprocessingShape">
                    <wps:wsp>
                      <wps:cNvSpPr txBox="1"/>
                      <wps:spPr>
                        <a:xfrm>
                          <a:off x="0" y="0"/>
                          <a:ext cx="6254115" cy="30041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9A132CB">
                            <w:r>
                              <w:rPr>
                                <w:rFonts w:hint="eastAsia" w:ascii="新宋体" w:hAnsi="新宋体" w:eastAsia="新宋体"/>
                                <w:sz w:val="22"/>
                                <w:szCs w:val="22"/>
                              </w:rPr>
                              <w:t xml:space="preserve">  法定代表人身份证（正反面）：</w:t>
                            </w:r>
                          </w:p>
                        </w:txbxContent>
                      </wps:txbx>
                      <wps:bodyPr upright="1"/>
                    </wps:wsp>
                  </a:graphicData>
                </a:graphic>
              </wp:anchor>
            </w:drawing>
          </mc:Choice>
          <mc:Fallback>
            <w:pict>
              <v:shape id="Text Box 2"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l9wjaNgAAAAKAQAADwAAAAAAAAABACAAAAAiAAAAZHJzL2Rv&#10;d25yZXYueG1sUEsBAhQAFAAAAAgAh07iQCalZX0BAgAARAQAAA4AAAAAAAAAAQAgAAAAJwEAAGRy&#10;cy9lMm9Eb2MueG1sUEsFBgAAAAAGAAYAWQEAAJoFAAAAAA==&#10;">
                <v:fill on="t" focussize="0,0"/>
                <v:stroke color="#000000" joinstyle="miter"/>
                <v:imagedata o:title=""/>
                <o:lock v:ext="edit" aspectratio="f"/>
                <v:textbox>
                  <w:txbxContent>
                    <w:p w14:paraId="79A132CB">
                      <w:r>
                        <w:rPr>
                          <w:rFonts w:hint="eastAsia" w:ascii="新宋体" w:hAnsi="新宋体" w:eastAsia="新宋体"/>
                          <w:sz w:val="22"/>
                          <w:szCs w:val="22"/>
                        </w:rPr>
                        <w:t xml:space="preserve">  法定代表人身份证（正反面）：</w:t>
                      </w:r>
                    </w:p>
                  </w:txbxContent>
                </v:textbox>
              </v:shape>
            </w:pict>
          </mc:Fallback>
        </mc:AlternateContent>
      </w:r>
    </w:p>
    <w:p w14:paraId="050C1E75">
      <w:pPr>
        <w:spacing w:line="460" w:lineRule="exact"/>
        <w:jc w:val="center"/>
        <w:rPr>
          <w:rFonts w:ascii="新宋体" w:hAnsi="新宋体" w:eastAsia="新宋体" w:cs="新宋体"/>
          <w:b/>
          <w:bCs/>
          <w:color w:val="auto"/>
          <w:sz w:val="28"/>
          <w:szCs w:val="28"/>
          <w:highlight w:val="none"/>
        </w:rPr>
      </w:pPr>
    </w:p>
    <w:p w14:paraId="0860071C">
      <w:pPr>
        <w:spacing w:line="460" w:lineRule="exact"/>
        <w:jc w:val="center"/>
        <w:rPr>
          <w:rFonts w:ascii="新宋体" w:hAnsi="新宋体" w:eastAsia="新宋体" w:cs="新宋体"/>
          <w:b/>
          <w:bCs/>
          <w:color w:val="auto"/>
          <w:sz w:val="28"/>
          <w:szCs w:val="28"/>
          <w:highlight w:val="none"/>
        </w:rPr>
      </w:pPr>
    </w:p>
    <w:p w14:paraId="6757D0E5">
      <w:pPr>
        <w:spacing w:line="460" w:lineRule="exact"/>
        <w:jc w:val="center"/>
        <w:rPr>
          <w:rFonts w:ascii="新宋体" w:hAnsi="新宋体" w:eastAsia="新宋体" w:cs="新宋体"/>
          <w:b/>
          <w:bCs/>
          <w:color w:val="auto"/>
          <w:sz w:val="28"/>
          <w:szCs w:val="28"/>
          <w:highlight w:val="none"/>
        </w:rPr>
      </w:pPr>
    </w:p>
    <w:p w14:paraId="0477B98D">
      <w:pPr>
        <w:spacing w:line="460" w:lineRule="exact"/>
        <w:jc w:val="center"/>
        <w:rPr>
          <w:rFonts w:ascii="新宋体" w:hAnsi="新宋体" w:eastAsia="新宋体" w:cs="新宋体"/>
          <w:b/>
          <w:bCs/>
          <w:color w:val="auto"/>
          <w:sz w:val="28"/>
          <w:szCs w:val="28"/>
          <w:highlight w:val="none"/>
        </w:rPr>
      </w:pPr>
    </w:p>
    <w:p w14:paraId="4517E850">
      <w:pPr>
        <w:spacing w:line="460" w:lineRule="exact"/>
        <w:jc w:val="center"/>
        <w:rPr>
          <w:rFonts w:ascii="新宋体" w:hAnsi="新宋体" w:eastAsia="新宋体" w:cs="新宋体"/>
          <w:b/>
          <w:bCs/>
          <w:color w:val="auto"/>
          <w:sz w:val="28"/>
          <w:szCs w:val="28"/>
          <w:highlight w:val="none"/>
        </w:rPr>
      </w:pPr>
    </w:p>
    <w:p w14:paraId="618EE85C">
      <w:pPr>
        <w:spacing w:line="460" w:lineRule="exact"/>
        <w:jc w:val="center"/>
        <w:rPr>
          <w:rFonts w:ascii="新宋体" w:hAnsi="新宋体" w:eastAsia="新宋体" w:cs="新宋体"/>
          <w:b/>
          <w:bCs/>
          <w:color w:val="auto"/>
          <w:sz w:val="28"/>
          <w:szCs w:val="28"/>
          <w:highlight w:val="none"/>
        </w:rPr>
      </w:pPr>
    </w:p>
    <w:p w14:paraId="62E8F858">
      <w:pPr>
        <w:spacing w:line="460" w:lineRule="exact"/>
        <w:jc w:val="center"/>
        <w:rPr>
          <w:rFonts w:ascii="新宋体" w:hAnsi="新宋体" w:eastAsia="新宋体" w:cs="新宋体"/>
          <w:b/>
          <w:bCs/>
          <w:color w:val="auto"/>
          <w:sz w:val="28"/>
          <w:szCs w:val="28"/>
          <w:highlight w:val="none"/>
        </w:rPr>
      </w:pPr>
    </w:p>
    <w:p w14:paraId="6A551721">
      <w:pPr>
        <w:spacing w:line="460" w:lineRule="exact"/>
        <w:jc w:val="center"/>
        <w:rPr>
          <w:rFonts w:ascii="新宋体" w:hAnsi="新宋体" w:eastAsia="新宋体" w:cs="新宋体"/>
          <w:b/>
          <w:bCs/>
          <w:color w:val="auto"/>
          <w:sz w:val="28"/>
          <w:szCs w:val="28"/>
          <w:highlight w:val="none"/>
        </w:rPr>
      </w:pPr>
    </w:p>
    <w:p w14:paraId="133C4ADC">
      <w:pPr>
        <w:spacing w:line="460" w:lineRule="exact"/>
        <w:jc w:val="center"/>
        <w:rPr>
          <w:rFonts w:ascii="新宋体" w:hAnsi="新宋体" w:eastAsia="新宋体" w:cs="新宋体"/>
          <w:b/>
          <w:bCs/>
          <w:color w:val="auto"/>
          <w:sz w:val="28"/>
          <w:szCs w:val="28"/>
          <w:highlight w:val="none"/>
        </w:rPr>
      </w:pPr>
    </w:p>
    <w:p w14:paraId="2F6D108C">
      <w:pPr>
        <w:spacing w:line="460" w:lineRule="exact"/>
        <w:jc w:val="center"/>
        <w:rPr>
          <w:rFonts w:ascii="新宋体" w:hAnsi="新宋体" w:eastAsia="新宋体" w:cs="新宋体"/>
          <w:b/>
          <w:bCs/>
          <w:color w:val="auto"/>
          <w:sz w:val="28"/>
          <w:szCs w:val="28"/>
          <w:highlight w:val="none"/>
        </w:rPr>
      </w:pPr>
    </w:p>
    <w:p w14:paraId="4CD8370F">
      <w:pPr>
        <w:spacing w:line="460" w:lineRule="exact"/>
        <w:jc w:val="center"/>
        <w:rPr>
          <w:rFonts w:ascii="新宋体" w:hAnsi="新宋体" w:eastAsia="新宋体" w:cs="新宋体"/>
          <w:b/>
          <w:bCs/>
          <w:color w:val="auto"/>
          <w:sz w:val="28"/>
          <w:szCs w:val="28"/>
          <w:highlight w:val="none"/>
        </w:rPr>
      </w:pPr>
    </w:p>
    <w:p w14:paraId="39F26340">
      <w:pPr>
        <w:spacing w:line="460" w:lineRule="exact"/>
        <w:jc w:val="center"/>
        <w:rPr>
          <w:rFonts w:ascii="新宋体" w:hAnsi="新宋体" w:eastAsia="新宋体" w:cs="新宋体"/>
          <w:b/>
          <w:bCs/>
          <w:color w:val="auto"/>
          <w:sz w:val="28"/>
          <w:szCs w:val="28"/>
          <w:highlight w:val="none"/>
        </w:rPr>
      </w:pPr>
    </w:p>
    <w:p w14:paraId="7B89C5F5">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88265</wp:posOffset>
                </wp:positionH>
                <wp:positionV relativeFrom="paragraph">
                  <wp:posOffset>-53975</wp:posOffset>
                </wp:positionV>
                <wp:extent cx="6303645" cy="3875405"/>
                <wp:effectExtent l="4445" t="5080" r="16510" b="5715"/>
                <wp:wrapNone/>
                <wp:docPr id="7" name="文本框 26"/>
                <wp:cNvGraphicFramePr/>
                <a:graphic xmlns:a="http://schemas.openxmlformats.org/drawingml/2006/main">
                  <a:graphicData uri="http://schemas.microsoft.com/office/word/2010/wordprocessingShape">
                    <wps:wsp>
                      <wps:cNvSpPr txBox="1"/>
                      <wps:spPr>
                        <a:xfrm>
                          <a:off x="0" y="0"/>
                          <a:ext cx="6303645" cy="38754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AB4C03F">
                            <w:r>
                              <w:rPr>
                                <w:rFonts w:hint="eastAsia" w:ascii="新宋体" w:hAnsi="新宋体" w:eastAsia="新宋体"/>
                                <w:sz w:val="22"/>
                                <w:szCs w:val="22"/>
                              </w:rPr>
                              <w:t xml:space="preserve">  授权代表身份证（正反面）：</w:t>
                            </w:r>
                          </w:p>
                        </w:txbxContent>
                      </wps:txbx>
                      <wps:bodyPr upright="1"/>
                    </wps:wsp>
                  </a:graphicData>
                </a:graphic>
              </wp:anchor>
            </w:drawing>
          </mc:Choice>
          <mc:Fallback>
            <w:pict>
              <v:shape id="文本框 26" o:spid="_x0000_s1026" o:spt="202" type="#_x0000_t202" style="position:absolute;left:0pt;margin-left:6.95pt;margin-top:-4.25pt;height:305.15pt;width:496.35pt;z-index:251660288;mso-width-relative:page;mso-height-relative:page;" fillcolor="#FFFFFF" filled="t" stroked="t" coordsize="21600,21600" o:gfxdata="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GqLXdgAAAAKAQAADwAAAAAA&#10;AAABACAAAAAiAAAAZHJzL2Rvd25yZXYueG1sUEsBAhQAFAAAAAgAh07iQELca5wTAgAARgQAAA4A&#10;AAAAAAAAAQAgAAAAJwEAAGRycy9lMm9Eb2MueG1sUEsFBgAAAAAGAAYAWQEAAKwFAAAAAA==&#10;">
                <v:fill on="t" focussize="0,0"/>
                <v:stroke color="#000000" joinstyle="miter"/>
                <v:imagedata o:title=""/>
                <o:lock v:ext="edit" aspectratio="f"/>
                <v:textbox>
                  <w:txbxContent>
                    <w:p w14:paraId="7AB4C03F">
                      <w:r>
                        <w:rPr>
                          <w:rFonts w:hint="eastAsia" w:ascii="新宋体" w:hAnsi="新宋体" w:eastAsia="新宋体"/>
                          <w:sz w:val="22"/>
                          <w:szCs w:val="22"/>
                        </w:rPr>
                        <w:t xml:space="preserve">  授权代表身份证（正反面）：</w:t>
                      </w:r>
                    </w:p>
                  </w:txbxContent>
                </v:textbox>
              </v:shape>
            </w:pict>
          </mc:Fallback>
        </mc:AlternateContent>
      </w:r>
    </w:p>
    <w:p w14:paraId="553610D7">
      <w:pPr>
        <w:spacing w:line="460" w:lineRule="exact"/>
        <w:jc w:val="center"/>
        <w:rPr>
          <w:rFonts w:ascii="新宋体" w:hAnsi="新宋体" w:eastAsia="新宋体" w:cs="新宋体"/>
          <w:b/>
          <w:bCs/>
          <w:color w:val="auto"/>
          <w:sz w:val="28"/>
          <w:szCs w:val="28"/>
          <w:highlight w:val="none"/>
        </w:rPr>
      </w:pPr>
    </w:p>
    <w:p w14:paraId="36824878">
      <w:pPr>
        <w:spacing w:line="460" w:lineRule="exact"/>
        <w:jc w:val="center"/>
        <w:rPr>
          <w:rFonts w:ascii="新宋体" w:hAnsi="新宋体" w:eastAsia="新宋体" w:cs="新宋体"/>
          <w:b/>
          <w:bCs/>
          <w:color w:val="auto"/>
          <w:sz w:val="28"/>
          <w:szCs w:val="28"/>
          <w:highlight w:val="none"/>
        </w:rPr>
      </w:pPr>
    </w:p>
    <w:p w14:paraId="36F599B4">
      <w:pPr>
        <w:spacing w:line="460" w:lineRule="exact"/>
        <w:jc w:val="center"/>
        <w:rPr>
          <w:rFonts w:ascii="新宋体" w:hAnsi="新宋体" w:eastAsia="新宋体" w:cs="新宋体"/>
          <w:b/>
          <w:bCs/>
          <w:color w:val="auto"/>
          <w:sz w:val="28"/>
          <w:szCs w:val="28"/>
          <w:highlight w:val="none"/>
        </w:rPr>
      </w:pPr>
    </w:p>
    <w:p w14:paraId="77CD9397">
      <w:pPr>
        <w:spacing w:line="460" w:lineRule="exact"/>
        <w:jc w:val="center"/>
        <w:rPr>
          <w:rFonts w:ascii="新宋体" w:hAnsi="新宋体" w:eastAsia="新宋体" w:cs="新宋体"/>
          <w:b/>
          <w:bCs/>
          <w:color w:val="auto"/>
          <w:sz w:val="28"/>
          <w:szCs w:val="28"/>
          <w:highlight w:val="none"/>
        </w:rPr>
      </w:pPr>
    </w:p>
    <w:p w14:paraId="1F1F6874">
      <w:pPr>
        <w:spacing w:line="460" w:lineRule="exact"/>
        <w:jc w:val="center"/>
        <w:rPr>
          <w:rFonts w:ascii="新宋体" w:hAnsi="新宋体" w:eastAsia="新宋体" w:cs="新宋体"/>
          <w:b/>
          <w:bCs/>
          <w:color w:val="auto"/>
          <w:sz w:val="28"/>
          <w:szCs w:val="28"/>
          <w:highlight w:val="none"/>
        </w:rPr>
      </w:pPr>
    </w:p>
    <w:p w14:paraId="5C7E84BE">
      <w:pPr>
        <w:spacing w:line="460" w:lineRule="exact"/>
        <w:jc w:val="center"/>
        <w:rPr>
          <w:rFonts w:ascii="新宋体" w:hAnsi="新宋体" w:eastAsia="新宋体" w:cs="新宋体"/>
          <w:b/>
          <w:bCs/>
          <w:color w:val="auto"/>
          <w:sz w:val="28"/>
          <w:szCs w:val="28"/>
          <w:highlight w:val="none"/>
        </w:rPr>
      </w:pPr>
    </w:p>
    <w:p w14:paraId="02B30346">
      <w:pPr>
        <w:spacing w:line="460" w:lineRule="exact"/>
        <w:jc w:val="center"/>
        <w:rPr>
          <w:rFonts w:ascii="新宋体" w:hAnsi="新宋体" w:eastAsia="新宋体" w:cs="新宋体"/>
          <w:b/>
          <w:bCs/>
          <w:color w:val="auto"/>
          <w:sz w:val="28"/>
          <w:szCs w:val="28"/>
          <w:highlight w:val="none"/>
        </w:rPr>
      </w:pPr>
    </w:p>
    <w:p w14:paraId="0546CABC">
      <w:pPr>
        <w:spacing w:line="460" w:lineRule="exact"/>
        <w:jc w:val="center"/>
        <w:rPr>
          <w:rFonts w:ascii="新宋体" w:hAnsi="新宋体" w:eastAsia="新宋体" w:cs="新宋体"/>
          <w:b/>
          <w:bCs/>
          <w:color w:val="auto"/>
          <w:sz w:val="28"/>
          <w:szCs w:val="28"/>
          <w:highlight w:val="none"/>
        </w:rPr>
      </w:pPr>
    </w:p>
    <w:p w14:paraId="7E4B061C">
      <w:pPr>
        <w:spacing w:line="460" w:lineRule="exact"/>
        <w:jc w:val="center"/>
        <w:rPr>
          <w:rFonts w:ascii="新宋体" w:hAnsi="新宋体" w:eastAsia="新宋体" w:cs="新宋体"/>
          <w:b/>
          <w:bCs/>
          <w:color w:val="auto"/>
          <w:sz w:val="28"/>
          <w:szCs w:val="28"/>
          <w:highlight w:val="none"/>
        </w:rPr>
      </w:pPr>
    </w:p>
    <w:p w14:paraId="5337997A">
      <w:pPr>
        <w:spacing w:line="460" w:lineRule="exact"/>
        <w:jc w:val="center"/>
        <w:rPr>
          <w:rFonts w:ascii="新宋体" w:hAnsi="新宋体" w:eastAsia="新宋体" w:cs="新宋体"/>
          <w:b/>
          <w:bCs/>
          <w:color w:val="auto"/>
          <w:sz w:val="28"/>
          <w:szCs w:val="28"/>
          <w:highlight w:val="none"/>
        </w:rPr>
      </w:pPr>
    </w:p>
    <w:p w14:paraId="0E17E966">
      <w:pPr>
        <w:spacing w:line="460" w:lineRule="exact"/>
        <w:jc w:val="center"/>
        <w:rPr>
          <w:rFonts w:ascii="新宋体" w:hAnsi="新宋体" w:eastAsia="新宋体" w:cs="新宋体"/>
          <w:b/>
          <w:bCs/>
          <w:color w:val="auto"/>
          <w:sz w:val="28"/>
          <w:szCs w:val="28"/>
          <w:highlight w:val="none"/>
        </w:rPr>
      </w:pPr>
    </w:p>
    <w:p w14:paraId="1DF22216">
      <w:pPr>
        <w:spacing w:line="460" w:lineRule="exact"/>
        <w:jc w:val="center"/>
        <w:rPr>
          <w:rFonts w:ascii="新宋体" w:hAnsi="新宋体" w:eastAsia="新宋体" w:cs="新宋体"/>
          <w:b/>
          <w:bCs/>
          <w:color w:val="auto"/>
          <w:sz w:val="28"/>
          <w:szCs w:val="28"/>
          <w:highlight w:val="none"/>
        </w:rPr>
      </w:pPr>
    </w:p>
    <w:p w14:paraId="73E8A483">
      <w:pPr>
        <w:spacing w:line="460" w:lineRule="exact"/>
        <w:jc w:val="center"/>
        <w:rPr>
          <w:rFonts w:ascii="新宋体" w:hAnsi="新宋体" w:eastAsia="新宋体" w:cs="新宋体"/>
          <w:b/>
          <w:bCs/>
          <w:color w:val="auto"/>
          <w:sz w:val="28"/>
          <w:szCs w:val="28"/>
          <w:highlight w:val="none"/>
        </w:rPr>
      </w:pPr>
    </w:p>
    <w:p w14:paraId="0DE99FA3">
      <w:pPr>
        <w:spacing w:line="460" w:lineRule="exact"/>
        <w:jc w:val="center"/>
        <w:rPr>
          <w:rFonts w:ascii="新宋体" w:hAnsi="新宋体" w:eastAsia="新宋体" w:cs="新宋体"/>
          <w:b/>
          <w:bCs/>
          <w:color w:val="auto"/>
          <w:sz w:val="28"/>
          <w:szCs w:val="28"/>
          <w:highlight w:val="none"/>
        </w:rPr>
      </w:pPr>
    </w:p>
    <w:p w14:paraId="7A53C7D5">
      <w:pPr>
        <w:spacing w:line="460" w:lineRule="exact"/>
        <w:jc w:val="center"/>
        <w:rPr>
          <w:rFonts w:ascii="新宋体" w:hAnsi="新宋体" w:eastAsia="新宋体" w:cs="新宋体"/>
          <w:b/>
          <w:bCs/>
          <w:color w:val="auto"/>
          <w:sz w:val="28"/>
          <w:szCs w:val="28"/>
          <w:highlight w:val="none"/>
        </w:rPr>
      </w:pPr>
    </w:p>
    <w:p w14:paraId="5A8C4E15">
      <w:pPr>
        <w:spacing w:line="460" w:lineRule="exact"/>
        <w:jc w:val="center"/>
        <w:outlineLvl w:val="3"/>
        <w:rPr>
          <w:rFonts w:ascii="新宋体" w:hAnsi="新宋体" w:eastAsia="新宋体" w:cs="新宋体"/>
          <w:b/>
          <w:bCs/>
          <w:color w:val="auto"/>
          <w:sz w:val="22"/>
          <w:szCs w:val="22"/>
          <w:highlight w:val="none"/>
        </w:rPr>
        <w:sectPr>
          <w:headerReference r:id="rId3" w:type="default"/>
          <w:footerReference r:id="rId4" w:type="default"/>
          <w:pgSz w:w="11906" w:h="16838"/>
          <w:pgMar w:top="1134" w:right="1134" w:bottom="1134" w:left="1134" w:header="850" w:footer="992" w:gutter="0"/>
          <w:cols w:space="720" w:num="1"/>
          <w:titlePg/>
          <w:docGrid w:type="lines" w:linePitch="312" w:charSpace="0"/>
        </w:sectPr>
      </w:pPr>
    </w:p>
    <w:p w14:paraId="712777CA">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3</w:t>
      </w:r>
      <w:r>
        <w:rPr>
          <w:rFonts w:hint="eastAsia" w:ascii="新宋体" w:hAnsi="新宋体" w:eastAsia="新宋体" w:cs="新宋体"/>
          <w:b/>
          <w:bCs/>
          <w:color w:val="auto"/>
          <w:sz w:val="28"/>
          <w:szCs w:val="28"/>
          <w:highlight w:val="none"/>
        </w:rPr>
        <w:t>、廉政承诺书</w:t>
      </w:r>
    </w:p>
    <w:p w14:paraId="70CE6848">
      <w:pPr>
        <w:tabs>
          <w:tab w:val="left" w:pos="360"/>
        </w:tabs>
        <w:spacing w:line="46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highlight w:val="none"/>
        </w:rPr>
        <w:t>、温州历程招标有限公司：</w:t>
      </w:r>
    </w:p>
    <w:p w14:paraId="2EC9E091">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为加强采购活动中的廉政建设，防止发生违法违纪行为，体现公开、公平、公正的原则，根据国家有关法律、法规和廉政建设责任制的规定，本投标人特作如下承诺：</w:t>
      </w:r>
    </w:p>
    <w:p w14:paraId="581BBADB">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一、不与招标人、招标代理机构及其他投标人私下串通协商，进行围标、串标、抬标、控制投标价格。</w:t>
      </w:r>
    </w:p>
    <w:p w14:paraId="23A2C7F5">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二、不向招标人、招标代理机构、评标专家行贿，以不正当手段谋取中标。</w:t>
      </w:r>
    </w:p>
    <w:p w14:paraId="1BF2D95D">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三、不向监管人员请客、送礼及组织其他有可能影响客观公正监管的活动。</w:t>
      </w:r>
    </w:p>
    <w:p w14:paraId="73F7FEE3">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四、自觉遵守开标、评标现场工作纪律，不私下接触评标专家，不干扰正常的开标评标秩序。</w:t>
      </w:r>
    </w:p>
    <w:p w14:paraId="17FF15F4">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五、不给责任人的违法违规行为说情、解脱。</w:t>
      </w:r>
    </w:p>
    <w:p w14:paraId="29B9E6F8">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7A3D48CF">
      <w:pPr>
        <w:tabs>
          <w:tab w:val="left" w:pos="360"/>
        </w:tabs>
        <w:spacing w:line="460" w:lineRule="exact"/>
        <w:ind w:firstLine="550" w:firstLineChars="250"/>
        <w:rPr>
          <w:rFonts w:ascii="新宋体" w:hAnsi="新宋体" w:eastAsia="新宋体" w:cs="新宋体"/>
          <w:color w:val="auto"/>
          <w:sz w:val="22"/>
          <w:highlight w:val="none"/>
        </w:rPr>
      </w:pPr>
    </w:p>
    <w:p w14:paraId="2E7E5B4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特此承诺！</w:t>
      </w:r>
    </w:p>
    <w:p w14:paraId="32F93B19">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6DE5E6B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60BAA3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5BE79C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3402A7AF">
      <w:pPr>
        <w:pStyle w:val="9"/>
        <w:ind w:firstLine="440"/>
        <w:rPr>
          <w:rFonts w:ascii="新宋体" w:hAnsi="新宋体" w:eastAsia="新宋体" w:cs="新宋体"/>
          <w:color w:val="auto"/>
          <w:sz w:val="22"/>
          <w:szCs w:val="22"/>
          <w:highlight w:val="none"/>
        </w:rPr>
      </w:pPr>
    </w:p>
    <w:p w14:paraId="71A88EFD">
      <w:pPr>
        <w:rPr>
          <w:rFonts w:ascii="新宋体" w:hAnsi="新宋体" w:eastAsia="新宋体" w:cs="新宋体"/>
          <w:color w:val="auto"/>
          <w:sz w:val="22"/>
          <w:szCs w:val="22"/>
          <w:highlight w:val="none"/>
        </w:rPr>
      </w:pPr>
    </w:p>
    <w:p w14:paraId="0A6DA40B">
      <w:pPr>
        <w:pStyle w:val="9"/>
        <w:ind w:firstLine="440"/>
        <w:rPr>
          <w:rFonts w:ascii="新宋体" w:hAnsi="新宋体" w:eastAsia="新宋体" w:cs="新宋体"/>
          <w:color w:val="auto"/>
          <w:sz w:val="22"/>
          <w:szCs w:val="22"/>
          <w:highlight w:val="none"/>
        </w:rPr>
      </w:pPr>
    </w:p>
    <w:p w14:paraId="06695EAE">
      <w:pPr>
        <w:rPr>
          <w:rFonts w:ascii="新宋体" w:hAnsi="新宋体" w:eastAsia="新宋体" w:cs="新宋体"/>
          <w:color w:val="auto"/>
          <w:sz w:val="22"/>
          <w:szCs w:val="22"/>
          <w:highlight w:val="none"/>
        </w:rPr>
      </w:pPr>
    </w:p>
    <w:p w14:paraId="73F7DAA2">
      <w:pPr>
        <w:pStyle w:val="9"/>
        <w:ind w:firstLine="440"/>
        <w:rPr>
          <w:rFonts w:ascii="新宋体" w:hAnsi="新宋体" w:eastAsia="新宋体" w:cs="新宋体"/>
          <w:color w:val="auto"/>
          <w:sz w:val="22"/>
          <w:szCs w:val="22"/>
          <w:highlight w:val="none"/>
        </w:rPr>
      </w:pPr>
    </w:p>
    <w:p w14:paraId="1B1D0B09">
      <w:pPr>
        <w:rPr>
          <w:rFonts w:ascii="新宋体" w:hAnsi="新宋体" w:eastAsia="新宋体" w:cs="新宋体"/>
          <w:color w:val="auto"/>
          <w:sz w:val="22"/>
          <w:szCs w:val="22"/>
          <w:highlight w:val="none"/>
        </w:rPr>
      </w:pPr>
    </w:p>
    <w:p w14:paraId="6CC42CB6">
      <w:pPr>
        <w:pStyle w:val="9"/>
        <w:ind w:firstLine="440"/>
        <w:rPr>
          <w:rFonts w:ascii="新宋体" w:hAnsi="新宋体" w:eastAsia="新宋体" w:cs="新宋体"/>
          <w:color w:val="auto"/>
          <w:sz w:val="22"/>
          <w:szCs w:val="22"/>
          <w:highlight w:val="none"/>
        </w:rPr>
      </w:pPr>
    </w:p>
    <w:p w14:paraId="7E84E820">
      <w:pPr>
        <w:rPr>
          <w:rFonts w:ascii="新宋体" w:hAnsi="新宋体" w:eastAsia="新宋体" w:cs="新宋体"/>
          <w:color w:val="auto"/>
          <w:sz w:val="22"/>
          <w:szCs w:val="22"/>
          <w:highlight w:val="none"/>
        </w:rPr>
      </w:pPr>
    </w:p>
    <w:p w14:paraId="53A012D1">
      <w:pPr>
        <w:pStyle w:val="9"/>
        <w:ind w:firstLine="440"/>
        <w:rPr>
          <w:rFonts w:ascii="新宋体" w:hAnsi="新宋体" w:eastAsia="新宋体" w:cs="新宋体"/>
          <w:color w:val="auto"/>
          <w:sz w:val="22"/>
          <w:szCs w:val="22"/>
          <w:highlight w:val="none"/>
        </w:rPr>
      </w:pPr>
    </w:p>
    <w:p w14:paraId="78BCD652">
      <w:pPr>
        <w:rPr>
          <w:rFonts w:ascii="新宋体" w:hAnsi="新宋体" w:eastAsia="新宋体" w:cs="新宋体"/>
          <w:color w:val="auto"/>
          <w:sz w:val="22"/>
          <w:szCs w:val="22"/>
          <w:highlight w:val="none"/>
        </w:rPr>
      </w:pPr>
    </w:p>
    <w:p w14:paraId="3A98A61C">
      <w:pPr>
        <w:pStyle w:val="9"/>
        <w:ind w:firstLine="440"/>
        <w:rPr>
          <w:rFonts w:ascii="新宋体" w:hAnsi="新宋体" w:eastAsia="新宋体" w:cs="新宋体"/>
          <w:color w:val="auto"/>
          <w:sz w:val="22"/>
          <w:szCs w:val="22"/>
          <w:highlight w:val="none"/>
        </w:rPr>
      </w:pPr>
    </w:p>
    <w:p w14:paraId="38B8C1E9">
      <w:pPr>
        <w:rPr>
          <w:rFonts w:ascii="新宋体" w:hAnsi="新宋体" w:eastAsia="新宋体" w:cs="新宋体"/>
          <w:color w:val="auto"/>
          <w:sz w:val="22"/>
          <w:szCs w:val="22"/>
          <w:highlight w:val="none"/>
        </w:rPr>
      </w:pPr>
    </w:p>
    <w:p w14:paraId="74887B85">
      <w:pPr>
        <w:pStyle w:val="9"/>
        <w:ind w:firstLine="440"/>
        <w:rPr>
          <w:rFonts w:ascii="新宋体" w:hAnsi="新宋体" w:eastAsia="新宋体" w:cs="新宋体"/>
          <w:color w:val="auto"/>
          <w:sz w:val="22"/>
          <w:szCs w:val="22"/>
          <w:highlight w:val="none"/>
        </w:rPr>
      </w:pPr>
    </w:p>
    <w:p w14:paraId="002FDF22">
      <w:pPr>
        <w:rPr>
          <w:rFonts w:ascii="新宋体" w:hAnsi="新宋体" w:eastAsia="新宋体" w:cs="新宋体"/>
          <w:color w:val="auto"/>
          <w:sz w:val="22"/>
          <w:szCs w:val="22"/>
          <w:highlight w:val="none"/>
        </w:rPr>
      </w:pPr>
    </w:p>
    <w:p w14:paraId="18C65CDA">
      <w:pPr>
        <w:pStyle w:val="9"/>
        <w:ind w:firstLine="440"/>
        <w:rPr>
          <w:rFonts w:ascii="新宋体" w:hAnsi="新宋体" w:eastAsia="新宋体" w:cs="新宋体"/>
          <w:color w:val="auto"/>
          <w:sz w:val="22"/>
          <w:szCs w:val="22"/>
          <w:highlight w:val="none"/>
        </w:rPr>
      </w:pPr>
    </w:p>
    <w:p w14:paraId="2F72EB03">
      <w:pPr>
        <w:rPr>
          <w:rFonts w:ascii="新宋体" w:hAnsi="新宋体" w:eastAsia="新宋体" w:cs="新宋体"/>
          <w:color w:val="auto"/>
          <w:sz w:val="22"/>
          <w:szCs w:val="22"/>
          <w:highlight w:val="none"/>
        </w:rPr>
      </w:pPr>
    </w:p>
    <w:p w14:paraId="21FC174F">
      <w:pPr>
        <w:pStyle w:val="9"/>
        <w:ind w:firstLine="440"/>
        <w:rPr>
          <w:rFonts w:ascii="新宋体" w:hAnsi="新宋体" w:eastAsia="新宋体" w:cs="新宋体"/>
          <w:color w:val="auto"/>
          <w:sz w:val="22"/>
          <w:szCs w:val="22"/>
          <w:highlight w:val="none"/>
        </w:rPr>
      </w:pPr>
    </w:p>
    <w:p w14:paraId="6476C6DF">
      <w:pPr>
        <w:rPr>
          <w:rFonts w:ascii="新宋体" w:hAnsi="新宋体" w:eastAsia="新宋体" w:cs="新宋体"/>
          <w:color w:val="auto"/>
          <w:sz w:val="22"/>
          <w:szCs w:val="22"/>
          <w:highlight w:val="none"/>
        </w:rPr>
      </w:pPr>
    </w:p>
    <w:p w14:paraId="523FE674">
      <w:pPr>
        <w:pStyle w:val="9"/>
        <w:ind w:firstLine="440"/>
        <w:rPr>
          <w:rFonts w:ascii="新宋体" w:hAnsi="新宋体" w:eastAsia="新宋体" w:cs="新宋体"/>
          <w:color w:val="auto"/>
          <w:sz w:val="22"/>
          <w:szCs w:val="22"/>
          <w:highlight w:val="none"/>
        </w:rPr>
      </w:pPr>
    </w:p>
    <w:p w14:paraId="7789EFD5">
      <w:pPr>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br w:type="page"/>
      </w:r>
    </w:p>
    <w:p w14:paraId="49F938D3">
      <w:pPr>
        <w:spacing w:line="400" w:lineRule="exact"/>
        <w:jc w:val="both"/>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4、</w:t>
      </w:r>
      <w:r>
        <w:rPr>
          <w:rFonts w:hint="eastAsia" w:ascii="新宋体" w:hAnsi="新宋体" w:eastAsia="新宋体" w:cs="新宋体"/>
          <w:b/>
          <w:bCs/>
          <w:color w:val="auto"/>
          <w:sz w:val="28"/>
          <w:szCs w:val="28"/>
          <w:highlight w:val="non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sz w:val="28"/>
          <w:szCs w:val="28"/>
          <w:highlight w:val="none"/>
          <w:lang w:val="en-US" w:eastAsia="zh-CN"/>
        </w:rPr>
        <w:t>等</w:t>
      </w:r>
      <w:r>
        <w:rPr>
          <w:rFonts w:hint="eastAsia" w:ascii="新宋体" w:hAnsi="新宋体" w:eastAsia="新宋体" w:cs="新宋体"/>
          <w:b/>
          <w:bCs/>
          <w:color w:val="auto"/>
          <w:sz w:val="28"/>
          <w:szCs w:val="28"/>
          <w:highlight w:val="non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sz w:val="28"/>
          <w:szCs w:val="28"/>
          <w:highlight w:val="none"/>
          <w:lang w:val="en-US" w:eastAsia="zh-CN"/>
        </w:rPr>
        <w:t>等</w:t>
      </w:r>
      <w:r>
        <w:rPr>
          <w:rFonts w:hint="eastAsia" w:ascii="新宋体" w:hAnsi="新宋体" w:eastAsia="新宋体" w:cs="新宋体"/>
          <w:b/>
          <w:bCs/>
          <w:color w:val="auto"/>
          <w:sz w:val="28"/>
          <w:szCs w:val="28"/>
          <w:highlight w:val="none"/>
          <w:lang w:val="zh-CN"/>
        </w:rPr>
        <w:t>销售许可文件；（适用于按医疗器械管理的货物）</w:t>
      </w:r>
    </w:p>
    <w:p w14:paraId="4405E8E0">
      <w:pPr>
        <w:rPr>
          <w:rFonts w:ascii="新宋体" w:hAnsi="新宋体" w:eastAsia="新宋体" w:cs="新宋体"/>
          <w:color w:val="auto"/>
          <w:highlight w:val="none"/>
        </w:rPr>
      </w:pPr>
    </w:p>
    <w:p w14:paraId="226EC1D5">
      <w:pPr>
        <w:spacing w:line="460" w:lineRule="exact"/>
        <w:jc w:val="left"/>
        <w:outlineLvl w:val="9"/>
        <w:rPr>
          <w:rFonts w:hint="eastAsia" w:ascii="新宋体" w:hAnsi="新宋体" w:eastAsia="新宋体" w:cs="新宋体"/>
          <w:b/>
          <w:bCs/>
          <w:color w:val="auto"/>
          <w:sz w:val="24"/>
          <w:highlight w:val="none"/>
        </w:rPr>
      </w:pPr>
    </w:p>
    <w:p w14:paraId="1C9C0EC1">
      <w:pPr>
        <w:spacing w:line="460" w:lineRule="exact"/>
        <w:jc w:val="left"/>
        <w:outlineLvl w:val="9"/>
        <w:rPr>
          <w:rFonts w:hint="eastAsia" w:ascii="新宋体" w:hAnsi="新宋体" w:eastAsia="新宋体" w:cs="新宋体"/>
          <w:b/>
          <w:bCs/>
          <w:color w:val="auto"/>
          <w:sz w:val="24"/>
          <w:highlight w:val="none"/>
        </w:rPr>
      </w:pPr>
    </w:p>
    <w:p w14:paraId="39E7EF2C">
      <w:pPr>
        <w:spacing w:line="400" w:lineRule="exact"/>
        <w:jc w:val="both"/>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5、</w:t>
      </w:r>
      <w:r>
        <w:rPr>
          <w:rFonts w:hint="eastAsia" w:ascii="新宋体" w:hAnsi="新宋体" w:eastAsia="新宋体" w:cs="新宋体"/>
          <w:b/>
          <w:bCs/>
          <w:color w:val="auto"/>
          <w:sz w:val="28"/>
          <w:szCs w:val="28"/>
          <w:highlight w:val="none"/>
          <w:lang w:val="zh-CN"/>
        </w:rPr>
        <w:t>货物制造商或其它有销售资格（提供证明材料）的供应商出具的授权书</w:t>
      </w:r>
      <w:r>
        <w:rPr>
          <w:rFonts w:hint="eastAsia" w:ascii="新宋体" w:hAnsi="新宋体" w:eastAsia="新宋体" w:cs="新宋体"/>
          <w:b/>
          <w:bCs/>
          <w:color w:val="auto"/>
          <w:sz w:val="28"/>
          <w:szCs w:val="28"/>
          <w:highlight w:val="none"/>
          <w:lang w:val="en-US" w:eastAsia="zh-CN"/>
        </w:rPr>
        <w:t>等</w:t>
      </w:r>
      <w:r>
        <w:rPr>
          <w:rFonts w:hint="eastAsia" w:ascii="新宋体" w:hAnsi="新宋体" w:eastAsia="新宋体" w:cs="新宋体"/>
          <w:b/>
          <w:bCs/>
          <w:color w:val="auto"/>
          <w:sz w:val="28"/>
          <w:szCs w:val="28"/>
          <w:highlight w:val="none"/>
          <w:lang w:val="zh-CN"/>
        </w:rPr>
        <w:t>销售许可文件（适用于投标人是进口货物代理商的情形）</w:t>
      </w:r>
    </w:p>
    <w:p w14:paraId="7C807B9C">
      <w:pPr>
        <w:spacing w:line="460" w:lineRule="exact"/>
        <w:jc w:val="left"/>
        <w:outlineLvl w:val="9"/>
        <w:rPr>
          <w:rFonts w:hint="eastAsia" w:ascii="新宋体" w:hAnsi="新宋体" w:eastAsia="新宋体" w:cs="新宋体"/>
          <w:b/>
          <w:bCs/>
          <w:color w:val="auto"/>
          <w:sz w:val="24"/>
          <w:highlight w:val="none"/>
          <w:lang w:val="zh-CN"/>
        </w:rPr>
      </w:pPr>
    </w:p>
    <w:p w14:paraId="31E9AF3A">
      <w:pPr>
        <w:spacing w:line="460" w:lineRule="exact"/>
        <w:jc w:val="left"/>
        <w:outlineLvl w:val="9"/>
        <w:rPr>
          <w:rFonts w:hint="eastAsia" w:ascii="新宋体" w:hAnsi="新宋体" w:eastAsia="新宋体" w:cs="新宋体"/>
          <w:b/>
          <w:bCs/>
          <w:color w:val="auto"/>
          <w:sz w:val="24"/>
          <w:highlight w:val="none"/>
          <w:lang w:val="zh-CN"/>
        </w:rPr>
      </w:pPr>
    </w:p>
    <w:p w14:paraId="374CA395">
      <w:pPr>
        <w:spacing w:line="460" w:lineRule="exact"/>
        <w:jc w:val="left"/>
        <w:outlineLvl w:val="9"/>
        <w:rPr>
          <w:rFonts w:hint="eastAsia" w:ascii="新宋体" w:hAnsi="新宋体" w:eastAsia="新宋体" w:cs="新宋体"/>
          <w:b/>
          <w:bCs/>
          <w:color w:val="auto"/>
          <w:sz w:val="24"/>
          <w:highlight w:val="none"/>
          <w:lang w:val="zh-CN"/>
        </w:rPr>
      </w:pPr>
    </w:p>
    <w:p w14:paraId="6852D6A0">
      <w:pPr>
        <w:rPr>
          <w:rFonts w:ascii="新宋体" w:hAnsi="新宋体" w:eastAsia="新宋体" w:cs="新宋体"/>
          <w:color w:val="auto"/>
          <w:sz w:val="22"/>
          <w:szCs w:val="22"/>
          <w:highlight w:val="none"/>
        </w:rPr>
      </w:pPr>
    </w:p>
    <w:p w14:paraId="6C2F102B">
      <w:pPr>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br w:type="page"/>
      </w:r>
    </w:p>
    <w:p w14:paraId="3B37D5DF">
      <w:pPr>
        <w:spacing w:line="40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6、</w:t>
      </w:r>
      <w:r>
        <w:rPr>
          <w:rFonts w:hint="eastAsia" w:ascii="新宋体" w:hAnsi="新宋体" w:eastAsia="新宋体" w:cs="新宋体"/>
          <w:b/>
          <w:bCs/>
          <w:color w:val="auto"/>
          <w:sz w:val="28"/>
          <w:szCs w:val="28"/>
          <w:highlight w:val="none"/>
          <w:lang w:val="zh-CN"/>
        </w:rPr>
        <w:t>详细供货清单说明一览表</w:t>
      </w:r>
    </w:p>
    <w:p w14:paraId="01C4D02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WZLCZB（L）-2025-03069</w:t>
      </w:r>
    </w:p>
    <w:p w14:paraId="4FE96DA8">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多导睡眠监测系统、便携睡眠监测仪、呼吸机</w:t>
      </w:r>
    </w:p>
    <w:tbl>
      <w:tblPr>
        <w:tblStyle w:val="52"/>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14:paraId="7187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828" w:type="dxa"/>
            <w:shd w:val="clear" w:color="auto" w:fill="FFFFFF"/>
            <w:vAlign w:val="center"/>
          </w:tcPr>
          <w:p w14:paraId="26CD70C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692" w:type="dxa"/>
            <w:shd w:val="clear" w:color="auto" w:fill="FFFFFF"/>
            <w:vAlign w:val="center"/>
          </w:tcPr>
          <w:p w14:paraId="29FA155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设备名称/型号</w:t>
            </w:r>
          </w:p>
        </w:tc>
        <w:tc>
          <w:tcPr>
            <w:tcW w:w="2603" w:type="dxa"/>
            <w:shd w:val="clear" w:color="auto" w:fill="FFFFFF"/>
            <w:vAlign w:val="center"/>
          </w:tcPr>
          <w:p w14:paraId="799289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规格及技术参数</w:t>
            </w:r>
          </w:p>
        </w:tc>
        <w:tc>
          <w:tcPr>
            <w:tcW w:w="1991" w:type="dxa"/>
            <w:shd w:val="clear" w:color="auto" w:fill="FFFFFF"/>
            <w:vAlign w:val="center"/>
          </w:tcPr>
          <w:p w14:paraId="56B2033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w:t>
            </w:r>
          </w:p>
          <w:p w14:paraId="2ED23C7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（生产厂家/品牌）</w:t>
            </w:r>
          </w:p>
        </w:tc>
        <w:tc>
          <w:tcPr>
            <w:tcW w:w="1260" w:type="dxa"/>
            <w:shd w:val="clear" w:color="auto" w:fill="FFFFFF"/>
            <w:vAlign w:val="center"/>
          </w:tcPr>
          <w:p w14:paraId="377767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1219" w:type="dxa"/>
            <w:shd w:val="clear" w:color="auto" w:fill="FFFFFF"/>
            <w:vAlign w:val="center"/>
          </w:tcPr>
          <w:p w14:paraId="061B568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质保期</w:t>
            </w:r>
          </w:p>
        </w:tc>
      </w:tr>
      <w:tr w14:paraId="2C0CE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EFC78F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1692" w:type="dxa"/>
            <w:vAlign w:val="center"/>
          </w:tcPr>
          <w:p w14:paraId="45EE563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2603" w:type="dxa"/>
            <w:vAlign w:val="center"/>
          </w:tcPr>
          <w:p w14:paraId="293E04F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991" w:type="dxa"/>
            <w:vAlign w:val="center"/>
          </w:tcPr>
          <w:p w14:paraId="25DC985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260" w:type="dxa"/>
            <w:vAlign w:val="center"/>
          </w:tcPr>
          <w:p w14:paraId="17F4D3D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219" w:type="dxa"/>
          </w:tcPr>
          <w:p w14:paraId="616D9BA3">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r>
      <w:tr w14:paraId="2E8DE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04A7389">
            <w:pPr>
              <w:spacing w:line="360" w:lineRule="auto"/>
              <w:jc w:val="center"/>
              <w:rPr>
                <w:rFonts w:ascii="新宋体" w:hAnsi="新宋体" w:eastAsia="新宋体" w:cs="新宋体"/>
                <w:color w:val="auto"/>
                <w:sz w:val="22"/>
                <w:szCs w:val="22"/>
                <w:highlight w:val="none"/>
              </w:rPr>
            </w:pPr>
          </w:p>
        </w:tc>
        <w:tc>
          <w:tcPr>
            <w:tcW w:w="1692" w:type="dxa"/>
            <w:vAlign w:val="center"/>
          </w:tcPr>
          <w:p w14:paraId="4E553421">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744F452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0124AFA6">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04B79EC">
            <w:pPr>
              <w:spacing w:line="360" w:lineRule="auto"/>
              <w:jc w:val="center"/>
              <w:rPr>
                <w:rFonts w:ascii="新宋体" w:hAnsi="新宋体" w:eastAsia="新宋体" w:cs="新宋体"/>
                <w:b/>
                <w:bCs/>
                <w:color w:val="auto"/>
                <w:sz w:val="22"/>
                <w:szCs w:val="22"/>
                <w:highlight w:val="none"/>
              </w:rPr>
            </w:pPr>
          </w:p>
        </w:tc>
        <w:tc>
          <w:tcPr>
            <w:tcW w:w="1219" w:type="dxa"/>
          </w:tcPr>
          <w:p w14:paraId="0A6B2FAE">
            <w:pPr>
              <w:rPr>
                <w:rFonts w:ascii="新宋体" w:hAnsi="新宋体" w:eastAsia="新宋体" w:cs="新宋体"/>
                <w:color w:val="auto"/>
                <w:sz w:val="22"/>
                <w:szCs w:val="22"/>
                <w:highlight w:val="none"/>
              </w:rPr>
            </w:pPr>
          </w:p>
        </w:tc>
      </w:tr>
      <w:tr w14:paraId="73293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706A7E2">
            <w:pPr>
              <w:spacing w:line="360" w:lineRule="auto"/>
              <w:jc w:val="center"/>
              <w:rPr>
                <w:rFonts w:ascii="新宋体" w:hAnsi="新宋体" w:eastAsia="新宋体" w:cs="新宋体"/>
                <w:color w:val="auto"/>
                <w:sz w:val="22"/>
                <w:szCs w:val="22"/>
                <w:highlight w:val="none"/>
              </w:rPr>
            </w:pPr>
          </w:p>
        </w:tc>
        <w:tc>
          <w:tcPr>
            <w:tcW w:w="1692" w:type="dxa"/>
            <w:vAlign w:val="center"/>
          </w:tcPr>
          <w:p w14:paraId="4184ED72">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03716DE8">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01AA539">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C596FAB">
            <w:pPr>
              <w:spacing w:line="360" w:lineRule="auto"/>
              <w:jc w:val="center"/>
              <w:rPr>
                <w:rFonts w:ascii="新宋体" w:hAnsi="新宋体" w:eastAsia="新宋体" w:cs="新宋体"/>
                <w:b/>
                <w:bCs/>
                <w:color w:val="auto"/>
                <w:sz w:val="22"/>
                <w:szCs w:val="22"/>
                <w:highlight w:val="none"/>
              </w:rPr>
            </w:pPr>
          </w:p>
        </w:tc>
        <w:tc>
          <w:tcPr>
            <w:tcW w:w="1219" w:type="dxa"/>
          </w:tcPr>
          <w:p w14:paraId="579351DF">
            <w:pPr>
              <w:rPr>
                <w:rFonts w:ascii="新宋体" w:hAnsi="新宋体" w:eastAsia="新宋体" w:cs="新宋体"/>
                <w:color w:val="auto"/>
                <w:sz w:val="22"/>
                <w:szCs w:val="22"/>
                <w:highlight w:val="none"/>
              </w:rPr>
            </w:pPr>
          </w:p>
        </w:tc>
      </w:tr>
      <w:tr w14:paraId="2EA18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6B27DC1">
            <w:pPr>
              <w:spacing w:line="360" w:lineRule="auto"/>
              <w:jc w:val="center"/>
              <w:rPr>
                <w:rFonts w:ascii="新宋体" w:hAnsi="新宋体" w:eastAsia="新宋体" w:cs="新宋体"/>
                <w:color w:val="auto"/>
                <w:sz w:val="22"/>
                <w:szCs w:val="22"/>
                <w:highlight w:val="none"/>
              </w:rPr>
            </w:pPr>
          </w:p>
        </w:tc>
        <w:tc>
          <w:tcPr>
            <w:tcW w:w="1692" w:type="dxa"/>
            <w:vAlign w:val="center"/>
          </w:tcPr>
          <w:p w14:paraId="6B8172C0">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13A5B0FF">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77A57B8">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51906E5">
            <w:pPr>
              <w:spacing w:line="360" w:lineRule="auto"/>
              <w:jc w:val="center"/>
              <w:rPr>
                <w:rFonts w:ascii="新宋体" w:hAnsi="新宋体" w:eastAsia="新宋体" w:cs="新宋体"/>
                <w:b/>
                <w:bCs/>
                <w:color w:val="auto"/>
                <w:sz w:val="22"/>
                <w:szCs w:val="22"/>
                <w:highlight w:val="none"/>
              </w:rPr>
            </w:pPr>
          </w:p>
        </w:tc>
        <w:tc>
          <w:tcPr>
            <w:tcW w:w="1219" w:type="dxa"/>
          </w:tcPr>
          <w:p w14:paraId="6282FB16">
            <w:pPr>
              <w:rPr>
                <w:rFonts w:ascii="新宋体" w:hAnsi="新宋体" w:eastAsia="新宋体" w:cs="新宋体"/>
                <w:color w:val="auto"/>
                <w:sz w:val="22"/>
                <w:szCs w:val="22"/>
                <w:highlight w:val="none"/>
              </w:rPr>
            </w:pPr>
          </w:p>
        </w:tc>
      </w:tr>
      <w:tr w14:paraId="20D76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CA7F71D">
            <w:pPr>
              <w:spacing w:line="360" w:lineRule="auto"/>
              <w:jc w:val="center"/>
              <w:rPr>
                <w:rFonts w:ascii="新宋体" w:hAnsi="新宋体" w:eastAsia="新宋体" w:cs="新宋体"/>
                <w:color w:val="auto"/>
                <w:sz w:val="22"/>
                <w:szCs w:val="22"/>
                <w:highlight w:val="none"/>
              </w:rPr>
            </w:pPr>
          </w:p>
        </w:tc>
        <w:tc>
          <w:tcPr>
            <w:tcW w:w="1692" w:type="dxa"/>
            <w:vAlign w:val="center"/>
          </w:tcPr>
          <w:p w14:paraId="3C525047">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696AAD33">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39F401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7523E1D7">
            <w:pPr>
              <w:spacing w:line="360" w:lineRule="auto"/>
              <w:jc w:val="center"/>
              <w:rPr>
                <w:rFonts w:ascii="新宋体" w:hAnsi="新宋体" w:eastAsia="新宋体" w:cs="新宋体"/>
                <w:b/>
                <w:bCs/>
                <w:color w:val="auto"/>
                <w:sz w:val="22"/>
                <w:szCs w:val="22"/>
                <w:highlight w:val="none"/>
              </w:rPr>
            </w:pPr>
          </w:p>
        </w:tc>
        <w:tc>
          <w:tcPr>
            <w:tcW w:w="1219" w:type="dxa"/>
          </w:tcPr>
          <w:p w14:paraId="4D98BAB0">
            <w:pPr>
              <w:rPr>
                <w:rFonts w:ascii="新宋体" w:hAnsi="新宋体" w:eastAsia="新宋体" w:cs="新宋体"/>
                <w:color w:val="auto"/>
                <w:sz w:val="22"/>
                <w:szCs w:val="22"/>
                <w:highlight w:val="none"/>
              </w:rPr>
            </w:pPr>
          </w:p>
        </w:tc>
      </w:tr>
      <w:tr w14:paraId="6D2B2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6C131C">
            <w:pPr>
              <w:spacing w:line="360" w:lineRule="auto"/>
              <w:jc w:val="center"/>
              <w:rPr>
                <w:rFonts w:ascii="新宋体" w:hAnsi="新宋体" w:eastAsia="新宋体" w:cs="新宋体"/>
                <w:color w:val="auto"/>
                <w:sz w:val="22"/>
                <w:szCs w:val="22"/>
                <w:highlight w:val="none"/>
              </w:rPr>
            </w:pPr>
          </w:p>
        </w:tc>
        <w:tc>
          <w:tcPr>
            <w:tcW w:w="1692" w:type="dxa"/>
            <w:vAlign w:val="center"/>
          </w:tcPr>
          <w:p w14:paraId="74741974">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2C2F1B2E">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6F50228B">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F941D99">
            <w:pPr>
              <w:spacing w:line="360" w:lineRule="auto"/>
              <w:jc w:val="center"/>
              <w:rPr>
                <w:rFonts w:ascii="新宋体" w:hAnsi="新宋体" w:eastAsia="新宋体" w:cs="新宋体"/>
                <w:b/>
                <w:bCs/>
                <w:color w:val="auto"/>
                <w:sz w:val="22"/>
                <w:szCs w:val="22"/>
                <w:highlight w:val="none"/>
              </w:rPr>
            </w:pPr>
          </w:p>
        </w:tc>
        <w:tc>
          <w:tcPr>
            <w:tcW w:w="1219" w:type="dxa"/>
          </w:tcPr>
          <w:p w14:paraId="63924AE0">
            <w:pPr>
              <w:rPr>
                <w:rFonts w:ascii="新宋体" w:hAnsi="新宋体" w:eastAsia="新宋体" w:cs="新宋体"/>
                <w:color w:val="auto"/>
                <w:sz w:val="22"/>
                <w:szCs w:val="22"/>
                <w:highlight w:val="none"/>
              </w:rPr>
            </w:pPr>
          </w:p>
        </w:tc>
      </w:tr>
      <w:tr w14:paraId="431A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5D467AC">
            <w:pPr>
              <w:spacing w:line="360" w:lineRule="auto"/>
              <w:jc w:val="center"/>
              <w:rPr>
                <w:rFonts w:ascii="新宋体" w:hAnsi="新宋体" w:eastAsia="新宋体" w:cs="新宋体"/>
                <w:color w:val="auto"/>
                <w:sz w:val="22"/>
                <w:szCs w:val="22"/>
                <w:highlight w:val="none"/>
              </w:rPr>
            </w:pPr>
          </w:p>
        </w:tc>
        <w:tc>
          <w:tcPr>
            <w:tcW w:w="1692" w:type="dxa"/>
            <w:vAlign w:val="center"/>
          </w:tcPr>
          <w:p w14:paraId="648D9E69">
            <w:pPr>
              <w:spacing w:line="360" w:lineRule="auto"/>
              <w:jc w:val="center"/>
              <w:rPr>
                <w:rFonts w:ascii="新宋体" w:hAnsi="新宋体" w:eastAsia="新宋体" w:cs="新宋体"/>
                <w:color w:val="auto"/>
                <w:sz w:val="22"/>
                <w:szCs w:val="22"/>
                <w:highlight w:val="none"/>
              </w:rPr>
            </w:pPr>
          </w:p>
        </w:tc>
        <w:tc>
          <w:tcPr>
            <w:tcW w:w="2603" w:type="dxa"/>
            <w:vAlign w:val="center"/>
          </w:tcPr>
          <w:p w14:paraId="5737E46A">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3D9980E8">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1623B5B3">
            <w:pPr>
              <w:spacing w:line="360" w:lineRule="auto"/>
              <w:jc w:val="center"/>
              <w:rPr>
                <w:rFonts w:ascii="新宋体" w:hAnsi="新宋体" w:eastAsia="新宋体" w:cs="新宋体"/>
                <w:b/>
                <w:bCs/>
                <w:color w:val="auto"/>
                <w:sz w:val="22"/>
                <w:szCs w:val="22"/>
                <w:highlight w:val="none"/>
              </w:rPr>
            </w:pPr>
          </w:p>
        </w:tc>
        <w:tc>
          <w:tcPr>
            <w:tcW w:w="1219" w:type="dxa"/>
          </w:tcPr>
          <w:p w14:paraId="69EA6EC2">
            <w:pPr>
              <w:rPr>
                <w:rFonts w:ascii="新宋体" w:hAnsi="新宋体" w:eastAsia="新宋体" w:cs="新宋体"/>
                <w:color w:val="auto"/>
                <w:sz w:val="22"/>
                <w:szCs w:val="22"/>
                <w:highlight w:val="none"/>
              </w:rPr>
            </w:pPr>
          </w:p>
        </w:tc>
      </w:tr>
      <w:tr w14:paraId="4A93D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58A616C">
            <w:pPr>
              <w:spacing w:line="360" w:lineRule="auto"/>
              <w:jc w:val="center"/>
              <w:rPr>
                <w:rFonts w:ascii="新宋体" w:hAnsi="新宋体" w:eastAsia="新宋体" w:cs="新宋体"/>
                <w:color w:val="auto"/>
                <w:sz w:val="22"/>
                <w:szCs w:val="22"/>
                <w:highlight w:val="none"/>
              </w:rPr>
            </w:pPr>
          </w:p>
        </w:tc>
        <w:tc>
          <w:tcPr>
            <w:tcW w:w="1692" w:type="dxa"/>
            <w:vAlign w:val="center"/>
          </w:tcPr>
          <w:p w14:paraId="17B2C9ED">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19DF121B">
            <w:pPr>
              <w:spacing w:line="360" w:lineRule="auto"/>
              <w:jc w:val="center"/>
              <w:rPr>
                <w:rFonts w:ascii="新宋体" w:hAnsi="新宋体" w:eastAsia="新宋体" w:cs="新宋体"/>
                <w:color w:val="auto"/>
                <w:sz w:val="22"/>
                <w:szCs w:val="22"/>
                <w:highlight w:val="none"/>
              </w:rPr>
            </w:pPr>
          </w:p>
        </w:tc>
        <w:tc>
          <w:tcPr>
            <w:tcW w:w="1991" w:type="dxa"/>
            <w:vAlign w:val="center"/>
          </w:tcPr>
          <w:p w14:paraId="77BD113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840BE0A">
            <w:pPr>
              <w:spacing w:line="360" w:lineRule="auto"/>
              <w:jc w:val="center"/>
              <w:rPr>
                <w:rFonts w:ascii="新宋体" w:hAnsi="新宋体" w:eastAsia="新宋体" w:cs="新宋体"/>
                <w:b/>
                <w:bCs/>
                <w:color w:val="auto"/>
                <w:sz w:val="22"/>
                <w:szCs w:val="22"/>
                <w:highlight w:val="none"/>
              </w:rPr>
            </w:pPr>
          </w:p>
        </w:tc>
        <w:tc>
          <w:tcPr>
            <w:tcW w:w="1219" w:type="dxa"/>
          </w:tcPr>
          <w:p w14:paraId="150F2733">
            <w:pPr>
              <w:rPr>
                <w:rFonts w:ascii="新宋体" w:hAnsi="新宋体" w:eastAsia="新宋体" w:cs="新宋体"/>
                <w:color w:val="auto"/>
                <w:sz w:val="22"/>
                <w:szCs w:val="22"/>
                <w:highlight w:val="none"/>
              </w:rPr>
            </w:pPr>
          </w:p>
        </w:tc>
      </w:tr>
      <w:tr w14:paraId="537FF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C7831B8">
            <w:pPr>
              <w:spacing w:line="360" w:lineRule="auto"/>
              <w:jc w:val="center"/>
              <w:rPr>
                <w:rFonts w:ascii="新宋体" w:hAnsi="新宋体" w:eastAsia="新宋体" w:cs="新宋体"/>
                <w:color w:val="auto"/>
                <w:sz w:val="22"/>
                <w:szCs w:val="22"/>
                <w:highlight w:val="none"/>
              </w:rPr>
            </w:pPr>
          </w:p>
        </w:tc>
        <w:tc>
          <w:tcPr>
            <w:tcW w:w="1692" w:type="dxa"/>
            <w:vAlign w:val="center"/>
          </w:tcPr>
          <w:p w14:paraId="0AAF083E">
            <w:pPr>
              <w:spacing w:line="360" w:lineRule="auto"/>
              <w:jc w:val="center"/>
              <w:rPr>
                <w:rFonts w:ascii="新宋体" w:hAnsi="新宋体" w:eastAsia="新宋体" w:cs="新宋体"/>
                <w:color w:val="auto"/>
                <w:sz w:val="22"/>
                <w:szCs w:val="22"/>
                <w:highlight w:val="none"/>
              </w:rPr>
            </w:pPr>
          </w:p>
        </w:tc>
        <w:tc>
          <w:tcPr>
            <w:tcW w:w="2603" w:type="dxa"/>
          </w:tcPr>
          <w:p w14:paraId="477B63D9">
            <w:pPr>
              <w:spacing w:line="360" w:lineRule="auto"/>
              <w:rPr>
                <w:rFonts w:ascii="新宋体" w:hAnsi="新宋体" w:eastAsia="新宋体" w:cs="新宋体"/>
                <w:b/>
                <w:bCs/>
                <w:color w:val="auto"/>
                <w:sz w:val="22"/>
                <w:szCs w:val="22"/>
                <w:highlight w:val="none"/>
              </w:rPr>
            </w:pPr>
          </w:p>
        </w:tc>
        <w:tc>
          <w:tcPr>
            <w:tcW w:w="1991" w:type="dxa"/>
            <w:vAlign w:val="center"/>
          </w:tcPr>
          <w:p w14:paraId="23DFE88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5AE49CA">
            <w:pPr>
              <w:spacing w:line="360" w:lineRule="auto"/>
              <w:jc w:val="center"/>
              <w:rPr>
                <w:rFonts w:ascii="新宋体" w:hAnsi="新宋体" w:eastAsia="新宋体" w:cs="新宋体"/>
                <w:b/>
                <w:bCs/>
                <w:color w:val="auto"/>
                <w:sz w:val="22"/>
                <w:szCs w:val="22"/>
                <w:highlight w:val="none"/>
              </w:rPr>
            </w:pPr>
          </w:p>
        </w:tc>
        <w:tc>
          <w:tcPr>
            <w:tcW w:w="1219" w:type="dxa"/>
          </w:tcPr>
          <w:p w14:paraId="2D530947">
            <w:pPr>
              <w:rPr>
                <w:rFonts w:ascii="新宋体" w:hAnsi="新宋体" w:eastAsia="新宋体" w:cs="新宋体"/>
                <w:color w:val="auto"/>
                <w:sz w:val="22"/>
                <w:szCs w:val="22"/>
                <w:highlight w:val="none"/>
              </w:rPr>
            </w:pPr>
          </w:p>
        </w:tc>
      </w:tr>
      <w:tr w14:paraId="19A1D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885D5A2">
            <w:pPr>
              <w:spacing w:line="360" w:lineRule="auto"/>
              <w:jc w:val="center"/>
              <w:rPr>
                <w:rFonts w:ascii="新宋体" w:hAnsi="新宋体" w:eastAsia="新宋体" w:cs="新宋体"/>
                <w:color w:val="auto"/>
                <w:sz w:val="22"/>
                <w:szCs w:val="22"/>
                <w:highlight w:val="none"/>
              </w:rPr>
            </w:pPr>
          </w:p>
        </w:tc>
        <w:tc>
          <w:tcPr>
            <w:tcW w:w="1692" w:type="dxa"/>
            <w:vAlign w:val="center"/>
          </w:tcPr>
          <w:p w14:paraId="2DCDD711">
            <w:pPr>
              <w:spacing w:line="360" w:lineRule="auto"/>
              <w:jc w:val="center"/>
              <w:rPr>
                <w:rFonts w:ascii="新宋体" w:hAnsi="新宋体" w:eastAsia="新宋体" w:cs="新宋体"/>
                <w:b/>
                <w:bCs/>
                <w:color w:val="auto"/>
                <w:sz w:val="22"/>
                <w:szCs w:val="22"/>
                <w:highlight w:val="none"/>
              </w:rPr>
            </w:pPr>
          </w:p>
        </w:tc>
        <w:tc>
          <w:tcPr>
            <w:tcW w:w="2603" w:type="dxa"/>
          </w:tcPr>
          <w:p w14:paraId="0E79C023">
            <w:pPr>
              <w:spacing w:line="360" w:lineRule="auto"/>
              <w:rPr>
                <w:rFonts w:ascii="新宋体" w:hAnsi="新宋体" w:eastAsia="新宋体" w:cs="新宋体"/>
                <w:color w:val="auto"/>
                <w:sz w:val="22"/>
                <w:szCs w:val="22"/>
                <w:highlight w:val="none"/>
              </w:rPr>
            </w:pPr>
          </w:p>
        </w:tc>
        <w:tc>
          <w:tcPr>
            <w:tcW w:w="1991" w:type="dxa"/>
            <w:vAlign w:val="center"/>
          </w:tcPr>
          <w:p w14:paraId="1491984A">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01B8292">
            <w:pPr>
              <w:spacing w:line="360" w:lineRule="auto"/>
              <w:jc w:val="center"/>
              <w:rPr>
                <w:rFonts w:ascii="新宋体" w:hAnsi="新宋体" w:eastAsia="新宋体" w:cs="新宋体"/>
                <w:b/>
                <w:bCs/>
                <w:color w:val="auto"/>
                <w:sz w:val="22"/>
                <w:szCs w:val="22"/>
                <w:highlight w:val="none"/>
              </w:rPr>
            </w:pPr>
          </w:p>
        </w:tc>
        <w:tc>
          <w:tcPr>
            <w:tcW w:w="1219" w:type="dxa"/>
          </w:tcPr>
          <w:p w14:paraId="68894B28">
            <w:pPr>
              <w:rPr>
                <w:rFonts w:ascii="新宋体" w:hAnsi="新宋体" w:eastAsia="新宋体" w:cs="新宋体"/>
                <w:color w:val="auto"/>
                <w:sz w:val="22"/>
                <w:szCs w:val="22"/>
                <w:highlight w:val="none"/>
              </w:rPr>
            </w:pPr>
          </w:p>
        </w:tc>
      </w:tr>
      <w:tr w14:paraId="123EE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EE6D297">
            <w:pPr>
              <w:spacing w:line="360" w:lineRule="auto"/>
              <w:jc w:val="center"/>
              <w:rPr>
                <w:rFonts w:ascii="新宋体" w:hAnsi="新宋体" w:eastAsia="新宋体" w:cs="新宋体"/>
                <w:color w:val="auto"/>
                <w:sz w:val="22"/>
                <w:szCs w:val="22"/>
                <w:highlight w:val="none"/>
              </w:rPr>
            </w:pPr>
          </w:p>
        </w:tc>
        <w:tc>
          <w:tcPr>
            <w:tcW w:w="1692" w:type="dxa"/>
            <w:vAlign w:val="center"/>
          </w:tcPr>
          <w:p w14:paraId="425E60DE">
            <w:pPr>
              <w:spacing w:line="360" w:lineRule="auto"/>
              <w:jc w:val="center"/>
              <w:rPr>
                <w:rFonts w:ascii="新宋体" w:hAnsi="新宋体" w:eastAsia="新宋体" w:cs="新宋体"/>
                <w:color w:val="auto"/>
                <w:sz w:val="22"/>
                <w:szCs w:val="22"/>
                <w:highlight w:val="none"/>
              </w:rPr>
            </w:pPr>
          </w:p>
        </w:tc>
        <w:tc>
          <w:tcPr>
            <w:tcW w:w="2603" w:type="dxa"/>
          </w:tcPr>
          <w:p w14:paraId="289D34D0">
            <w:pPr>
              <w:spacing w:line="360" w:lineRule="auto"/>
              <w:rPr>
                <w:rFonts w:ascii="新宋体" w:hAnsi="新宋体" w:eastAsia="新宋体" w:cs="新宋体"/>
                <w:color w:val="auto"/>
                <w:sz w:val="22"/>
                <w:szCs w:val="22"/>
                <w:highlight w:val="none"/>
              </w:rPr>
            </w:pPr>
          </w:p>
        </w:tc>
        <w:tc>
          <w:tcPr>
            <w:tcW w:w="1991" w:type="dxa"/>
            <w:vAlign w:val="center"/>
          </w:tcPr>
          <w:p w14:paraId="7D27252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57EFD6E0">
            <w:pPr>
              <w:spacing w:line="360" w:lineRule="auto"/>
              <w:jc w:val="center"/>
              <w:rPr>
                <w:rFonts w:ascii="新宋体" w:hAnsi="新宋体" w:eastAsia="新宋体" w:cs="新宋体"/>
                <w:b/>
                <w:bCs/>
                <w:color w:val="auto"/>
                <w:sz w:val="22"/>
                <w:szCs w:val="22"/>
                <w:highlight w:val="none"/>
              </w:rPr>
            </w:pPr>
          </w:p>
        </w:tc>
        <w:tc>
          <w:tcPr>
            <w:tcW w:w="1219" w:type="dxa"/>
          </w:tcPr>
          <w:p w14:paraId="4B48B1FB">
            <w:pPr>
              <w:rPr>
                <w:rFonts w:ascii="新宋体" w:hAnsi="新宋体" w:eastAsia="新宋体" w:cs="新宋体"/>
                <w:color w:val="auto"/>
                <w:sz w:val="22"/>
                <w:szCs w:val="22"/>
                <w:highlight w:val="none"/>
              </w:rPr>
            </w:pPr>
          </w:p>
        </w:tc>
      </w:tr>
      <w:tr w14:paraId="5793E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77B089">
            <w:pPr>
              <w:spacing w:line="360" w:lineRule="auto"/>
              <w:jc w:val="center"/>
              <w:rPr>
                <w:rFonts w:ascii="新宋体" w:hAnsi="新宋体" w:eastAsia="新宋体" w:cs="新宋体"/>
                <w:color w:val="auto"/>
                <w:sz w:val="22"/>
                <w:szCs w:val="22"/>
                <w:highlight w:val="none"/>
              </w:rPr>
            </w:pPr>
          </w:p>
        </w:tc>
        <w:tc>
          <w:tcPr>
            <w:tcW w:w="1692" w:type="dxa"/>
            <w:vAlign w:val="center"/>
          </w:tcPr>
          <w:p w14:paraId="31712337">
            <w:pPr>
              <w:spacing w:line="360" w:lineRule="auto"/>
              <w:jc w:val="center"/>
              <w:rPr>
                <w:rFonts w:ascii="新宋体" w:hAnsi="新宋体" w:eastAsia="新宋体" w:cs="新宋体"/>
                <w:color w:val="auto"/>
                <w:sz w:val="22"/>
                <w:szCs w:val="22"/>
                <w:highlight w:val="none"/>
              </w:rPr>
            </w:pPr>
          </w:p>
        </w:tc>
        <w:tc>
          <w:tcPr>
            <w:tcW w:w="2603" w:type="dxa"/>
          </w:tcPr>
          <w:p w14:paraId="06DB8362">
            <w:pPr>
              <w:spacing w:line="360" w:lineRule="auto"/>
              <w:rPr>
                <w:rFonts w:ascii="新宋体" w:hAnsi="新宋体" w:eastAsia="新宋体" w:cs="新宋体"/>
                <w:color w:val="auto"/>
                <w:sz w:val="22"/>
                <w:szCs w:val="22"/>
                <w:highlight w:val="none"/>
              </w:rPr>
            </w:pPr>
          </w:p>
        </w:tc>
        <w:tc>
          <w:tcPr>
            <w:tcW w:w="1991" w:type="dxa"/>
            <w:vAlign w:val="center"/>
          </w:tcPr>
          <w:p w14:paraId="6605D202">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BEADAF3">
            <w:pPr>
              <w:spacing w:line="360" w:lineRule="auto"/>
              <w:jc w:val="center"/>
              <w:rPr>
                <w:rFonts w:ascii="新宋体" w:hAnsi="新宋体" w:eastAsia="新宋体" w:cs="新宋体"/>
                <w:b/>
                <w:bCs/>
                <w:color w:val="auto"/>
                <w:sz w:val="22"/>
                <w:szCs w:val="22"/>
                <w:highlight w:val="none"/>
              </w:rPr>
            </w:pPr>
          </w:p>
        </w:tc>
        <w:tc>
          <w:tcPr>
            <w:tcW w:w="1219" w:type="dxa"/>
          </w:tcPr>
          <w:p w14:paraId="1B8D1865">
            <w:pPr>
              <w:rPr>
                <w:rFonts w:ascii="新宋体" w:hAnsi="新宋体" w:eastAsia="新宋体" w:cs="新宋体"/>
                <w:color w:val="auto"/>
                <w:sz w:val="22"/>
                <w:szCs w:val="22"/>
                <w:highlight w:val="none"/>
              </w:rPr>
            </w:pPr>
          </w:p>
        </w:tc>
      </w:tr>
      <w:tr w14:paraId="3DDD3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1ED32E12">
            <w:pPr>
              <w:spacing w:line="360" w:lineRule="auto"/>
              <w:jc w:val="center"/>
              <w:rPr>
                <w:rFonts w:ascii="新宋体" w:hAnsi="新宋体" w:eastAsia="新宋体" w:cs="新宋体"/>
                <w:color w:val="auto"/>
                <w:sz w:val="22"/>
                <w:szCs w:val="22"/>
                <w:highlight w:val="none"/>
              </w:rPr>
            </w:pPr>
          </w:p>
        </w:tc>
        <w:tc>
          <w:tcPr>
            <w:tcW w:w="1692" w:type="dxa"/>
            <w:vAlign w:val="center"/>
          </w:tcPr>
          <w:p w14:paraId="16630B85">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21E3E64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4B9BE252">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7081338C">
            <w:pPr>
              <w:spacing w:line="360" w:lineRule="auto"/>
              <w:jc w:val="center"/>
              <w:rPr>
                <w:rFonts w:ascii="新宋体" w:hAnsi="新宋体" w:eastAsia="新宋体" w:cs="新宋体"/>
                <w:b/>
                <w:bCs/>
                <w:color w:val="auto"/>
                <w:sz w:val="22"/>
                <w:szCs w:val="22"/>
                <w:highlight w:val="none"/>
              </w:rPr>
            </w:pPr>
          </w:p>
        </w:tc>
        <w:tc>
          <w:tcPr>
            <w:tcW w:w="1219" w:type="dxa"/>
          </w:tcPr>
          <w:p w14:paraId="0EA9B2B2">
            <w:pPr>
              <w:rPr>
                <w:rFonts w:ascii="新宋体" w:hAnsi="新宋体" w:eastAsia="新宋体" w:cs="新宋体"/>
                <w:color w:val="auto"/>
                <w:sz w:val="22"/>
                <w:szCs w:val="22"/>
                <w:highlight w:val="none"/>
              </w:rPr>
            </w:pPr>
          </w:p>
        </w:tc>
      </w:tr>
      <w:tr w14:paraId="6B4B1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DD3773F">
            <w:pPr>
              <w:spacing w:line="360" w:lineRule="auto"/>
              <w:jc w:val="center"/>
              <w:rPr>
                <w:rFonts w:ascii="新宋体" w:hAnsi="新宋体" w:eastAsia="新宋体" w:cs="新宋体"/>
                <w:color w:val="auto"/>
                <w:sz w:val="22"/>
                <w:szCs w:val="22"/>
                <w:highlight w:val="none"/>
              </w:rPr>
            </w:pPr>
          </w:p>
        </w:tc>
        <w:tc>
          <w:tcPr>
            <w:tcW w:w="1692" w:type="dxa"/>
            <w:vAlign w:val="center"/>
          </w:tcPr>
          <w:p w14:paraId="4A413E33">
            <w:pPr>
              <w:spacing w:line="360" w:lineRule="auto"/>
              <w:rPr>
                <w:rFonts w:ascii="新宋体" w:hAnsi="新宋体" w:eastAsia="新宋体" w:cs="新宋体"/>
                <w:b/>
                <w:bCs/>
                <w:color w:val="auto"/>
                <w:sz w:val="22"/>
                <w:szCs w:val="22"/>
                <w:highlight w:val="none"/>
              </w:rPr>
            </w:pPr>
          </w:p>
        </w:tc>
        <w:tc>
          <w:tcPr>
            <w:tcW w:w="2603" w:type="dxa"/>
            <w:vAlign w:val="center"/>
          </w:tcPr>
          <w:p w14:paraId="0A39147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C44D77D">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98F1FB1">
            <w:pPr>
              <w:spacing w:line="360" w:lineRule="auto"/>
              <w:jc w:val="center"/>
              <w:rPr>
                <w:rFonts w:ascii="新宋体" w:hAnsi="新宋体" w:eastAsia="新宋体" w:cs="新宋体"/>
                <w:b/>
                <w:bCs/>
                <w:color w:val="auto"/>
                <w:sz w:val="22"/>
                <w:szCs w:val="22"/>
                <w:highlight w:val="none"/>
              </w:rPr>
            </w:pPr>
          </w:p>
        </w:tc>
        <w:tc>
          <w:tcPr>
            <w:tcW w:w="1219" w:type="dxa"/>
          </w:tcPr>
          <w:p w14:paraId="6180853E">
            <w:pPr>
              <w:rPr>
                <w:rFonts w:ascii="新宋体" w:hAnsi="新宋体" w:eastAsia="新宋体" w:cs="新宋体"/>
                <w:color w:val="auto"/>
                <w:sz w:val="22"/>
                <w:szCs w:val="22"/>
                <w:highlight w:val="none"/>
              </w:rPr>
            </w:pPr>
          </w:p>
        </w:tc>
      </w:tr>
      <w:tr w14:paraId="4F9B9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67B0BB">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3546E9C4">
            <w:pPr>
              <w:spacing w:line="360" w:lineRule="auto"/>
              <w:rPr>
                <w:rFonts w:ascii="新宋体" w:hAnsi="新宋体" w:eastAsia="新宋体" w:cs="新宋体"/>
                <w:b/>
                <w:bCs/>
                <w:color w:val="auto"/>
                <w:sz w:val="22"/>
                <w:szCs w:val="22"/>
                <w:highlight w:val="none"/>
              </w:rPr>
            </w:pPr>
          </w:p>
        </w:tc>
        <w:tc>
          <w:tcPr>
            <w:tcW w:w="2603" w:type="dxa"/>
            <w:vAlign w:val="center"/>
          </w:tcPr>
          <w:p w14:paraId="6BF55A98">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6A074E9F">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6F4940C">
            <w:pPr>
              <w:spacing w:line="360" w:lineRule="auto"/>
              <w:jc w:val="center"/>
              <w:rPr>
                <w:rFonts w:ascii="新宋体" w:hAnsi="新宋体" w:eastAsia="新宋体" w:cs="新宋体"/>
                <w:b/>
                <w:bCs/>
                <w:color w:val="auto"/>
                <w:sz w:val="22"/>
                <w:szCs w:val="22"/>
                <w:highlight w:val="none"/>
              </w:rPr>
            </w:pPr>
          </w:p>
        </w:tc>
        <w:tc>
          <w:tcPr>
            <w:tcW w:w="1219" w:type="dxa"/>
          </w:tcPr>
          <w:p w14:paraId="07B30B90">
            <w:pPr>
              <w:rPr>
                <w:rFonts w:ascii="新宋体" w:hAnsi="新宋体" w:eastAsia="新宋体" w:cs="新宋体"/>
                <w:color w:val="auto"/>
                <w:sz w:val="22"/>
                <w:szCs w:val="22"/>
                <w:highlight w:val="none"/>
              </w:rPr>
            </w:pPr>
          </w:p>
        </w:tc>
      </w:tr>
      <w:tr w14:paraId="0FADD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CE28F36">
            <w:pPr>
              <w:spacing w:line="360" w:lineRule="auto"/>
              <w:jc w:val="center"/>
              <w:rPr>
                <w:rFonts w:ascii="新宋体" w:hAnsi="新宋体" w:eastAsia="新宋体" w:cs="新宋体"/>
                <w:bCs/>
                <w:color w:val="auto"/>
                <w:sz w:val="22"/>
                <w:szCs w:val="22"/>
                <w:highlight w:val="none"/>
              </w:rPr>
            </w:pPr>
          </w:p>
        </w:tc>
        <w:tc>
          <w:tcPr>
            <w:tcW w:w="1692" w:type="dxa"/>
            <w:vAlign w:val="center"/>
          </w:tcPr>
          <w:p w14:paraId="0435E853">
            <w:pPr>
              <w:spacing w:line="360" w:lineRule="auto"/>
              <w:rPr>
                <w:rFonts w:ascii="新宋体" w:hAnsi="新宋体" w:eastAsia="新宋体" w:cs="新宋体"/>
                <w:color w:val="auto"/>
                <w:sz w:val="22"/>
                <w:szCs w:val="22"/>
                <w:highlight w:val="none"/>
              </w:rPr>
            </w:pPr>
          </w:p>
        </w:tc>
        <w:tc>
          <w:tcPr>
            <w:tcW w:w="2603" w:type="dxa"/>
            <w:vAlign w:val="center"/>
          </w:tcPr>
          <w:p w14:paraId="68BEE172">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F8EC746">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C361561">
            <w:pPr>
              <w:spacing w:line="360" w:lineRule="auto"/>
              <w:jc w:val="center"/>
              <w:rPr>
                <w:rFonts w:ascii="新宋体" w:hAnsi="新宋体" w:eastAsia="新宋体" w:cs="新宋体"/>
                <w:b/>
                <w:bCs/>
                <w:color w:val="auto"/>
                <w:sz w:val="22"/>
                <w:szCs w:val="22"/>
                <w:highlight w:val="none"/>
              </w:rPr>
            </w:pPr>
          </w:p>
        </w:tc>
        <w:tc>
          <w:tcPr>
            <w:tcW w:w="1219" w:type="dxa"/>
          </w:tcPr>
          <w:p w14:paraId="6BAD7D71">
            <w:pPr>
              <w:rPr>
                <w:rFonts w:ascii="新宋体" w:hAnsi="新宋体" w:eastAsia="新宋体" w:cs="新宋体"/>
                <w:color w:val="auto"/>
                <w:sz w:val="22"/>
                <w:szCs w:val="22"/>
                <w:highlight w:val="none"/>
              </w:rPr>
            </w:pPr>
          </w:p>
        </w:tc>
      </w:tr>
      <w:tr w14:paraId="392E7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31713D8">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6E5CD4B9">
            <w:pPr>
              <w:spacing w:line="360" w:lineRule="auto"/>
              <w:rPr>
                <w:rFonts w:ascii="新宋体" w:hAnsi="新宋体" w:eastAsia="新宋体" w:cs="新宋体"/>
                <w:b/>
                <w:bCs/>
                <w:color w:val="auto"/>
                <w:sz w:val="22"/>
                <w:szCs w:val="22"/>
                <w:highlight w:val="none"/>
              </w:rPr>
            </w:pPr>
          </w:p>
        </w:tc>
        <w:tc>
          <w:tcPr>
            <w:tcW w:w="2603" w:type="dxa"/>
            <w:vAlign w:val="center"/>
          </w:tcPr>
          <w:p w14:paraId="1AE3327D">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3E4D027">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21D74C7">
            <w:pPr>
              <w:spacing w:line="360" w:lineRule="auto"/>
              <w:jc w:val="center"/>
              <w:rPr>
                <w:rFonts w:ascii="新宋体" w:hAnsi="新宋体" w:eastAsia="新宋体" w:cs="新宋体"/>
                <w:b/>
                <w:bCs/>
                <w:color w:val="auto"/>
                <w:sz w:val="22"/>
                <w:szCs w:val="22"/>
                <w:highlight w:val="none"/>
              </w:rPr>
            </w:pPr>
          </w:p>
        </w:tc>
        <w:tc>
          <w:tcPr>
            <w:tcW w:w="1219" w:type="dxa"/>
          </w:tcPr>
          <w:p w14:paraId="6004D96D">
            <w:pPr>
              <w:rPr>
                <w:rFonts w:ascii="新宋体" w:hAnsi="新宋体" w:eastAsia="新宋体" w:cs="新宋体"/>
                <w:color w:val="auto"/>
                <w:sz w:val="22"/>
                <w:szCs w:val="22"/>
                <w:highlight w:val="none"/>
              </w:rPr>
            </w:pPr>
          </w:p>
        </w:tc>
      </w:tr>
      <w:tr w14:paraId="1AB18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6470A85">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829E3B9">
            <w:pPr>
              <w:spacing w:line="360" w:lineRule="auto"/>
              <w:rPr>
                <w:rFonts w:ascii="新宋体" w:hAnsi="新宋体" w:eastAsia="新宋体" w:cs="新宋体"/>
                <w:color w:val="auto"/>
                <w:sz w:val="22"/>
                <w:szCs w:val="22"/>
                <w:highlight w:val="none"/>
              </w:rPr>
            </w:pPr>
          </w:p>
        </w:tc>
        <w:tc>
          <w:tcPr>
            <w:tcW w:w="2603" w:type="dxa"/>
            <w:vAlign w:val="center"/>
          </w:tcPr>
          <w:p w14:paraId="20ED82D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DF2F550">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CEBB6F5">
            <w:pPr>
              <w:spacing w:line="360" w:lineRule="auto"/>
              <w:jc w:val="center"/>
              <w:rPr>
                <w:rFonts w:ascii="新宋体" w:hAnsi="新宋体" w:eastAsia="新宋体" w:cs="新宋体"/>
                <w:b/>
                <w:bCs/>
                <w:color w:val="auto"/>
                <w:sz w:val="22"/>
                <w:szCs w:val="22"/>
                <w:highlight w:val="none"/>
              </w:rPr>
            </w:pPr>
          </w:p>
        </w:tc>
        <w:tc>
          <w:tcPr>
            <w:tcW w:w="1219" w:type="dxa"/>
          </w:tcPr>
          <w:p w14:paraId="709E02FA">
            <w:pPr>
              <w:rPr>
                <w:rFonts w:ascii="新宋体" w:hAnsi="新宋体" w:eastAsia="新宋体" w:cs="新宋体"/>
                <w:color w:val="auto"/>
                <w:sz w:val="22"/>
                <w:szCs w:val="22"/>
                <w:highlight w:val="none"/>
              </w:rPr>
            </w:pPr>
          </w:p>
        </w:tc>
      </w:tr>
      <w:tr w14:paraId="4E07D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92008B5">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89B4389">
            <w:pPr>
              <w:spacing w:line="360" w:lineRule="auto"/>
              <w:rPr>
                <w:rFonts w:ascii="新宋体" w:hAnsi="新宋体" w:eastAsia="新宋体" w:cs="新宋体"/>
                <w:b/>
                <w:bCs/>
                <w:color w:val="auto"/>
                <w:sz w:val="22"/>
                <w:szCs w:val="22"/>
                <w:highlight w:val="none"/>
              </w:rPr>
            </w:pPr>
          </w:p>
        </w:tc>
        <w:tc>
          <w:tcPr>
            <w:tcW w:w="2603" w:type="dxa"/>
            <w:vAlign w:val="center"/>
          </w:tcPr>
          <w:p w14:paraId="16E4867F">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434D0E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7B382D6">
            <w:pPr>
              <w:spacing w:line="360" w:lineRule="auto"/>
              <w:jc w:val="center"/>
              <w:rPr>
                <w:rFonts w:ascii="新宋体" w:hAnsi="新宋体" w:eastAsia="新宋体" w:cs="新宋体"/>
                <w:b/>
                <w:bCs/>
                <w:color w:val="auto"/>
                <w:sz w:val="22"/>
                <w:szCs w:val="22"/>
                <w:highlight w:val="none"/>
              </w:rPr>
            </w:pPr>
          </w:p>
        </w:tc>
        <w:tc>
          <w:tcPr>
            <w:tcW w:w="1219" w:type="dxa"/>
          </w:tcPr>
          <w:p w14:paraId="17B782D5">
            <w:pPr>
              <w:rPr>
                <w:rFonts w:ascii="新宋体" w:hAnsi="新宋体" w:eastAsia="新宋体" w:cs="新宋体"/>
                <w:color w:val="auto"/>
                <w:sz w:val="22"/>
                <w:szCs w:val="22"/>
                <w:highlight w:val="none"/>
              </w:rPr>
            </w:pPr>
          </w:p>
        </w:tc>
      </w:tr>
      <w:tr w14:paraId="7492E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C3622D0">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C561BE1">
            <w:pPr>
              <w:spacing w:line="360" w:lineRule="auto"/>
              <w:rPr>
                <w:rFonts w:ascii="新宋体" w:hAnsi="新宋体" w:eastAsia="新宋体" w:cs="新宋体"/>
                <w:b/>
                <w:bCs/>
                <w:color w:val="auto"/>
                <w:sz w:val="22"/>
                <w:szCs w:val="22"/>
                <w:highlight w:val="none"/>
              </w:rPr>
            </w:pPr>
          </w:p>
        </w:tc>
        <w:tc>
          <w:tcPr>
            <w:tcW w:w="2603" w:type="dxa"/>
            <w:vAlign w:val="center"/>
          </w:tcPr>
          <w:p w14:paraId="1D38E31A">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10E67EC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1C37CD60">
            <w:pPr>
              <w:spacing w:line="360" w:lineRule="auto"/>
              <w:jc w:val="center"/>
              <w:rPr>
                <w:rFonts w:ascii="新宋体" w:hAnsi="新宋体" w:eastAsia="新宋体" w:cs="新宋体"/>
                <w:b/>
                <w:bCs/>
                <w:color w:val="auto"/>
                <w:sz w:val="22"/>
                <w:szCs w:val="22"/>
                <w:highlight w:val="none"/>
              </w:rPr>
            </w:pPr>
          </w:p>
        </w:tc>
        <w:tc>
          <w:tcPr>
            <w:tcW w:w="1219" w:type="dxa"/>
          </w:tcPr>
          <w:p w14:paraId="0F99984E">
            <w:pPr>
              <w:rPr>
                <w:rFonts w:ascii="新宋体" w:hAnsi="新宋体" w:eastAsia="新宋体" w:cs="新宋体"/>
                <w:color w:val="auto"/>
                <w:sz w:val="22"/>
                <w:szCs w:val="22"/>
                <w:highlight w:val="none"/>
              </w:rPr>
            </w:pPr>
          </w:p>
        </w:tc>
      </w:tr>
      <w:tr w14:paraId="1ECA5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6634BFB">
            <w:pPr>
              <w:spacing w:line="360" w:lineRule="auto"/>
              <w:jc w:val="center"/>
              <w:rPr>
                <w:rFonts w:ascii="新宋体" w:hAnsi="新宋体" w:eastAsia="新宋体" w:cs="新宋体"/>
                <w:color w:val="auto"/>
                <w:sz w:val="22"/>
                <w:szCs w:val="22"/>
                <w:highlight w:val="none"/>
              </w:rPr>
            </w:pPr>
          </w:p>
        </w:tc>
        <w:tc>
          <w:tcPr>
            <w:tcW w:w="1692" w:type="dxa"/>
            <w:vAlign w:val="center"/>
          </w:tcPr>
          <w:p w14:paraId="6CA4A68B">
            <w:pPr>
              <w:spacing w:line="360" w:lineRule="auto"/>
              <w:rPr>
                <w:rFonts w:ascii="新宋体" w:hAnsi="新宋体" w:eastAsia="新宋体" w:cs="新宋体"/>
                <w:color w:val="auto"/>
                <w:sz w:val="22"/>
                <w:szCs w:val="22"/>
                <w:highlight w:val="none"/>
              </w:rPr>
            </w:pPr>
          </w:p>
        </w:tc>
        <w:tc>
          <w:tcPr>
            <w:tcW w:w="2603" w:type="dxa"/>
            <w:vAlign w:val="center"/>
          </w:tcPr>
          <w:p w14:paraId="1A00D860">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3743A6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91A9DD0">
            <w:pPr>
              <w:spacing w:line="360" w:lineRule="auto"/>
              <w:jc w:val="center"/>
              <w:rPr>
                <w:rFonts w:ascii="新宋体" w:hAnsi="新宋体" w:eastAsia="新宋体" w:cs="新宋体"/>
                <w:b/>
                <w:bCs/>
                <w:color w:val="auto"/>
                <w:sz w:val="22"/>
                <w:szCs w:val="22"/>
                <w:highlight w:val="none"/>
              </w:rPr>
            </w:pPr>
          </w:p>
        </w:tc>
        <w:tc>
          <w:tcPr>
            <w:tcW w:w="1219" w:type="dxa"/>
          </w:tcPr>
          <w:p w14:paraId="0A73A273">
            <w:pPr>
              <w:rPr>
                <w:rFonts w:ascii="新宋体" w:hAnsi="新宋体" w:eastAsia="新宋体" w:cs="新宋体"/>
                <w:color w:val="auto"/>
                <w:sz w:val="22"/>
                <w:szCs w:val="22"/>
                <w:highlight w:val="none"/>
              </w:rPr>
            </w:pPr>
          </w:p>
        </w:tc>
      </w:tr>
      <w:tr w14:paraId="7FFF2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8FD5C03">
            <w:pPr>
              <w:spacing w:line="360" w:lineRule="auto"/>
              <w:rPr>
                <w:rFonts w:ascii="新宋体" w:hAnsi="新宋体" w:eastAsia="新宋体" w:cs="新宋体"/>
                <w:color w:val="auto"/>
                <w:sz w:val="22"/>
                <w:szCs w:val="22"/>
                <w:highlight w:val="none"/>
              </w:rPr>
            </w:pPr>
          </w:p>
        </w:tc>
        <w:tc>
          <w:tcPr>
            <w:tcW w:w="1692" w:type="dxa"/>
            <w:vAlign w:val="center"/>
          </w:tcPr>
          <w:p w14:paraId="4B8B62C4">
            <w:pPr>
              <w:spacing w:line="360" w:lineRule="auto"/>
              <w:rPr>
                <w:rFonts w:ascii="新宋体" w:hAnsi="新宋体" w:eastAsia="新宋体" w:cs="新宋体"/>
                <w:color w:val="auto"/>
                <w:sz w:val="22"/>
                <w:szCs w:val="22"/>
                <w:highlight w:val="none"/>
              </w:rPr>
            </w:pPr>
          </w:p>
        </w:tc>
        <w:tc>
          <w:tcPr>
            <w:tcW w:w="2603" w:type="dxa"/>
            <w:vAlign w:val="center"/>
          </w:tcPr>
          <w:p w14:paraId="3CFADB23">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C04C155">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28307F9">
            <w:pPr>
              <w:spacing w:line="360" w:lineRule="auto"/>
              <w:jc w:val="center"/>
              <w:rPr>
                <w:rFonts w:ascii="新宋体" w:hAnsi="新宋体" w:eastAsia="新宋体" w:cs="新宋体"/>
                <w:b/>
                <w:bCs/>
                <w:color w:val="auto"/>
                <w:sz w:val="22"/>
                <w:szCs w:val="22"/>
                <w:highlight w:val="none"/>
              </w:rPr>
            </w:pPr>
          </w:p>
        </w:tc>
        <w:tc>
          <w:tcPr>
            <w:tcW w:w="1219" w:type="dxa"/>
          </w:tcPr>
          <w:p w14:paraId="52DE030B">
            <w:pPr>
              <w:rPr>
                <w:rFonts w:ascii="新宋体" w:hAnsi="新宋体" w:eastAsia="新宋体" w:cs="新宋体"/>
                <w:color w:val="auto"/>
                <w:sz w:val="22"/>
                <w:szCs w:val="22"/>
                <w:highlight w:val="none"/>
              </w:rPr>
            </w:pPr>
          </w:p>
        </w:tc>
      </w:tr>
      <w:tr w14:paraId="2A48C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190F0AB">
            <w:pPr>
              <w:spacing w:line="360" w:lineRule="auto"/>
              <w:jc w:val="center"/>
              <w:rPr>
                <w:rFonts w:ascii="新宋体" w:hAnsi="新宋体" w:eastAsia="新宋体" w:cs="新宋体"/>
                <w:b/>
                <w:bCs/>
                <w:color w:val="auto"/>
                <w:sz w:val="22"/>
                <w:szCs w:val="22"/>
                <w:highlight w:val="none"/>
              </w:rPr>
            </w:pPr>
          </w:p>
        </w:tc>
        <w:tc>
          <w:tcPr>
            <w:tcW w:w="1692" w:type="dxa"/>
          </w:tcPr>
          <w:p w14:paraId="78A39503">
            <w:pPr>
              <w:spacing w:line="360" w:lineRule="auto"/>
              <w:rPr>
                <w:rFonts w:ascii="新宋体" w:hAnsi="新宋体" w:eastAsia="新宋体" w:cs="新宋体"/>
                <w:color w:val="auto"/>
                <w:sz w:val="22"/>
                <w:szCs w:val="22"/>
                <w:highlight w:val="none"/>
              </w:rPr>
            </w:pPr>
          </w:p>
        </w:tc>
        <w:tc>
          <w:tcPr>
            <w:tcW w:w="2603" w:type="dxa"/>
            <w:vAlign w:val="center"/>
          </w:tcPr>
          <w:p w14:paraId="190488CB">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19345C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27E7F42">
            <w:pPr>
              <w:spacing w:line="360" w:lineRule="auto"/>
              <w:jc w:val="center"/>
              <w:rPr>
                <w:rFonts w:ascii="新宋体" w:hAnsi="新宋体" w:eastAsia="新宋体" w:cs="新宋体"/>
                <w:b/>
                <w:bCs/>
                <w:color w:val="auto"/>
                <w:sz w:val="22"/>
                <w:szCs w:val="22"/>
                <w:highlight w:val="none"/>
              </w:rPr>
            </w:pPr>
          </w:p>
        </w:tc>
        <w:tc>
          <w:tcPr>
            <w:tcW w:w="1219" w:type="dxa"/>
          </w:tcPr>
          <w:p w14:paraId="17153619">
            <w:pPr>
              <w:rPr>
                <w:rFonts w:ascii="新宋体" w:hAnsi="新宋体" w:eastAsia="新宋体" w:cs="新宋体"/>
                <w:color w:val="auto"/>
                <w:sz w:val="22"/>
                <w:szCs w:val="22"/>
                <w:highlight w:val="none"/>
              </w:rPr>
            </w:pPr>
          </w:p>
        </w:tc>
      </w:tr>
    </w:tbl>
    <w:p w14:paraId="31B327A6">
      <w:pPr>
        <w:pStyle w:val="29"/>
        <w:spacing w:line="400" w:lineRule="atLeast"/>
        <w:rPr>
          <w:rFonts w:ascii="新宋体" w:hAnsi="新宋体" w:eastAsia="新宋体" w:cs="新宋体"/>
          <w:color w:val="auto"/>
          <w:sz w:val="22"/>
          <w:szCs w:val="22"/>
          <w:highlight w:val="none"/>
        </w:rPr>
      </w:pPr>
    </w:p>
    <w:p w14:paraId="3E73B9A0">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1FA8C0A">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81BFF7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45E35A0">
      <w:pPr>
        <w:bidi w:val="0"/>
        <w:rPr>
          <w:color w:val="auto"/>
          <w:highlight w:val="none"/>
        </w:rPr>
      </w:pPr>
    </w:p>
    <w:p w14:paraId="00563912">
      <w:pPr>
        <w:rPr>
          <w:rFonts w:ascii="新宋体" w:hAnsi="新宋体" w:eastAsia="新宋体" w:cs="新宋体"/>
          <w:color w:val="auto"/>
          <w:highlight w:val="none"/>
        </w:rPr>
      </w:pPr>
    </w:p>
    <w:p w14:paraId="66951EE6">
      <w:pPr>
        <w:pStyle w:val="9"/>
        <w:ind w:firstLine="400"/>
        <w:rPr>
          <w:rFonts w:ascii="新宋体" w:hAnsi="新宋体" w:eastAsia="新宋体" w:cs="新宋体"/>
          <w:color w:val="auto"/>
          <w:highlight w:val="none"/>
        </w:rPr>
      </w:pPr>
    </w:p>
    <w:p w14:paraId="648C7CEF">
      <w:pPr>
        <w:rPr>
          <w:rFonts w:ascii="新宋体" w:hAnsi="新宋体" w:eastAsia="新宋体" w:cs="新宋体"/>
          <w:color w:val="auto"/>
          <w:sz w:val="22"/>
          <w:szCs w:val="22"/>
          <w:highlight w:val="none"/>
        </w:rPr>
      </w:pPr>
    </w:p>
    <w:p w14:paraId="4E4D48B8">
      <w:pPr>
        <w:spacing w:line="400" w:lineRule="exact"/>
        <w:jc w:val="both"/>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7</w:t>
      </w:r>
      <w:r>
        <w:rPr>
          <w:rFonts w:hint="eastAsia" w:ascii="新宋体" w:hAnsi="新宋体" w:eastAsia="新宋体" w:cs="新宋体"/>
          <w:b/>
          <w:bCs/>
          <w:color w:val="auto"/>
          <w:sz w:val="28"/>
          <w:szCs w:val="28"/>
          <w:highlight w:val="none"/>
        </w:rPr>
        <w:t>、提供食品药品监督管理部门核发的完整有效的医疗器械注册或备案证明</w:t>
      </w:r>
      <w:r>
        <w:rPr>
          <w:rFonts w:hint="eastAsia" w:ascii="新宋体" w:hAnsi="新宋体" w:eastAsia="新宋体" w:cs="新宋体"/>
          <w:b/>
          <w:bCs/>
          <w:color w:val="auto"/>
          <w:sz w:val="28"/>
          <w:szCs w:val="28"/>
          <w:highlight w:val="none"/>
          <w:lang w:val="en-US" w:eastAsia="zh-CN"/>
        </w:rPr>
        <w:t>等</w:t>
      </w:r>
      <w:r>
        <w:rPr>
          <w:rFonts w:hint="eastAsia" w:ascii="新宋体" w:hAnsi="新宋体" w:eastAsia="新宋体" w:cs="新宋体"/>
          <w:b/>
          <w:bCs/>
          <w:color w:val="auto"/>
          <w:sz w:val="28"/>
          <w:szCs w:val="28"/>
          <w:highlight w:val="none"/>
          <w:lang w:val="zh-CN"/>
        </w:rPr>
        <w:t>销售许可文件</w:t>
      </w:r>
      <w:r>
        <w:rPr>
          <w:rFonts w:hint="eastAsia" w:ascii="新宋体" w:hAnsi="新宋体" w:eastAsia="新宋体" w:cs="新宋体"/>
          <w:b/>
          <w:bCs/>
          <w:color w:val="auto"/>
          <w:sz w:val="28"/>
          <w:szCs w:val="28"/>
          <w:highlight w:val="none"/>
        </w:rPr>
        <w:t>；（适用于按医疗器械管理的设备）</w:t>
      </w:r>
    </w:p>
    <w:p w14:paraId="1F564FDB">
      <w:pPr>
        <w:spacing w:line="460" w:lineRule="exact"/>
        <w:jc w:val="left"/>
        <w:outlineLvl w:val="9"/>
        <w:rPr>
          <w:rFonts w:hint="eastAsia" w:ascii="新宋体" w:hAnsi="新宋体" w:eastAsia="新宋体" w:cs="新宋体"/>
          <w:b/>
          <w:bCs/>
          <w:color w:val="auto"/>
          <w:sz w:val="24"/>
          <w:highlight w:val="none"/>
        </w:rPr>
      </w:pPr>
    </w:p>
    <w:p w14:paraId="225C6954">
      <w:pPr>
        <w:spacing w:line="460" w:lineRule="exact"/>
        <w:jc w:val="left"/>
        <w:outlineLvl w:val="9"/>
        <w:rPr>
          <w:rFonts w:hint="eastAsia" w:ascii="新宋体" w:hAnsi="新宋体" w:eastAsia="新宋体" w:cs="新宋体"/>
          <w:b/>
          <w:bCs/>
          <w:color w:val="auto"/>
          <w:sz w:val="24"/>
          <w:highlight w:val="none"/>
        </w:rPr>
      </w:pPr>
    </w:p>
    <w:p w14:paraId="18891882">
      <w:pPr>
        <w:spacing w:line="460" w:lineRule="exact"/>
        <w:jc w:val="left"/>
        <w:outlineLvl w:val="9"/>
        <w:rPr>
          <w:rFonts w:hint="eastAsia" w:ascii="新宋体" w:hAnsi="新宋体" w:eastAsia="新宋体" w:cs="新宋体"/>
          <w:b/>
          <w:bCs/>
          <w:color w:val="auto"/>
          <w:sz w:val="24"/>
          <w:highlight w:val="none"/>
        </w:rPr>
      </w:pPr>
    </w:p>
    <w:p w14:paraId="235E0F38">
      <w:pPr>
        <w:rPr>
          <w:rFonts w:ascii="新宋体" w:hAnsi="新宋体" w:eastAsia="新宋体" w:cs="新宋体"/>
          <w:color w:val="auto"/>
          <w:sz w:val="22"/>
          <w:szCs w:val="22"/>
          <w:highlight w:val="none"/>
        </w:rPr>
      </w:pPr>
    </w:p>
    <w:p w14:paraId="757BCA33">
      <w:pPr>
        <w:spacing w:line="46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r>
        <w:rPr>
          <w:rFonts w:hint="eastAsia" w:ascii="新宋体" w:hAnsi="新宋体" w:eastAsia="新宋体" w:cs="新宋体"/>
          <w:b/>
          <w:bCs/>
          <w:color w:val="auto"/>
          <w:sz w:val="28"/>
          <w:szCs w:val="28"/>
          <w:highlight w:val="none"/>
          <w:lang w:val="en-US" w:eastAsia="zh-CN"/>
        </w:rPr>
        <w:t>8</w:t>
      </w:r>
      <w:r>
        <w:rPr>
          <w:rFonts w:hint="eastAsia" w:ascii="新宋体" w:hAnsi="新宋体" w:eastAsia="新宋体" w:cs="新宋体"/>
          <w:b/>
          <w:bCs/>
          <w:color w:val="auto"/>
          <w:sz w:val="28"/>
          <w:szCs w:val="28"/>
          <w:highlight w:val="none"/>
        </w:rPr>
        <w:t>、偏离表</w:t>
      </w:r>
      <w:r>
        <w:rPr>
          <w:rFonts w:hint="eastAsia" w:ascii="新宋体" w:hAnsi="新宋体" w:eastAsia="新宋体" w:cs="新宋体"/>
          <w:b/>
          <w:bCs/>
          <w:color w:val="auto"/>
          <w:sz w:val="28"/>
          <w:szCs w:val="28"/>
          <w:highlight w:val="none"/>
          <w:lang w:val="zh-CN"/>
        </w:rPr>
        <w:t>（</w:t>
      </w:r>
      <w:r>
        <w:rPr>
          <w:rFonts w:hint="eastAsia" w:ascii="新宋体" w:hAnsi="新宋体" w:eastAsia="新宋体" w:cs="新宋体"/>
          <w:b/>
          <w:bCs/>
          <w:color w:val="auto"/>
          <w:sz w:val="28"/>
          <w:szCs w:val="28"/>
          <w:highlight w:val="none"/>
        </w:rPr>
        <w:t>商务、技术偏离</w:t>
      </w:r>
      <w:r>
        <w:rPr>
          <w:rFonts w:hint="eastAsia" w:ascii="新宋体" w:hAnsi="新宋体" w:eastAsia="新宋体" w:cs="新宋体"/>
          <w:b/>
          <w:bCs/>
          <w:color w:val="auto"/>
          <w:sz w:val="28"/>
          <w:szCs w:val="28"/>
          <w:highlight w:val="none"/>
          <w:lang w:val="zh-CN"/>
        </w:rPr>
        <w:t>）</w:t>
      </w:r>
    </w:p>
    <w:p w14:paraId="770F05E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（应对于招标文件中“</w:t>
      </w:r>
      <w:r>
        <w:rPr>
          <w:rFonts w:hint="eastAsia" w:ascii="新宋体" w:hAnsi="新宋体" w:eastAsia="新宋体" w:cs="新宋体"/>
          <w:b/>
          <w:bCs/>
          <w:color w:val="auto"/>
          <w:sz w:val="22"/>
          <w:szCs w:val="22"/>
          <w:highlight w:val="none"/>
          <w:lang w:val="en-US" w:eastAsia="zh-CN"/>
        </w:rPr>
        <w:t>技术参数要求、商务要求</w:t>
      </w:r>
      <w:r>
        <w:rPr>
          <w:rFonts w:hint="eastAsia" w:ascii="新宋体" w:hAnsi="新宋体" w:eastAsia="新宋体" w:cs="新宋体"/>
          <w:b/>
          <w:bCs/>
          <w:color w:val="auto"/>
          <w:sz w:val="22"/>
          <w:szCs w:val="22"/>
          <w:highlight w:val="none"/>
        </w:rPr>
        <w:t>”，逐项自行编制偏离情况）</w:t>
      </w:r>
    </w:p>
    <w:p w14:paraId="4C6D6A4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WZLCZB（L）-2025-03069</w:t>
      </w:r>
    </w:p>
    <w:p w14:paraId="481AC99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多导睡眠监测系统、便携睡眠监测仪、呼吸机</w:t>
      </w:r>
    </w:p>
    <w:tbl>
      <w:tblPr>
        <w:tblStyle w:val="52"/>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14:paraId="29C1D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134" w:type="dxa"/>
            <w:shd w:val="clear" w:color="auto" w:fill="FFFFFF"/>
            <w:vAlign w:val="center"/>
          </w:tcPr>
          <w:p w14:paraId="5326236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  号</w:t>
            </w:r>
          </w:p>
        </w:tc>
        <w:tc>
          <w:tcPr>
            <w:tcW w:w="3544" w:type="dxa"/>
            <w:shd w:val="clear" w:color="auto" w:fill="FFFFFF"/>
            <w:vAlign w:val="center"/>
          </w:tcPr>
          <w:p w14:paraId="78E5FF0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招标文件</w:t>
            </w:r>
          </w:p>
          <w:p w14:paraId="489C05A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规格要求</w:t>
            </w:r>
          </w:p>
        </w:tc>
        <w:tc>
          <w:tcPr>
            <w:tcW w:w="3402" w:type="dxa"/>
            <w:shd w:val="clear" w:color="auto" w:fill="FFFFFF"/>
            <w:vAlign w:val="center"/>
          </w:tcPr>
          <w:p w14:paraId="05831D1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w:t>
            </w:r>
          </w:p>
          <w:p w14:paraId="1E97304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对应规格</w:t>
            </w:r>
          </w:p>
        </w:tc>
        <w:tc>
          <w:tcPr>
            <w:tcW w:w="1843" w:type="dxa"/>
            <w:shd w:val="clear" w:color="auto" w:fill="FFFFFF"/>
            <w:vAlign w:val="center"/>
          </w:tcPr>
          <w:p w14:paraId="63FEC6F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   明</w:t>
            </w:r>
          </w:p>
          <w:p w14:paraId="0AB12AB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（偏离情况）</w:t>
            </w:r>
          </w:p>
        </w:tc>
      </w:tr>
      <w:tr w14:paraId="52476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134" w:type="dxa"/>
            <w:vAlign w:val="center"/>
          </w:tcPr>
          <w:p w14:paraId="60C3F707">
            <w:pPr>
              <w:keepNext w:val="0"/>
              <w:keepLines w:val="0"/>
              <w:pageBreakBefore w:val="0"/>
              <w:widowControl w:val="0"/>
              <w:kinsoku/>
              <w:wordWrap/>
              <w:overflowPunct/>
              <w:topLinePunct w:val="0"/>
              <w:autoSpaceDE/>
              <w:autoSpaceDN/>
              <w:bidi w:val="0"/>
              <w:adjustRightInd/>
              <w:snapToGrid/>
              <w:spacing w:line="460" w:lineRule="exact"/>
              <w:ind w:firstLine="220" w:firstLineChars="1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21D71E4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3402" w:type="dxa"/>
            <w:vAlign w:val="center"/>
          </w:tcPr>
          <w:p w14:paraId="1002C58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1843" w:type="dxa"/>
            <w:vAlign w:val="center"/>
          </w:tcPr>
          <w:p w14:paraId="3E7472A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r>
      <w:tr w14:paraId="3DC30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0AAF032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3544" w:type="dxa"/>
            <w:vAlign w:val="center"/>
          </w:tcPr>
          <w:p w14:paraId="0AF60F5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3402" w:type="dxa"/>
            <w:vAlign w:val="center"/>
          </w:tcPr>
          <w:p w14:paraId="6439ABC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1843" w:type="dxa"/>
            <w:vAlign w:val="center"/>
          </w:tcPr>
          <w:p w14:paraId="024690A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r>
      <w:tr w14:paraId="3D174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78D13B9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3544" w:type="dxa"/>
            <w:vAlign w:val="center"/>
          </w:tcPr>
          <w:p w14:paraId="089FA10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3402" w:type="dxa"/>
            <w:vAlign w:val="center"/>
          </w:tcPr>
          <w:p w14:paraId="63C4093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1843" w:type="dxa"/>
            <w:vAlign w:val="center"/>
          </w:tcPr>
          <w:p w14:paraId="7B8F23B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r>
      <w:tr w14:paraId="7A0CF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FA2121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3544" w:type="dxa"/>
            <w:vAlign w:val="center"/>
          </w:tcPr>
          <w:p w14:paraId="19652E5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3402" w:type="dxa"/>
            <w:vAlign w:val="center"/>
          </w:tcPr>
          <w:p w14:paraId="48B0CF2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1843" w:type="dxa"/>
            <w:vAlign w:val="center"/>
          </w:tcPr>
          <w:p w14:paraId="79E0E07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r>
      <w:tr w14:paraId="2FF81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4A04B18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3544" w:type="dxa"/>
            <w:vAlign w:val="center"/>
          </w:tcPr>
          <w:p w14:paraId="5E734E5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3402" w:type="dxa"/>
            <w:vAlign w:val="center"/>
          </w:tcPr>
          <w:p w14:paraId="1802BEA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1843" w:type="dxa"/>
            <w:vAlign w:val="center"/>
          </w:tcPr>
          <w:p w14:paraId="41FBFD6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r>
      <w:tr w14:paraId="01637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0D86F1EC">
            <w:pPr>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1345A307">
            <w:pPr>
              <w:jc w:val="center"/>
              <w:rPr>
                <w:rFonts w:ascii="新宋体" w:hAnsi="新宋体" w:eastAsia="新宋体" w:cs="新宋体"/>
                <w:color w:val="auto"/>
                <w:sz w:val="22"/>
                <w:szCs w:val="22"/>
                <w:highlight w:val="none"/>
              </w:rPr>
            </w:pPr>
          </w:p>
        </w:tc>
        <w:tc>
          <w:tcPr>
            <w:tcW w:w="3402" w:type="dxa"/>
            <w:vAlign w:val="center"/>
          </w:tcPr>
          <w:p w14:paraId="0F629466">
            <w:pPr>
              <w:jc w:val="center"/>
              <w:rPr>
                <w:rFonts w:ascii="新宋体" w:hAnsi="新宋体" w:eastAsia="新宋体" w:cs="新宋体"/>
                <w:color w:val="auto"/>
                <w:sz w:val="22"/>
                <w:szCs w:val="22"/>
                <w:highlight w:val="none"/>
              </w:rPr>
            </w:pPr>
          </w:p>
        </w:tc>
        <w:tc>
          <w:tcPr>
            <w:tcW w:w="1843" w:type="dxa"/>
            <w:vAlign w:val="center"/>
          </w:tcPr>
          <w:p w14:paraId="512B563E">
            <w:pPr>
              <w:jc w:val="center"/>
              <w:rPr>
                <w:rFonts w:ascii="新宋体" w:hAnsi="新宋体" w:eastAsia="新宋体" w:cs="新宋体"/>
                <w:color w:val="auto"/>
                <w:sz w:val="22"/>
                <w:szCs w:val="22"/>
                <w:highlight w:val="none"/>
              </w:rPr>
            </w:pPr>
          </w:p>
        </w:tc>
      </w:tr>
      <w:tr w14:paraId="2F2F8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27E3774">
            <w:pPr>
              <w:jc w:val="center"/>
              <w:rPr>
                <w:rFonts w:ascii="新宋体" w:hAnsi="新宋体" w:eastAsia="新宋体" w:cs="新宋体"/>
                <w:color w:val="auto"/>
                <w:sz w:val="22"/>
                <w:szCs w:val="22"/>
                <w:highlight w:val="none"/>
              </w:rPr>
            </w:pPr>
          </w:p>
        </w:tc>
        <w:tc>
          <w:tcPr>
            <w:tcW w:w="3544" w:type="dxa"/>
            <w:vAlign w:val="center"/>
          </w:tcPr>
          <w:p w14:paraId="7BCC8767">
            <w:pPr>
              <w:jc w:val="center"/>
              <w:rPr>
                <w:rFonts w:ascii="新宋体" w:hAnsi="新宋体" w:eastAsia="新宋体" w:cs="新宋体"/>
                <w:color w:val="auto"/>
                <w:sz w:val="22"/>
                <w:szCs w:val="22"/>
                <w:highlight w:val="none"/>
              </w:rPr>
            </w:pPr>
          </w:p>
        </w:tc>
        <w:tc>
          <w:tcPr>
            <w:tcW w:w="3402" w:type="dxa"/>
            <w:vAlign w:val="center"/>
          </w:tcPr>
          <w:p w14:paraId="03DD9EBB">
            <w:pPr>
              <w:jc w:val="center"/>
              <w:rPr>
                <w:rFonts w:ascii="新宋体" w:hAnsi="新宋体" w:eastAsia="新宋体" w:cs="新宋体"/>
                <w:color w:val="auto"/>
                <w:sz w:val="22"/>
                <w:szCs w:val="22"/>
                <w:highlight w:val="none"/>
              </w:rPr>
            </w:pPr>
          </w:p>
        </w:tc>
        <w:tc>
          <w:tcPr>
            <w:tcW w:w="1843" w:type="dxa"/>
            <w:vAlign w:val="center"/>
          </w:tcPr>
          <w:p w14:paraId="338685A3">
            <w:pPr>
              <w:jc w:val="center"/>
              <w:rPr>
                <w:rFonts w:ascii="新宋体" w:hAnsi="新宋体" w:eastAsia="新宋体" w:cs="新宋体"/>
                <w:color w:val="auto"/>
                <w:sz w:val="22"/>
                <w:szCs w:val="22"/>
                <w:highlight w:val="none"/>
              </w:rPr>
            </w:pPr>
          </w:p>
        </w:tc>
      </w:tr>
      <w:tr w14:paraId="0FBE2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A42E5B0">
            <w:pPr>
              <w:jc w:val="center"/>
              <w:rPr>
                <w:rFonts w:ascii="新宋体" w:hAnsi="新宋体" w:eastAsia="新宋体" w:cs="新宋体"/>
                <w:color w:val="auto"/>
                <w:sz w:val="22"/>
                <w:szCs w:val="22"/>
                <w:highlight w:val="none"/>
              </w:rPr>
            </w:pPr>
          </w:p>
        </w:tc>
        <w:tc>
          <w:tcPr>
            <w:tcW w:w="3544" w:type="dxa"/>
            <w:vAlign w:val="center"/>
          </w:tcPr>
          <w:p w14:paraId="72B00523">
            <w:pPr>
              <w:jc w:val="center"/>
              <w:rPr>
                <w:rFonts w:ascii="新宋体" w:hAnsi="新宋体" w:eastAsia="新宋体" w:cs="新宋体"/>
                <w:color w:val="auto"/>
                <w:sz w:val="22"/>
                <w:szCs w:val="22"/>
                <w:highlight w:val="none"/>
              </w:rPr>
            </w:pPr>
          </w:p>
        </w:tc>
        <w:tc>
          <w:tcPr>
            <w:tcW w:w="3402" w:type="dxa"/>
            <w:vAlign w:val="center"/>
          </w:tcPr>
          <w:p w14:paraId="45C11B70">
            <w:pPr>
              <w:jc w:val="center"/>
              <w:rPr>
                <w:rFonts w:ascii="新宋体" w:hAnsi="新宋体" w:eastAsia="新宋体" w:cs="新宋体"/>
                <w:color w:val="auto"/>
                <w:sz w:val="22"/>
                <w:szCs w:val="22"/>
                <w:highlight w:val="none"/>
              </w:rPr>
            </w:pPr>
          </w:p>
        </w:tc>
        <w:tc>
          <w:tcPr>
            <w:tcW w:w="1843" w:type="dxa"/>
            <w:vAlign w:val="center"/>
          </w:tcPr>
          <w:p w14:paraId="6114D816">
            <w:pPr>
              <w:jc w:val="center"/>
              <w:rPr>
                <w:rFonts w:ascii="新宋体" w:hAnsi="新宋体" w:eastAsia="新宋体" w:cs="新宋体"/>
                <w:color w:val="auto"/>
                <w:sz w:val="22"/>
                <w:szCs w:val="22"/>
                <w:highlight w:val="none"/>
              </w:rPr>
            </w:pPr>
          </w:p>
        </w:tc>
      </w:tr>
      <w:tr w14:paraId="6FB25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7C170082">
            <w:pPr>
              <w:jc w:val="center"/>
              <w:rPr>
                <w:rFonts w:ascii="新宋体" w:hAnsi="新宋体" w:eastAsia="新宋体" w:cs="新宋体"/>
                <w:color w:val="auto"/>
                <w:sz w:val="22"/>
                <w:szCs w:val="22"/>
                <w:highlight w:val="none"/>
              </w:rPr>
            </w:pPr>
          </w:p>
        </w:tc>
        <w:tc>
          <w:tcPr>
            <w:tcW w:w="3544" w:type="dxa"/>
            <w:vAlign w:val="center"/>
          </w:tcPr>
          <w:p w14:paraId="37D3AD30">
            <w:pPr>
              <w:jc w:val="center"/>
              <w:rPr>
                <w:rFonts w:ascii="新宋体" w:hAnsi="新宋体" w:eastAsia="新宋体" w:cs="新宋体"/>
                <w:color w:val="auto"/>
                <w:sz w:val="22"/>
                <w:szCs w:val="22"/>
                <w:highlight w:val="none"/>
              </w:rPr>
            </w:pPr>
          </w:p>
        </w:tc>
        <w:tc>
          <w:tcPr>
            <w:tcW w:w="3402" w:type="dxa"/>
            <w:vAlign w:val="center"/>
          </w:tcPr>
          <w:p w14:paraId="686A7A5E">
            <w:pPr>
              <w:jc w:val="center"/>
              <w:rPr>
                <w:rFonts w:ascii="新宋体" w:hAnsi="新宋体" w:eastAsia="新宋体" w:cs="新宋体"/>
                <w:color w:val="auto"/>
                <w:sz w:val="22"/>
                <w:szCs w:val="22"/>
                <w:highlight w:val="none"/>
              </w:rPr>
            </w:pPr>
          </w:p>
        </w:tc>
        <w:tc>
          <w:tcPr>
            <w:tcW w:w="1843" w:type="dxa"/>
            <w:vAlign w:val="center"/>
          </w:tcPr>
          <w:p w14:paraId="67EDA3F9">
            <w:pPr>
              <w:jc w:val="center"/>
              <w:rPr>
                <w:rFonts w:ascii="新宋体" w:hAnsi="新宋体" w:eastAsia="新宋体" w:cs="新宋体"/>
                <w:color w:val="auto"/>
                <w:sz w:val="22"/>
                <w:szCs w:val="22"/>
                <w:highlight w:val="none"/>
              </w:rPr>
            </w:pPr>
          </w:p>
        </w:tc>
      </w:tr>
      <w:tr w14:paraId="65334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3AE91699">
            <w:pPr>
              <w:keepNext w:val="0"/>
              <w:keepLines w:val="0"/>
              <w:pageBreakBefore w:val="0"/>
              <w:kinsoku/>
              <w:wordWrap/>
              <w:topLinePunct w:val="0"/>
              <w:bidi w:val="0"/>
              <w:snapToGrid/>
              <w:spacing w:line="460" w:lineRule="exact"/>
              <w:jc w:val="center"/>
              <w:rPr>
                <w:rFonts w:ascii="新宋体" w:hAnsi="新宋体" w:eastAsia="新宋体" w:cs="新宋体"/>
                <w:color w:val="auto"/>
                <w:sz w:val="22"/>
                <w:szCs w:val="22"/>
                <w:highlight w:val="none"/>
              </w:rPr>
            </w:pPr>
          </w:p>
        </w:tc>
        <w:tc>
          <w:tcPr>
            <w:tcW w:w="3544" w:type="dxa"/>
            <w:vAlign w:val="center"/>
          </w:tcPr>
          <w:p w14:paraId="3B7C981E">
            <w:pPr>
              <w:keepNext w:val="0"/>
              <w:keepLines w:val="0"/>
              <w:pageBreakBefore w:val="0"/>
              <w:kinsoku/>
              <w:wordWrap/>
              <w:topLinePunct w:val="0"/>
              <w:bidi w:val="0"/>
              <w:snapToGrid/>
              <w:spacing w:line="460" w:lineRule="exact"/>
              <w:jc w:val="center"/>
              <w:rPr>
                <w:rFonts w:ascii="新宋体" w:hAnsi="新宋体" w:eastAsia="新宋体" w:cs="新宋体"/>
                <w:color w:val="auto"/>
                <w:sz w:val="22"/>
                <w:szCs w:val="22"/>
                <w:highlight w:val="none"/>
              </w:rPr>
            </w:pPr>
          </w:p>
        </w:tc>
        <w:tc>
          <w:tcPr>
            <w:tcW w:w="3402" w:type="dxa"/>
            <w:vAlign w:val="center"/>
          </w:tcPr>
          <w:p w14:paraId="6100491A">
            <w:pPr>
              <w:keepNext w:val="0"/>
              <w:keepLines w:val="0"/>
              <w:pageBreakBefore w:val="0"/>
              <w:kinsoku/>
              <w:wordWrap/>
              <w:topLinePunct w:val="0"/>
              <w:bidi w:val="0"/>
              <w:snapToGrid/>
              <w:spacing w:line="460" w:lineRule="exact"/>
              <w:jc w:val="center"/>
              <w:rPr>
                <w:rFonts w:ascii="新宋体" w:hAnsi="新宋体" w:eastAsia="新宋体" w:cs="新宋体"/>
                <w:color w:val="auto"/>
                <w:sz w:val="22"/>
                <w:szCs w:val="22"/>
                <w:highlight w:val="none"/>
              </w:rPr>
            </w:pPr>
          </w:p>
        </w:tc>
        <w:tc>
          <w:tcPr>
            <w:tcW w:w="1843" w:type="dxa"/>
            <w:vAlign w:val="center"/>
          </w:tcPr>
          <w:p w14:paraId="703E471A">
            <w:pPr>
              <w:keepNext w:val="0"/>
              <w:keepLines w:val="0"/>
              <w:pageBreakBefore w:val="0"/>
              <w:kinsoku/>
              <w:wordWrap/>
              <w:topLinePunct w:val="0"/>
              <w:bidi w:val="0"/>
              <w:snapToGrid/>
              <w:spacing w:line="460" w:lineRule="exact"/>
              <w:jc w:val="center"/>
              <w:rPr>
                <w:rFonts w:ascii="新宋体" w:hAnsi="新宋体" w:eastAsia="新宋体" w:cs="新宋体"/>
                <w:color w:val="auto"/>
                <w:sz w:val="22"/>
                <w:szCs w:val="22"/>
                <w:highlight w:val="none"/>
              </w:rPr>
            </w:pPr>
          </w:p>
        </w:tc>
      </w:tr>
    </w:tbl>
    <w:p w14:paraId="39393686">
      <w:pPr>
        <w:pStyle w:val="29"/>
        <w:keepNext w:val="0"/>
        <w:keepLines w:val="0"/>
        <w:pageBreakBefore w:val="0"/>
        <w:kinsoku/>
        <w:wordWrap/>
        <w:topLinePunct w:val="0"/>
        <w:bidi w:val="0"/>
        <w:snapToGrid/>
        <w:spacing w:line="460" w:lineRule="exact"/>
        <w:ind w:left="537" w:hanging="537" w:hangingChars="243"/>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注：如有偏离，必须在偏离表中进行详细对比说明并注明正偏离（负偏离），如不说明偏离情况，视为完全响应招标文件要求无偏离。</w:t>
      </w:r>
    </w:p>
    <w:p w14:paraId="4D0ECEAC">
      <w:pPr>
        <w:keepNext w:val="0"/>
        <w:keepLines w:val="0"/>
        <w:pageBreakBefore w:val="0"/>
        <w:kinsoku/>
        <w:wordWrap/>
        <w:topLinePunct w:val="0"/>
        <w:bidi w:val="0"/>
        <w:snapToGrid/>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6A38093">
      <w:pPr>
        <w:keepNext w:val="0"/>
        <w:keepLines w:val="0"/>
        <w:pageBreakBefore w:val="0"/>
        <w:kinsoku/>
        <w:wordWrap/>
        <w:topLinePunct w:val="0"/>
        <w:bidi w:val="0"/>
        <w:snapToGrid/>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7A0B272">
      <w:pPr>
        <w:keepNext w:val="0"/>
        <w:keepLines w:val="0"/>
        <w:pageBreakBefore w:val="0"/>
        <w:kinsoku/>
        <w:wordWrap/>
        <w:topLinePunct w:val="0"/>
        <w:bidi w:val="0"/>
        <w:snapToGrid/>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66F8CA7B">
      <w:pPr>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br w:type="page"/>
      </w:r>
    </w:p>
    <w:p w14:paraId="6D4B3CB0">
      <w:pPr>
        <w:spacing w:line="40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lang w:val="en-US" w:eastAsia="zh-CN"/>
        </w:rPr>
        <w:t>9</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备品、易损件、备件、专用工具清单</w:t>
      </w:r>
    </w:p>
    <w:p w14:paraId="2ABF828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WZLCZB（L）-2025-03069</w:t>
      </w:r>
    </w:p>
    <w:p w14:paraId="688C2B48">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多导睡眠监测系统、便携睡眠监测仪、呼吸机</w:t>
      </w:r>
    </w:p>
    <w:tbl>
      <w:tblPr>
        <w:tblStyle w:val="52"/>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14:paraId="0692B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14:paraId="07E85F55">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240" w:type="dxa"/>
            <w:shd w:val="clear" w:color="auto" w:fill="FFFFFF"/>
            <w:vAlign w:val="center"/>
          </w:tcPr>
          <w:p w14:paraId="6EB71E53">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名  称</w:t>
            </w:r>
          </w:p>
        </w:tc>
        <w:tc>
          <w:tcPr>
            <w:tcW w:w="1404" w:type="dxa"/>
            <w:shd w:val="clear" w:color="auto" w:fill="FFFFFF"/>
            <w:vAlign w:val="center"/>
          </w:tcPr>
          <w:p w14:paraId="527F7CF6">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规格型号</w:t>
            </w:r>
          </w:p>
        </w:tc>
        <w:tc>
          <w:tcPr>
            <w:tcW w:w="796" w:type="dxa"/>
            <w:shd w:val="clear" w:color="auto" w:fill="FFFFFF"/>
            <w:vAlign w:val="center"/>
          </w:tcPr>
          <w:p w14:paraId="34B699FA">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3704" w:type="dxa"/>
            <w:shd w:val="clear" w:color="auto" w:fill="FFFFFF"/>
            <w:vAlign w:val="center"/>
          </w:tcPr>
          <w:p w14:paraId="0D6250E0">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原产地/制造商</w:t>
            </w:r>
          </w:p>
        </w:tc>
        <w:tc>
          <w:tcPr>
            <w:tcW w:w="1568" w:type="dxa"/>
            <w:shd w:val="clear" w:color="auto" w:fill="FFFFFF"/>
            <w:vAlign w:val="center"/>
          </w:tcPr>
          <w:p w14:paraId="1FF36751">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42D62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C3ECDC4">
            <w:pPr>
              <w:spacing w:line="400" w:lineRule="exact"/>
              <w:jc w:val="center"/>
              <w:rPr>
                <w:rFonts w:ascii="新宋体" w:hAnsi="新宋体" w:eastAsia="新宋体" w:cs="新宋体"/>
                <w:color w:val="auto"/>
                <w:sz w:val="22"/>
                <w:szCs w:val="22"/>
                <w:highlight w:val="none"/>
              </w:rPr>
            </w:pPr>
          </w:p>
        </w:tc>
        <w:tc>
          <w:tcPr>
            <w:tcW w:w="1240" w:type="dxa"/>
          </w:tcPr>
          <w:p w14:paraId="3B7F34CD">
            <w:pPr>
              <w:spacing w:line="400" w:lineRule="exact"/>
              <w:rPr>
                <w:rFonts w:ascii="新宋体" w:hAnsi="新宋体" w:eastAsia="新宋体" w:cs="新宋体"/>
                <w:color w:val="auto"/>
                <w:sz w:val="22"/>
                <w:szCs w:val="22"/>
                <w:highlight w:val="none"/>
              </w:rPr>
            </w:pPr>
          </w:p>
        </w:tc>
        <w:tc>
          <w:tcPr>
            <w:tcW w:w="1404" w:type="dxa"/>
          </w:tcPr>
          <w:p w14:paraId="2EA25AD4">
            <w:pPr>
              <w:spacing w:line="400" w:lineRule="exact"/>
              <w:rPr>
                <w:rFonts w:ascii="新宋体" w:hAnsi="新宋体" w:eastAsia="新宋体" w:cs="新宋体"/>
                <w:color w:val="auto"/>
                <w:sz w:val="22"/>
                <w:szCs w:val="22"/>
                <w:highlight w:val="none"/>
              </w:rPr>
            </w:pPr>
          </w:p>
        </w:tc>
        <w:tc>
          <w:tcPr>
            <w:tcW w:w="796" w:type="dxa"/>
          </w:tcPr>
          <w:p w14:paraId="4042E02D">
            <w:pPr>
              <w:spacing w:line="400" w:lineRule="exact"/>
              <w:rPr>
                <w:rFonts w:ascii="新宋体" w:hAnsi="新宋体" w:eastAsia="新宋体" w:cs="新宋体"/>
                <w:color w:val="auto"/>
                <w:sz w:val="22"/>
                <w:szCs w:val="22"/>
                <w:highlight w:val="none"/>
              </w:rPr>
            </w:pPr>
          </w:p>
        </w:tc>
        <w:tc>
          <w:tcPr>
            <w:tcW w:w="3704" w:type="dxa"/>
          </w:tcPr>
          <w:p w14:paraId="2C3D3ACD">
            <w:pPr>
              <w:spacing w:line="400" w:lineRule="exact"/>
              <w:rPr>
                <w:rFonts w:ascii="新宋体" w:hAnsi="新宋体" w:eastAsia="新宋体" w:cs="新宋体"/>
                <w:color w:val="auto"/>
                <w:sz w:val="22"/>
                <w:szCs w:val="22"/>
                <w:highlight w:val="none"/>
              </w:rPr>
            </w:pPr>
          </w:p>
        </w:tc>
        <w:tc>
          <w:tcPr>
            <w:tcW w:w="1568" w:type="dxa"/>
          </w:tcPr>
          <w:p w14:paraId="1D580ABC">
            <w:pPr>
              <w:spacing w:line="400" w:lineRule="exact"/>
              <w:rPr>
                <w:rFonts w:ascii="新宋体" w:hAnsi="新宋体" w:eastAsia="新宋体" w:cs="新宋体"/>
                <w:color w:val="auto"/>
                <w:sz w:val="22"/>
                <w:szCs w:val="22"/>
                <w:highlight w:val="none"/>
              </w:rPr>
            </w:pPr>
          </w:p>
        </w:tc>
      </w:tr>
      <w:tr w14:paraId="4FC78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0B6527B6">
            <w:pPr>
              <w:spacing w:line="400" w:lineRule="exact"/>
              <w:jc w:val="center"/>
              <w:rPr>
                <w:rFonts w:ascii="新宋体" w:hAnsi="新宋体" w:eastAsia="新宋体" w:cs="新宋体"/>
                <w:color w:val="auto"/>
                <w:sz w:val="22"/>
                <w:szCs w:val="22"/>
                <w:highlight w:val="none"/>
              </w:rPr>
            </w:pPr>
          </w:p>
        </w:tc>
        <w:tc>
          <w:tcPr>
            <w:tcW w:w="1240" w:type="dxa"/>
          </w:tcPr>
          <w:p w14:paraId="5EDDF1C8">
            <w:pPr>
              <w:spacing w:line="400" w:lineRule="exact"/>
              <w:rPr>
                <w:rFonts w:ascii="新宋体" w:hAnsi="新宋体" w:eastAsia="新宋体" w:cs="新宋体"/>
                <w:color w:val="auto"/>
                <w:sz w:val="22"/>
                <w:szCs w:val="22"/>
                <w:highlight w:val="none"/>
              </w:rPr>
            </w:pPr>
          </w:p>
        </w:tc>
        <w:tc>
          <w:tcPr>
            <w:tcW w:w="1404" w:type="dxa"/>
          </w:tcPr>
          <w:p w14:paraId="130D1FC8">
            <w:pPr>
              <w:spacing w:line="400" w:lineRule="exact"/>
              <w:rPr>
                <w:rFonts w:ascii="新宋体" w:hAnsi="新宋体" w:eastAsia="新宋体" w:cs="新宋体"/>
                <w:color w:val="auto"/>
                <w:sz w:val="22"/>
                <w:szCs w:val="22"/>
                <w:highlight w:val="none"/>
              </w:rPr>
            </w:pPr>
          </w:p>
        </w:tc>
        <w:tc>
          <w:tcPr>
            <w:tcW w:w="796" w:type="dxa"/>
          </w:tcPr>
          <w:p w14:paraId="3D46BF15">
            <w:pPr>
              <w:spacing w:line="400" w:lineRule="exact"/>
              <w:rPr>
                <w:rFonts w:ascii="新宋体" w:hAnsi="新宋体" w:eastAsia="新宋体" w:cs="新宋体"/>
                <w:color w:val="auto"/>
                <w:sz w:val="22"/>
                <w:szCs w:val="22"/>
                <w:highlight w:val="none"/>
              </w:rPr>
            </w:pPr>
          </w:p>
        </w:tc>
        <w:tc>
          <w:tcPr>
            <w:tcW w:w="3704" w:type="dxa"/>
          </w:tcPr>
          <w:p w14:paraId="260D48E4">
            <w:pPr>
              <w:spacing w:line="400" w:lineRule="exact"/>
              <w:rPr>
                <w:rFonts w:ascii="新宋体" w:hAnsi="新宋体" w:eastAsia="新宋体" w:cs="新宋体"/>
                <w:color w:val="auto"/>
                <w:sz w:val="22"/>
                <w:szCs w:val="22"/>
                <w:highlight w:val="none"/>
              </w:rPr>
            </w:pPr>
          </w:p>
        </w:tc>
        <w:tc>
          <w:tcPr>
            <w:tcW w:w="1568" w:type="dxa"/>
          </w:tcPr>
          <w:p w14:paraId="3DF0EC7D">
            <w:pPr>
              <w:spacing w:line="400" w:lineRule="exact"/>
              <w:rPr>
                <w:rFonts w:ascii="新宋体" w:hAnsi="新宋体" w:eastAsia="新宋体" w:cs="新宋体"/>
                <w:color w:val="auto"/>
                <w:sz w:val="22"/>
                <w:szCs w:val="22"/>
                <w:highlight w:val="none"/>
              </w:rPr>
            </w:pPr>
          </w:p>
        </w:tc>
      </w:tr>
      <w:tr w14:paraId="6DCA9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7096F67">
            <w:pPr>
              <w:spacing w:line="400" w:lineRule="exact"/>
              <w:jc w:val="center"/>
              <w:rPr>
                <w:rFonts w:ascii="新宋体" w:hAnsi="新宋体" w:eastAsia="新宋体" w:cs="新宋体"/>
                <w:color w:val="auto"/>
                <w:sz w:val="22"/>
                <w:szCs w:val="22"/>
                <w:highlight w:val="none"/>
              </w:rPr>
            </w:pPr>
          </w:p>
        </w:tc>
        <w:tc>
          <w:tcPr>
            <w:tcW w:w="1240" w:type="dxa"/>
          </w:tcPr>
          <w:p w14:paraId="5A801335">
            <w:pPr>
              <w:spacing w:line="400" w:lineRule="exact"/>
              <w:rPr>
                <w:rFonts w:ascii="新宋体" w:hAnsi="新宋体" w:eastAsia="新宋体" w:cs="新宋体"/>
                <w:color w:val="auto"/>
                <w:sz w:val="22"/>
                <w:szCs w:val="22"/>
                <w:highlight w:val="none"/>
              </w:rPr>
            </w:pPr>
          </w:p>
        </w:tc>
        <w:tc>
          <w:tcPr>
            <w:tcW w:w="1404" w:type="dxa"/>
          </w:tcPr>
          <w:p w14:paraId="3DA0C3CD">
            <w:pPr>
              <w:spacing w:line="400" w:lineRule="exact"/>
              <w:rPr>
                <w:rFonts w:ascii="新宋体" w:hAnsi="新宋体" w:eastAsia="新宋体" w:cs="新宋体"/>
                <w:color w:val="auto"/>
                <w:sz w:val="22"/>
                <w:szCs w:val="22"/>
                <w:highlight w:val="none"/>
              </w:rPr>
            </w:pPr>
          </w:p>
        </w:tc>
        <w:tc>
          <w:tcPr>
            <w:tcW w:w="796" w:type="dxa"/>
          </w:tcPr>
          <w:p w14:paraId="78F58D53">
            <w:pPr>
              <w:spacing w:line="400" w:lineRule="exact"/>
              <w:rPr>
                <w:rFonts w:ascii="新宋体" w:hAnsi="新宋体" w:eastAsia="新宋体" w:cs="新宋体"/>
                <w:color w:val="auto"/>
                <w:sz w:val="22"/>
                <w:szCs w:val="22"/>
                <w:highlight w:val="none"/>
              </w:rPr>
            </w:pPr>
          </w:p>
        </w:tc>
        <w:tc>
          <w:tcPr>
            <w:tcW w:w="3704" w:type="dxa"/>
          </w:tcPr>
          <w:p w14:paraId="478DC616">
            <w:pPr>
              <w:spacing w:line="400" w:lineRule="exact"/>
              <w:rPr>
                <w:rFonts w:ascii="新宋体" w:hAnsi="新宋体" w:eastAsia="新宋体" w:cs="新宋体"/>
                <w:color w:val="auto"/>
                <w:sz w:val="22"/>
                <w:szCs w:val="22"/>
                <w:highlight w:val="none"/>
              </w:rPr>
            </w:pPr>
          </w:p>
        </w:tc>
        <w:tc>
          <w:tcPr>
            <w:tcW w:w="1568" w:type="dxa"/>
          </w:tcPr>
          <w:p w14:paraId="60C435CC">
            <w:pPr>
              <w:spacing w:line="400" w:lineRule="exact"/>
              <w:rPr>
                <w:rFonts w:ascii="新宋体" w:hAnsi="新宋体" w:eastAsia="新宋体" w:cs="新宋体"/>
                <w:color w:val="auto"/>
                <w:sz w:val="22"/>
                <w:szCs w:val="22"/>
                <w:highlight w:val="none"/>
              </w:rPr>
            </w:pPr>
          </w:p>
        </w:tc>
      </w:tr>
      <w:tr w14:paraId="15726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42C6F31">
            <w:pPr>
              <w:spacing w:line="400" w:lineRule="exact"/>
              <w:jc w:val="center"/>
              <w:rPr>
                <w:rFonts w:ascii="新宋体" w:hAnsi="新宋体" w:eastAsia="新宋体" w:cs="新宋体"/>
                <w:color w:val="auto"/>
                <w:sz w:val="22"/>
                <w:szCs w:val="22"/>
                <w:highlight w:val="none"/>
              </w:rPr>
            </w:pPr>
          </w:p>
        </w:tc>
        <w:tc>
          <w:tcPr>
            <w:tcW w:w="1240" w:type="dxa"/>
          </w:tcPr>
          <w:p w14:paraId="3451C8A2">
            <w:pPr>
              <w:spacing w:line="400" w:lineRule="exact"/>
              <w:rPr>
                <w:rFonts w:ascii="新宋体" w:hAnsi="新宋体" w:eastAsia="新宋体" w:cs="新宋体"/>
                <w:color w:val="auto"/>
                <w:sz w:val="22"/>
                <w:szCs w:val="22"/>
                <w:highlight w:val="none"/>
              </w:rPr>
            </w:pPr>
          </w:p>
        </w:tc>
        <w:tc>
          <w:tcPr>
            <w:tcW w:w="1404" w:type="dxa"/>
          </w:tcPr>
          <w:p w14:paraId="00EBF255">
            <w:pPr>
              <w:spacing w:line="400" w:lineRule="exact"/>
              <w:rPr>
                <w:rFonts w:ascii="新宋体" w:hAnsi="新宋体" w:eastAsia="新宋体" w:cs="新宋体"/>
                <w:color w:val="auto"/>
                <w:sz w:val="22"/>
                <w:szCs w:val="22"/>
                <w:highlight w:val="none"/>
              </w:rPr>
            </w:pPr>
          </w:p>
        </w:tc>
        <w:tc>
          <w:tcPr>
            <w:tcW w:w="796" w:type="dxa"/>
          </w:tcPr>
          <w:p w14:paraId="4DFA3652">
            <w:pPr>
              <w:spacing w:line="400" w:lineRule="exact"/>
              <w:rPr>
                <w:rFonts w:ascii="新宋体" w:hAnsi="新宋体" w:eastAsia="新宋体" w:cs="新宋体"/>
                <w:color w:val="auto"/>
                <w:sz w:val="22"/>
                <w:szCs w:val="22"/>
                <w:highlight w:val="none"/>
              </w:rPr>
            </w:pPr>
          </w:p>
        </w:tc>
        <w:tc>
          <w:tcPr>
            <w:tcW w:w="3704" w:type="dxa"/>
          </w:tcPr>
          <w:p w14:paraId="37463E24">
            <w:pPr>
              <w:spacing w:line="400" w:lineRule="exact"/>
              <w:rPr>
                <w:rFonts w:ascii="新宋体" w:hAnsi="新宋体" w:eastAsia="新宋体" w:cs="新宋体"/>
                <w:color w:val="auto"/>
                <w:sz w:val="22"/>
                <w:szCs w:val="22"/>
                <w:highlight w:val="none"/>
              </w:rPr>
            </w:pPr>
          </w:p>
        </w:tc>
        <w:tc>
          <w:tcPr>
            <w:tcW w:w="1568" w:type="dxa"/>
          </w:tcPr>
          <w:p w14:paraId="1F0B3C4A">
            <w:pPr>
              <w:spacing w:line="400" w:lineRule="exact"/>
              <w:rPr>
                <w:rFonts w:ascii="新宋体" w:hAnsi="新宋体" w:eastAsia="新宋体" w:cs="新宋体"/>
                <w:color w:val="auto"/>
                <w:sz w:val="22"/>
                <w:szCs w:val="22"/>
                <w:highlight w:val="none"/>
              </w:rPr>
            </w:pPr>
          </w:p>
        </w:tc>
      </w:tr>
      <w:tr w14:paraId="2B080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3C5601D">
            <w:pPr>
              <w:spacing w:line="400" w:lineRule="exact"/>
              <w:jc w:val="center"/>
              <w:rPr>
                <w:rFonts w:ascii="新宋体" w:hAnsi="新宋体" w:eastAsia="新宋体" w:cs="新宋体"/>
                <w:color w:val="auto"/>
                <w:sz w:val="22"/>
                <w:szCs w:val="22"/>
                <w:highlight w:val="none"/>
              </w:rPr>
            </w:pPr>
          </w:p>
        </w:tc>
        <w:tc>
          <w:tcPr>
            <w:tcW w:w="1240" w:type="dxa"/>
          </w:tcPr>
          <w:p w14:paraId="201D77FA">
            <w:pPr>
              <w:spacing w:line="400" w:lineRule="exact"/>
              <w:rPr>
                <w:rFonts w:ascii="新宋体" w:hAnsi="新宋体" w:eastAsia="新宋体" w:cs="新宋体"/>
                <w:color w:val="auto"/>
                <w:sz w:val="22"/>
                <w:szCs w:val="22"/>
                <w:highlight w:val="none"/>
              </w:rPr>
            </w:pPr>
          </w:p>
        </w:tc>
        <w:tc>
          <w:tcPr>
            <w:tcW w:w="1404" w:type="dxa"/>
          </w:tcPr>
          <w:p w14:paraId="39BA6CFA">
            <w:pPr>
              <w:spacing w:line="400" w:lineRule="exact"/>
              <w:rPr>
                <w:rFonts w:ascii="新宋体" w:hAnsi="新宋体" w:eastAsia="新宋体" w:cs="新宋体"/>
                <w:color w:val="auto"/>
                <w:sz w:val="22"/>
                <w:szCs w:val="22"/>
                <w:highlight w:val="none"/>
              </w:rPr>
            </w:pPr>
          </w:p>
        </w:tc>
        <w:tc>
          <w:tcPr>
            <w:tcW w:w="796" w:type="dxa"/>
          </w:tcPr>
          <w:p w14:paraId="53858591">
            <w:pPr>
              <w:spacing w:line="400" w:lineRule="exact"/>
              <w:rPr>
                <w:rFonts w:ascii="新宋体" w:hAnsi="新宋体" w:eastAsia="新宋体" w:cs="新宋体"/>
                <w:color w:val="auto"/>
                <w:sz w:val="22"/>
                <w:szCs w:val="22"/>
                <w:highlight w:val="none"/>
              </w:rPr>
            </w:pPr>
          </w:p>
        </w:tc>
        <w:tc>
          <w:tcPr>
            <w:tcW w:w="3704" w:type="dxa"/>
          </w:tcPr>
          <w:p w14:paraId="10411DC9">
            <w:pPr>
              <w:spacing w:line="400" w:lineRule="exact"/>
              <w:rPr>
                <w:rFonts w:ascii="新宋体" w:hAnsi="新宋体" w:eastAsia="新宋体" w:cs="新宋体"/>
                <w:color w:val="auto"/>
                <w:sz w:val="22"/>
                <w:szCs w:val="22"/>
                <w:highlight w:val="none"/>
              </w:rPr>
            </w:pPr>
          </w:p>
        </w:tc>
        <w:tc>
          <w:tcPr>
            <w:tcW w:w="1568" w:type="dxa"/>
          </w:tcPr>
          <w:p w14:paraId="408CEB07">
            <w:pPr>
              <w:spacing w:line="400" w:lineRule="exact"/>
              <w:rPr>
                <w:rFonts w:ascii="新宋体" w:hAnsi="新宋体" w:eastAsia="新宋体" w:cs="新宋体"/>
                <w:color w:val="auto"/>
                <w:sz w:val="22"/>
                <w:szCs w:val="22"/>
                <w:highlight w:val="none"/>
              </w:rPr>
            </w:pPr>
          </w:p>
        </w:tc>
      </w:tr>
      <w:tr w14:paraId="09A00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348AE32">
            <w:pPr>
              <w:spacing w:line="400" w:lineRule="exact"/>
              <w:jc w:val="center"/>
              <w:rPr>
                <w:rFonts w:ascii="新宋体" w:hAnsi="新宋体" w:eastAsia="新宋体" w:cs="新宋体"/>
                <w:color w:val="auto"/>
                <w:sz w:val="22"/>
                <w:szCs w:val="22"/>
                <w:highlight w:val="none"/>
              </w:rPr>
            </w:pPr>
          </w:p>
        </w:tc>
        <w:tc>
          <w:tcPr>
            <w:tcW w:w="1240" w:type="dxa"/>
          </w:tcPr>
          <w:p w14:paraId="267939A2">
            <w:pPr>
              <w:spacing w:line="400" w:lineRule="exact"/>
              <w:rPr>
                <w:rFonts w:ascii="新宋体" w:hAnsi="新宋体" w:eastAsia="新宋体" w:cs="新宋体"/>
                <w:color w:val="auto"/>
                <w:sz w:val="22"/>
                <w:szCs w:val="22"/>
                <w:highlight w:val="none"/>
              </w:rPr>
            </w:pPr>
          </w:p>
        </w:tc>
        <w:tc>
          <w:tcPr>
            <w:tcW w:w="1404" w:type="dxa"/>
          </w:tcPr>
          <w:p w14:paraId="3535D5A6">
            <w:pPr>
              <w:spacing w:line="400" w:lineRule="exact"/>
              <w:rPr>
                <w:rFonts w:ascii="新宋体" w:hAnsi="新宋体" w:eastAsia="新宋体" w:cs="新宋体"/>
                <w:color w:val="auto"/>
                <w:sz w:val="22"/>
                <w:szCs w:val="22"/>
                <w:highlight w:val="none"/>
              </w:rPr>
            </w:pPr>
          </w:p>
        </w:tc>
        <w:tc>
          <w:tcPr>
            <w:tcW w:w="796" w:type="dxa"/>
          </w:tcPr>
          <w:p w14:paraId="428A2EF0">
            <w:pPr>
              <w:spacing w:line="400" w:lineRule="exact"/>
              <w:rPr>
                <w:rFonts w:ascii="新宋体" w:hAnsi="新宋体" w:eastAsia="新宋体" w:cs="新宋体"/>
                <w:color w:val="auto"/>
                <w:sz w:val="22"/>
                <w:szCs w:val="22"/>
                <w:highlight w:val="none"/>
              </w:rPr>
            </w:pPr>
          </w:p>
        </w:tc>
        <w:tc>
          <w:tcPr>
            <w:tcW w:w="3704" w:type="dxa"/>
          </w:tcPr>
          <w:p w14:paraId="342329D1">
            <w:pPr>
              <w:spacing w:line="400" w:lineRule="exact"/>
              <w:rPr>
                <w:rFonts w:ascii="新宋体" w:hAnsi="新宋体" w:eastAsia="新宋体" w:cs="新宋体"/>
                <w:color w:val="auto"/>
                <w:sz w:val="22"/>
                <w:szCs w:val="22"/>
                <w:highlight w:val="none"/>
              </w:rPr>
            </w:pPr>
          </w:p>
        </w:tc>
        <w:tc>
          <w:tcPr>
            <w:tcW w:w="1568" w:type="dxa"/>
          </w:tcPr>
          <w:p w14:paraId="2F23534D">
            <w:pPr>
              <w:spacing w:line="400" w:lineRule="exact"/>
              <w:rPr>
                <w:rFonts w:ascii="新宋体" w:hAnsi="新宋体" w:eastAsia="新宋体" w:cs="新宋体"/>
                <w:color w:val="auto"/>
                <w:sz w:val="22"/>
                <w:szCs w:val="22"/>
                <w:highlight w:val="none"/>
              </w:rPr>
            </w:pPr>
          </w:p>
        </w:tc>
      </w:tr>
      <w:tr w14:paraId="71AF4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7D3090B">
            <w:pPr>
              <w:spacing w:line="400" w:lineRule="exact"/>
              <w:jc w:val="center"/>
              <w:rPr>
                <w:rFonts w:ascii="新宋体" w:hAnsi="新宋体" w:eastAsia="新宋体" w:cs="新宋体"/>
                <w:color w:val="auto"/>
                <w:sz w:val="22"/>
                <w:szCs w:val="22"/>
                <w:highlight w:val="none"/>
              </w:rPr>
            </w:pPr>
          </w:p>
        </w:tc>
        <w:tc>
          <w:tcPr>
            <w:tcW w:w="1240" w:type="dxa"/>
          </w:tcPr>
          <w:p w14:paraId="745754B8">
            <w:pPr>
              <w:spacing w:line="400" w:lineRule="exact"/>
              <w:rPr>
                <w:rFonts w:ascii="新宋体" w:hAnsi="新宋体" w:eastAsia="新宋体" w:cs="新宋体"/>
                <w:color w:val="auto"/>
                <w:sz w:val="22"/>
                <w:szCs w:val="22"/>
                <w:highlight w:val="none"/>
              </w:rPr>
            </w:pPr>
          </w:p>
        </w:tc>
        <w:tc>
          <w:tcPr>
            <w:tcW w:w="1404" w:type="dxa"/>
          </w:tcPr>
          <w:p w14:paraId="4E993941">
            <w:pPr>
              <w:spacing w:line="400" w:lineRule="exact"/>
              <w:rPr>
                <w:rFonts w:ascii="新宋体" w:hAnsi="新宋体" w:eastAsia="新宋体" w:cs="新宋体"/>
                <w:color w:val="auto"/>
                <w:sz w:val="22"/>
                <w:szCs w:val="22"/>
                <w:highlight w:val="none"/>
              </w:rPr>
            </w:pPr>
          </w:p>
        </w:tc>
        <w:tc>
          <w:tcPr>
            <w:tcW w:w="796" w:type="dxa"/>
          </w:tcPr>
          <w:p w14:paraId="4E1831B0">
            <w:pPr>
              <w:spacing w:line="400" w:lineRule="exact"/>
              <w:rPr>
                <w:rFonts w:ascii="新宋体" w:hAnsi="新宋体" w:eastAsia="新宋体" w:cs="新宋体"/>
                <w:color w:val="auto"/>
                <w:sz w:val="22"/>
                <w:szCs w:val="22"/>
                <w:highlight w:val="none"/>
              </w:rPr>
            </w:pPr>
          </w:p>
        </w:tc>
        <w:tc>
          <w:tcPr>
            <w:tcW w:w="3704" w:type="dxa"/>
          </w:tcPr>
          <w:p w14:paraId="4E586D45">
            <w:pPr>
              <w:spacing w:line="400" w:lineRule="exact"/>
              <w:rPr>
                <w:rFonts w:ascii="新宋体" w:hAnsi="新宋体" w:eastAsia="新宋体" w:cs="新宋体"/>
                <w:color w:val="auto"/>
                <w:sz w:val="22"/>
                <w:szCs w:val="22"/>
                <w:highlight w:val="none"/>
              </w:rPr>
            </w:pPr>
          </w:p>
        </w:tc>
        <w:tc>
          <w:tcPr>
            <w:tcW w:w="1568" w:type="dxa"/>
          </w:tcPr>
          <w:p w14:paraId="723E5BBC">
            <w:pPr>
              <w:spacing w:line="400" w:lineRule="exact"/>
              <w:rPr>
                <w:rFonts w:ascii="新宋体" w:hAnsi="新宋体" w:eastAsia="新宋体" w:cs="新宋体"/>
                <w:color w:val="auto"/>
                <w:sz w:val="22"/>
                <w:szCs w:val="22"/>
                <w:highlight w:val="none"/>
              </w:rPr>
            </w:pPr>
          </w:p>
        </w:tc>
      </w:tr>
      <w:tr w14:paraId="55AE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277E8889">
            <w:pPr>
              <w:spacing w:line="400" w:lineRule="exact"/>
              <w:jc w:val="center"/>
              <w:rPr>
                <w:rFonts w:ascii="新宋体" w:hAnsi="新宋体" w:eastAsia="新宋体" w:cs="新宋体"/>
                <w:color w:val="auto"/>
                <w:sz w:val="22"/>
                <w:szCs w:val="22"/>
                <w:highlight w:val="none"/>
              </w:rPr>
            </w:pPr>
          </w:p>
        </w:tc>
        <w:tc>
          <w:tcPr>
            <w:tcW w:w="1240" w:type="dxa"/>
          </w:tcPr>
          <w:p w14:paraId="58CD6B7E">
            <w:pPr>
              <w:spacing w:line="400" w:lineRule="exact"/>
              <w:rPr>
                <w:rFonts w:ascii="新宋体" w:hAnsi="新宋体" w:eastAsia="新宋体" w:cs="新宋体"/>
                <w:color w:val="auto"/>
                <w:sz w:val="22"/>
                <w:szCs w:val="22"/>
                <w:highlight w:val="none"/>
              </w:rPr>
            </w:pPr>
          </w:p>
        </w:tc>
        <w:tc>
          <w:tcPr>
            <w:tcW w:w="1404" w:type="dxa"/>
          </w:tcPr>
          <w:p w14:paraId="1A40DEA5">
            <w:pPr>
              <w:spacing w:line="400" w:lineRule="exact"/>
              <w:rPr>
                <w:rFonts w:ascii="新宋体" w:hAnsi="新宋体" w:eastAsia="新宋体" w:cs="新宋体"/>
                <w:color w:val="auto"/>
                <w:sz w:val="22"/>
                <w:szCs w:val="22"/>
                <w:highlight w:val="none"/>
              </w:rPr>
            </w:pPr>
          </w:p>
        </w:tc>
        <w:tc>
          <w:tcPr>
            <w:tcW w:w="796" w:type="dxa"/>
          </w:tcPr>
          <w:p w14:paraId="58C3F265">
            <w:pPr>
              <w:spacing w:line="400" w:lineRule="exact"/>
              <w:rPr>
                <w:rFonts w:ascii="新宋体" w:hAnsi="新宋体" w:eastAsia="新宋体" w:cs="新宋体"/>
                <w:color w:val="auto"/>
                <w:sz w:val="22"/>
                <w:szCs w:val="22"/>
                <w:highlight w:val="none"/>
              </w:rPr>
            </w:pPr>
          </w:p>
        </w:tc>
        <w:tc>
          <w:tcPr>
            <w:tcW w:w="3704" w:type="dxa"/>
          </w:tcPr>
          <w:p w14:paraId="6FF3E671">
            <w:pPr>
              <w:spacing w:line="400" w:lineRule="exact"/>
              <w:rPr>
                <w:rFonts w:ascii="新宋体" w:hAnsi="新宋体" w:eastAsia="新宋体" w:cs="新宋体"/>
                <w:color w:val="auto"/>
                <w:sz w:val="22"/>
                <w:szCs w:val="22"/>
                <w:highlight w:val="none"/>
              </w:rPr>
            </w:pPr>
          </w:p>
        </w:tc>
        <w:tc>
          <w:tcPr>
            <w:tcW w:w="1568" w:type="dxa"/>
          </w:tcPr>
          <w:p w14:paraId="0CAB1423">
            <w:pPr>
              <w:spacing w:line="400" w:lineRule="exact"/>
              <w:rPr>
                <w:rFonts w:ascii="新宋体" w:hAnsi="新宋体" w:eastAsia="新宋体" w:cs="新宋体"/>
                <w:color w:val="auto"/>
                <w:sz w:val="22"/>
                <w:szCs w:val="22"/>
                <w:highlight w:val="none"/>
              </w:rPr>
            </w:pPr>
          </w:p>
        </w:tc>
      </w:tr>
      <w:tr w14:paraId="5890C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5EF0FA9">
            <w:pPr>
              <w:spacing w:line="400" w:lineRule="exact"/>
              <w:jc w:val="center"/>
              <w:rPr>
                <w:rFonts w:ascii="新宋体" w:hAnsi="新宋体" w:eastAsia="新宋体" w:cs="新宋体"/>
                <w:color w:val="auto"/>
                <w:sz w:val="22"/>
                <w:szCs w:val="22"/>
                <w:highlight w:val="none"/>
              </w:rPr>
            </w:pPr>
          </w:p>
        </w:tc>
        <w:tc>
          <w:tcPr>
            <w:tcW w:w="1240" w:type="dxa"/>
          </w:tcPr>
          <w:p w14:paraId="345B3541">
            <w:pPr>
              <w:spacing w:line="400" w:lineRule="exact"/>
              <w:rPr>
                <w:rFonts w:ascii="新宋体" w:hAnsi="新宋体" w:eastAsia="新宋体" w:cs="新宋体"/>
                <w:color w:val="auto"/>
                <w:sz w:val="22"/>
                <w:szCs w:val="22"/>
                <w:highlight w:val="none"/>
              </w:rPr>
            </w:pPr>
          </w:p>
        </w:tc>
        <w:tc>
          <w:tcPr>
            <w:tcW w:w="1404" w:type="dxa"/>
          </w:tcPr>
          <w:p w14:paraId="7A4BFB54">
            <w:pPr>
              <w:spacing w:line="400" w:lineRule="exact"/>
              <w:rPr>
                <w:rFonts w:ascii="新宋体" w:hAnsi="新宋体" w:eastAsia="新宋体" w:cs="新宋体"/>
                <w:color w:val="auto"/>
                <w:sz w:val="22"/>
                <w:szCs w:val="22"/>
                <w:highlight w:val="none"/>
              </w:rPr>
            </w:pPr>
          </w:p>
        </w:tc>
        <w:tc>
          <w:tcPr>
            <w:tcW w:w="796" w:type="dxa"/>
          </w:tcPr>
          <w:p w14:paraId="46EB39C0">
            <w:pPr>
              <w:spacing w:line="400" w:lineRule="exact"/>
              <w:rPr>
                <w:rFonts w:ascii="新宋体" w:hAnsi="新宋体" w:eastAsia="新宋体" w:cs="新宋体"/>
                <w:color w:val="auto"/>
                <w:sz w:val="22"/>
                <w:szCs w:val="22"/>
                <w:highlight w:val="none"/>
              </w:rPr>
            </w:pPr>
          </w:p>
        </w:tc>
        <w:tc>
          <w:tcPr>
            <w:tcW w:w="3704" w:type="dxa"/>
          </w:tcPr>
          <w:p w14:paraId="1B7A19D7">
            <w:pPr>
              <w:spacing w:line="400" w:lineRule="exact"/>
              <w:rPr>
                <w:rFonts w:ascii="新宋体" w:hAnsi="新宋体" w:eastAsia="新宋体" w:cs="新宋体"/>
                <w:color w:val="auto"/>
                <w:sz w:val="22"/>
                <w:szCs w:val="22"/>
                <w:highlight w:val="none"/>
              </w:rPr>
            </w:pPr>
          </w:p>
        </w:tc>
        <w:tc>
          <w:tcPr>
            <w:tcW w:w="1568" w:type="dxa"/>
          </w:tcPr>
          <w:p w14:paraId="3000552C">
            <w:pPr>
              <w:spacing w:line="400" w:lineRule="exact"/>
              <w:rPr>
                <w:rFonts w:ascii="新宋体" w:hAnsi="新宋体" w:eastAsia="新宋体" w:cs="新宋体"/>
                <w:color w:val="auto"/>
                <w:sz w:val="22"/>
                <w:szCs w:val="22"/>
                <w:highlight w:val="none"/>
              </w:rPr>
            </w:pPr>
          </w:p>
        </w:tc>
      </w:tr>
      <w:tr w14:paraId="3CDBA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BE6AE05">
            <w:pPr>
              <w:spacing w:line="400" w:lineRule="exact"/>
              <w:jc w:val="center"/>
              <w:rPr>
                <w:rFonts w:ascii="新宋体" w:hAnsi="新宋体" w:eastAsia="新宋体" w:cs="新宋体"/>
                <w:color w:val="auto"/>
                <w:sz w:val="22"/>
                <w:szCs w:val="22"/>
                <w:highlight w:val="none"/>
              </w:rPr>
            </w:pPr>
          </w:p>
        </w:tc>
        <w:tc>
          <w:tcPr>
            <w:tcW w:w="1240" w:type="dxa"/>
          </w:tcPr>
          <w:p w14:paraId="1B351815">
            <w:pPr>
              <w:spacing w:line="400" w:lineRule="exact"/>
              <w:rPr>
                <w:rFonts w:ascii="新宋体" w:hAnsi="新宋体" w:eastAsia="新宋体" w:cs="新宋体"/>
                <w:color w:val="auto"/>
                <w:sz w:val="22"/>
                <w:szCs w:val="22"/>
                <w:highlight w:val="none"/>
              </w:rPr>
            </w:pPr>
          </w:p>
        </w:tc>
        <w:tc>
          <w:tcPr>
            <w:tcW w:w="1404" w:type="dxa"/>
          </w:tcPr>
          <w:p w14:paraId="0A6D8F4C">
            <w:pPr>
              <w:spacing w:line="400" w:lineRule="exact"/>
              <w:rPr>
                <w:rFonts w:ascii="新宋体" w:hAnsi="新宋体" w:eastAsia="新宋体" w:cs="新宋体"/>
                <w:color w:val="auto"/>
                <w:sz w:val="22"/>
                <w:szCs w:val="22"/>
                <w:highlight w:val="none"/>
              </w:rPr>
            </w:pPr>
          </w:p>
        </w:tc>
        <w:tc>
          <w:tcPr>
            <w:tcW w:w="796" w:type="dxa"/>
          </w:tcPr>
          <w:p w14:paraId="339E5148">
            <w:pPr>
              <w:spacing w:line="400" w:lineRule="exact"/>
              <w:rPr>
                <w:rFonts w:ascii="新宋体" w:hAnsi="新宋体" w:eastAsia="新宋体" w:cs="新宋体"/>
                <w:color w:val="auto"/>
                <w:sz w:val="22"/>
                <w:szCs w:val="22"/>
                <w:highlight w:val="none"/>
              </w:rPr>
            </w:pPr>
          </w:p>
        </w:tc>
        <w:tc>
          <w:tcPr>
            <w:tcW w:w="3704" w:type="dxa"/>
          </w:tcPr>
          <w:p w14:paraId="0A8B159E">
            <w:pPr>
              <w:spacing w:line="400" w:lineRule="exact"/>
              <w:rPr>
                <w:rFonts w:ascii="新宋体" w:hAnsi="新宋体" w:eastAsia="新宋体" w:cs="新宋体"/>
                <w:color w:val="auto"/>
                <w:sz w:val="22"/>
                <w:szCs w:val="22"/>
                <w:highlight w:val="none"/>
              </w:rPr>
            </w:pPr>
          </w:p>
        </w:tc>
        <w:tc>
          <w:tcPr>
            <w:tcW w:w="1568" w:type="dxa"/>
          </w:tcPr>
          <w:p w14:paraId="5D53F2EC">
            <w:pPr>
              <w:spacing w:line="400" w:lineRule="exact"/>
              <w:rPr>
                <w:rFonts w:ascii="新宋体" w:hAnsi="新宋体" w:eastAsia="新宋体" w:cs="新宋体"/>
                <w:color w:val="auto"/>
                <w:sz w:val="22"/>
                <w:szCs w:val="22"/>
                <w:highlight w:val="none"/>
              </w:rPr>
            </w:pPr>
          </w:p>
        </w:tc>
      </w:tr>
      <w:tr w14:paraId="1F990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713AC5D">
            <w:pPr>
              <w:spacing w:line="400" w:lineRule="exact"/>
              <w:jc w:val="center"/>
              <w:rPr>
                <w:rFonts w:ascii="新宋体" w:hAnsi="新宋体" w:eastAsia="新宋体" w:cs="新宋体"/>
                <w:color w:val="auto"/>
                <w:sz w:val="22"/>
                <w:szCs w:val="22"/>
                <w:highlight w:val="none"/>
              </w:rPr>
            </w:pPr>
          </w:p>
        </w:tc>
        <w:tc>
          <w:tcPr>
            <w:tcW w:w="1240" w:type="dxa"/>
          </w:tcPr>
          <w:p w14:paraId="5D89FA25">
            <w:pPr>
              <w:spacing w:line="400" w:lineRule="exact"/>
              <w:rPr>
                <w:rFonts w:ascii="新宋体" w:hAnsi="新宋体" w:eastAsia="新宋体" w:cs="新宋体"/>
                <w:color w:val="auto"/>
                <w:sz w:val="22"/>
                <w:szCs w:val="22"/>
                <w:highlight w:val="none"/>
              </w:rPr>
            </w:pPr>
          </w:p>
        </w:tc>
        <w:tc>
          <w:tcPr>
            <w:tcW w:w="1404" w:type="dxa"/>
          </w:tcPr>
          <w:p w14:paraId="7F086C70">
            <w:pPr>
              <w:spacing w:line="400" w:lineRule="exact"/>
              <w:rPr>
                <w:rFonts w:ascii="新宋体" w:hAnsi="新宋体" w:eastAsia="新宋体" w:cs="新宋体"/>
                <w:color w:val="auto"/>
                <w:sz w:val="22"/>
                <w:szCs w:val="22"/>
                <w:highlight w:val="none"/>
              </w:rPr>
            </w:pPr>
          </w:p>
        </w:tc>
        <w:tc>
          <w:tcPr>
            <w:tcW w:w="796" w:type="dxa"/>
          </w:tcPr>
          <w:p w14:paraId="4D2DED4E">
            <w:pPr>
              <w:spacing w:line="400" w:lineRule="exact"/>
              <w:rPr>
                <w:rFonts w:ascii="新宋体" w:hAnsi="新宋体" w:eastAsia="新宋体" w:cs="新宋体"/>
                <w:color w:val="auto"/>
                <w:sz w:val="22"/>
                <w:szCs w:val="22"/>
                <w:highlight w:val="none"/>
              </w:rPr>
            </w:pPr>
          </w:p>
        </w:tc>
        <w:tc>
          <w:tcPr>
            <w:tcW w:w="3704" w:type="dxa"/>
          </w:tcPr>
          <w:p w14:paraId="061D8503">
            <w:pPr>
              <w:spacing w:line="400" w:lineRule="exact"/>
              <w:rPr>
                <w:rFonts w:ascii="新宋体" w:hAnsi="新宋体" w:eastAsia="新宋体" w:cs="新宋体"/>
                <w:color w:val="auto"/>
                <w:sz w:val="22"/>
                <w:szCs w:val="22"/>
                <w:highlight w:val="none"/>
              </w:rPr>
            </w:pPr>
          </w:p>
        </w:tc>
        <w:tc>
          <w:tcPr>
            <w:tcW w:w="1568" w:type="dxa"/>
          </w:tcPr>
          <w:p w14:paraId="5D382511">
            <w:pPr>
              <w:spacing w:line="400" w:lineRule="exact"/>
              <w:rPr>
                <w:rFonts w:ascii="新宋体" w:hAnsi="新宋体" w:eastAsia="新宋体" w:cs="新宋体"/>
                <w:color w:val="auto"/>
                <w:sz w:val="22"/>
                <w:szCs w:val="22"/>
                <w:highlight w:val="none"/>
              </w:rPr>
            </w:pPr>
          </w:p>
        </w:tc>
      </w:tr>
      <w:tr w14:paraId="5A05C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E6BEB44">
            <w:pPr>
              <w:spacing w:line="400" w:lineRule="exact"/>
              <w:jc w:val="center"/>
              <w:rPr>
                <w:rFonts w:ascii="新宋体" w:hAnsi="新宋体" w:eastAsia="新宋体" w:cs="新宋体"/>
                <w:color w:val="auto"/>
                <w:sz w:val="22"/>
                <w:szCs w:val="22"/>
                <w:highlight w:val="none"/>
              </w:rPr>
            </w:pPr>
          </w:p>
        </w:tc>
        <w:tc>
          <w:tcPr>
            <w:tcW w:w="1240" w:type="dxa"/>
          </w:tcPr>
          <w:p w14:paraId="105F7D82">
            <w:pPr>
              <w:spacing w:line="400" w:lineRule="exact"/>
              <w:rPr>
                <w:rFonts w:ascii="新宋体" w:hAnsi="新宋体" w:eastAsia="新宋体" w:cs="新宋体"/>
                <w:color w:val="auto"/>
                <w:sz w:val="22"/>
                <w:szCs w:val="22"/>
                <w:highlight w:val="none"/>
              </w:rPr>
            </w:pPr>
          </w:p>
        </w:tc>
        <w:tc>
          <w:tcPr>
            <w:tcW w:w="1404" w:type="dxa"/>
          </w:tcPr>
          <w:p w14:paraId="10BEF3F4">
            <w:pPr>
              <w:spacing w:line="400" w:lineRule="exact"/>
              <w:rPr>
                <w:rFonts w:ascii="新宋体" w:hAnsi="新宋体" w:eastAsia="新宋体" w:cs="新宋体"/>
                <w:color w:val="auto"/>
                <w:sz w:val="22"/>
                <w:szCs w:val="22"/>
                <w:highlight w:val="none"/>
              </w:rPr>
            </w:pPr>
          </w:p>
        </w:tc>
        <w:tc>
          <w:tcPr>
            <w:tcW w:w="796" w:type="dxa"/>
          </w:tcPr>
          <w:p w14:paraId="7397BE27">
            <w:pPr>
              <w:spacing w:line="400" w:lineRule="exact"/>
              <w:rPr>
                <w:rFonts w:ascii="新宋体" w:hAnsi="新宋体" w:eastAsia="新宋体" w:cs="新宋体"/>
                <w:color w:val="auto"/>
                <w:sz w:val="22"/>
                <w:szCs w:val="22"/>
                <w:highlight w:val="none"/>
              </w:rPr>
            </w:pPr>
          </w:p>
        </w:tc>
        <w:tc>
          <w:tcPr>
            <w:tcW w:w="3704" w:type="dxa"/>
          </w:tcPr>
          <w:p w14:paraId="74538611">
            <w:pPr>
              <w:spacing w:line="400" w:lineRule="exact"/>
              <w:rPr>
                <w:rFonts w:ascii="新宋体" w:hAnsi="新宋体" w:eastAsia="新宋体" w:cs="新宋体"/>
                <w:color w:val="auto"/>
                <w:sz w:val="22"/>
                <w:szCs w:val="22"/>
                <w:highlight w:val="none"/>
              </w:rPr>
            </w:pPr>
          </w:p>
        </w:tc>
        <w:tc>
          <w:tcPr>
            <w:tcW w:w="1568" w:type="dxa"/>
          </w:tcPr>
          <w:p w14:paraId="1B8E13CB">
            <w:pPr>
              <w:spacing w:line="400" w:lineRule="exact"/>
              <w:rPr>
                <w:rFonts w:ascii="新宋体" w:hAnsi="新宋体" w:eastAsia="新宋体" w:cs="新宋体"/>
                <w:color w:val="auto"/>
                <w:sz w:val="22"/>
                <w:szCs w:val="22"/>
                <w:highlight w:val="none"/>
              </w:rPr>
            </w:pPr>
          </w:p>
        </w:tc>
      </w:tr>
      <w:tr w14:paraId="307DC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7851DF9">
            <w:pPr>
              <w:spacing w:line="400" w:lineRule="exact"/>
              <w:jc w:val="center"/>
              <w:rPr>
                <w:rFonts w:ascii="新宋体" w:hAnsi="新宋体" w:eastAsia="新宋体" w:cs="新宋体"/>
                <w:color w:val="auto"/>
                <w:sz w:val="22"/>
                <w:szCs w:val="22"/>
                <w:highlight w:val="none"/>
              </w:rPr>
            </w:pPr>
          </w:p>
        </w:tc>
        <w:tc>
          <w:tcPr>
            <w:tcW w:w="1240" w:type="dxa"/>
          </w:tcPr>
          <w:p w14:paraId="4416CF2D">
            <w:pPr>
              <w:spacing w:line="400" w:lineRule="exact"/>
              <w:rPr>
                <w:rFonts w:ascii="新宋体" w:hAnsi="新宋体" w:eastAsia="新宋体" w:cs="新宋体"/>
                <w:color w:val="auto"/>
                <w:sz w:val="22"/>
                <w:szCs w:val="22"/>
                <w:highlight w:val="none"/>
              </w:rPr>
            </w:pPr>
          </w:p>
        </w:tc>
        <w:tc>
          <w:tcPr>
            <w:tcW w:w="1404" w:type="dxa"/>
          </w:tcPr>
          <w:p w14:paraId="2BFB5419">
            <w:pPr>
              <w:spacing w:line="400" w:lineRule="exact"/>
              <w:rPr>
                <w:rFonts w:ascii="新宋体" w:hAnsi="新宋体" w:eastAsia="新宋体" w:cs="新宋体"/>
                <w:color w:val="auto"/>
                <w:sz w:val="22"/>
                <w:szCs w:val="22"/>
                <w:highlight w:val="none"/>
              </w:rPr>
            </w:pPr>
          </w:p>
        </w:tc>
        <w:tc>
          <w:tcPr>
            <w:tcW w:w="796" w:type="dxa"/>
          </w:tcPr>
          <w:p w14:paraId="0B3C1B59">
            <w:pPr>
              <w:spacing w:line="400" w:lineRule="exact"/>
              <w:rPr>
                <w:rFonts w:ascii="新宋体" w:hAnsi="新宋体" w:eastAsia="新宋体" w:cs="新宋体"/>
                <w:color w:val="auto"/>
                <w:sz w:val="22"/>
                <w:szCs w:val="22"/>
                <w:highlight w:val="none"/>
              </w:rPr>
            </w:pPr>
          </w:p>
        </w:tc>
        <w:tc>
          <w:tcPr>
            <w:tcW w:w="3704" w:type="dxa"/>
          </w:tcPr>
          <w:p w14:paraId="315EA673">
            <w:pPr>
              <w:spacing w:line="400" w:lineRule="exact"/>
              <w:rPr>
                <w:rFonts w:ascii="新宋体" w:hAnsi="新宋体" w:eastAsia="新宋体" w:cs="新宋体"/>
                <w:color w:val="auto"/>
                <w:sz w:val="22"/>
                <w:szCs w:val="22"/>
                <w:highlight w:val="none"/>
              </w:rPr>
            </w:pPr>
          </w:p>
        </w:tc>
        <w:tc>
          <w:tcPr>
            <w:tcW w:w="1568" w:type="dxa"/>
          </w:tcPr>
          <w:p w14:paraId="7E466C7D">
            <w:pPr>
              <w:spacing w:line="400" w:lineRule="exact"/>
              <w:rPr>
                <w:rFonts w:ascii="新宋体" w:hAnsi="新宋体" w:eastAsia="新宋体" w:cs="新宋体"/>
                <w:color w:val="auto"/>
                <w:sz w:val="22"/>
                <w:szCs w:val="22"/>
                <w:highlight w:val="none"/>
              </w:rPr>
            </w:pPr>
          </w:p>
        </w:tc>
      </w:tr>
      <w:tr w14:paraId="4E6EF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20F98D6">
            <w:pPr>
              <w:spacing w:line="400" w:lineRule="exact"/>
              <w:jc w:val="center"/>
              <w:rPr>
                <w:rFonts w:ascii="新宋体" w:hAnsi="新宋体" w:eastAsia="新宋体" w:cs="新宋体"/>
                <w:color w:val="auto"/>
                <w:sz w:val="22"/>
                <w:szCs w:val="22"/>
                <w:highlight w:val="none"/>
              </w:rPr>
            </w:pPr>
          </w:p>
        </w:tc>
        <w:tc>
          <w:tcPr>
            <w:tcW w:w="1240" w:type="dxa"/>
          </w:tcPr>
          <w:p w14:paraId="3239DEF0">
            <w:pPr>
              <w:spacing w:line="400" w:lineRule="exact"/>
              <w:rPr>
                <w:rFonts w:ascii="新宋体" w:hAnsi="新宋体" w:eastAsia="新宋体" w:cs="新宋体"/>
                <w:color w:val="auto"/>
                <w:sz w:val="22"/>
                <w:szCs w:val="22"/>
                <w:highlight w:val="none"/>
              </w:rPr>
            </w:pPr>
          </w:p>
        </w:tc>
        <w:tc>
          <w:tcPr>
            <w:tcW w:w="1404" w:type="dxa"/>
          </w:tcPr>
          <w:p w14:paraId="08ACF5C2">
            <w:pPr>
              <w:spacing w:line="400" w:lineRule="exact"/>
              <w:rPr>
                <w:rFonts w:ascii="新宋体" w:hAnsi="新宋体" w:eastAsia="新宋体" w:cs="新宋体"/>
                <w:color w:val="auto"/>
                <w:sz w:val="22"/>
                <w:szCs w:val="22"/>
                <w:highlight w:val="none"/>
              </w:rPr>
            </w:pPr>
          </w:p>
        </w:tc>
        <w:tc>
          <w:tcPr>
            <w:tcW w:w="796" w:type="dxa"/>
          </w:tcPr>
          <w:p w14:paraId="3AAB560A">
            <w:pPr>
              <w:spacing w:line="400" w:lineRule="exact"/>
              <w:rPr>
                <w:rFonts w:ascii="新宋体" w:hAnsi="新宋体" w:eastAsia="新宋体" w:cs="新宋体"/>
                <w:color w:val="auto"/>
                <w:sz w:val="22"/>
                <w:szCs w:val="22"/>
                <w:highlight w:val="none"/>
              </w:rPr>
            </w:pPr>
          </w:p>
        </w:tc>
        <w:tc>
          <w:tcPr>
            <w:tcW w:w="3704" w:type="dxa"/>
          </w:tcPr>
          <w:p w14:paraId="02C178B1">
            <w:pPr>
              <w:spacing w:line="400" w:lineRule="exact"/>
              <w:rPr>
                <w:rFonts w:ascii="新宋体" w:hAnsi="新宋体" w:eastAsia="新宋体" w:cs="新宋体"/>
                <w:color w:val="auto"/>
                <w:sz w:val="22"/>
                <w:szCs w:val="22"/>
                <w:highlight w:val="none"/>
              </w:rPr>
            </w:pPr>
          </w:p>
        </w:tc>
        <w:tc>
          <w:tcPr>
            <w:tcW w:w="1568" w:type="dxa"/>
          </w:tcPr>
          <w:p w14:paraId="490DF41A">
            <w:pPr>
              <w:spacing w:line="400" w:lineRule="exact"/>
              <w:rPr>
                <w:rFonts w:ascii="新宋体" w:hAnsi="新宋体" w:eastAsia="新宋体" w:cs="新宋体"/>
                <w:color w:val="auto"/>
                <w:sz w:val="22"/>
                <w:szCs w:val="22"/>
                <w:highlight w:val="none"/>
              </w:rPr>
            </w:pPr>
          </w:p>
        </w:tc>
      </w:tr>
    </w:tbl>
    <w:p w14:paraId="0ABA2187">
      <w:pPr>
        <w:tabs>
          <w:tab w:val="left" w:pos="360"/>
        </w:tabs>
        <w:spacing w:line="460" w:lineRule="exact"/>
        <w:ind w:firstLine="552" w:firstLineChars="25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  1、此表仅提供了表格形式，投标人可按此表格复制。</w:t>
      </w:r>
    </w:p>
    <w:p w14:paraId="532CE2A0">
      <w:pPr>
        <w:tabs>
          <w:tab w:val="left" w:pos="360"/>
        </w:tabs>
        <w:spacing w:line="460" w:lineRule="exact"/>
        <w:ind w:firstLine="1436" w:firstLineChars="65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2、如果无此内容，投标时需说明。</w:t>
      </w:r>
    </w:p>
    <w:p w14:paraId="35B81965">
      <w:pPr>
        <w:spacing w:line="400" w:lineRule="exact"/>
        <w:ind w:firstLine="4620" w:firstLineChars="2100"/>
        <w:rPr>
          <w:rFonts w:ascii="新宋体" w:hAnsi="新宋体" w:eastAsia="新宋体" w:cs="新宋体"/>
          <w:color w:val="auto"/>
          <w:sz w:val="22"/>
          <w:szCs w:val="22"/>
          <w:highlight w:val="none"/>
        </w:rPr>
      </w:pPr>
    </w:p>
    <w:p w14:paraId="7CB604F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0F4826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F92FE1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FF4FF9A">
      <w:pPr>
        <w:pStyle w:val="204"/>
        <w:rPr>
          <w:rFonts w:ascii="新宋体" w:hAnsi="新宋体" w:eastAsia="新宋体" w:cs="新宋体"/>
          <w:color w:val="auto"/>
          <w:sz w:val="22"/>
          <w:szCs w:val="22"/>
          <w:highlight w:val="none"/>
        </w:rPr>
      </w:pPr>
    </w:p>
    <w:p w14:paraId="69890D9C">
      <w:pPr>
        <w:spacing w:line="460" w:lineRule="exact"/>
        <w:rPr>
          <w:rFonts w:ascii="新宋体" w:hAnsi="新宋体" w:eastAsia="新宋体" w:cs="新宋体"/>
          <w:bCs/>
          <w:color w:val="auto"/>
          <w:sz w:val="22"/>
          <w:szCs w:val="22"/>
          <w:highlight w:val="none"/>
        </w:rPr>
      </w:pPr>
    </w:p>
    <w:p w14:paraId="1530F84E">
      <w:pPr>
        <w:spacing w:line="460" w:lineRule="exact"/>
        <w:rPr>
          <w:rFonts w:ascii="新宋体" w:hAnsi="新宋体" w:eastAsia="新宋体" w:cs="新宋体"/>
          <w:b/>
          <w:color w:val="auto"/>
          <w:kern w:val="0"/>
          <w:sz w:val="22"/>
          <w:szCs w:val="21"/>
          <w:highlight w:val="none"/>
        </w:rPr>
      </w:pPr>
    </w:p>
    <w:p w14:paraId="140879EA">
      <w:pPr>
        <w:rPr>
          <w:rFonts w:ascii="新宋体" w:hAnsi="新宋体" w:eastAsia="新宋体" w:cs="新宋体"/>
          <w:color w:val="auto"/>
          <w:highlight w:val="none"/>
        </w:rPr>
      </w:pPr>
    </w:p>
    <w:p w14:paraId="4B7B4B5C">
      <w:pPr>
        <w:rPr>
          <w:rFonts w:ascii="新宋体" w:hAnsi="新宋体" w:eastAsia="新宋体" w:cs="新宋体"/>
          <w:color w:val="auto"/>
          <w:highlight w:val="none"/>
        </w:rPr>
      </w:pPr>
    </w:p>
    <w:p w14:paraId="163BA086">
      <w:pPr>
        <w:pStyle w:val="9"/>
        <w:ind w:firstLine="442"/>
        <w:rPr>
          <w:rFonts w:ascii="新宋体" w:hAnsi="新宋体" w:eastAsia="新宋体" w:cs="新宋体"/>
          <w:b/>
          <w:color w:val="auto"/>
          <w:sz w:val="22"/>
          <w:szCs w:val="21"/>
          <w:highlight w:val="none"/>
        </w:rPr>
      </w:pPr>
    </w:p>
    <w:p w14:paraId="19EA7FA6">
      <w:pPr>
        <w:pStyle w:val="9"/>
        <w:ind w:firstLine="0" w:firstLineChars="0"/>
        <w:rPr>
          <w:rFonts w:ascii="新宋体" w:hAnsi="新宋体" w:eastAsia="新宋体" w:cs="新宋体"/>
          <w:b/>
          <w:color w:val="auto"/>
          <w:sz w:val="22"/>
          <w:szCs w:val="21"/>
          <w:highlight w:val="none"/>
        </w:rPr>
      </w:pPr>
    </w:p>
    <w:p w14:paraId="44E748F0">
      <w:pPr>
        <w:spacing w:line="40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lang w:val="en-US" w:eastAsia="zh-CN"/>
        </w:rPr>
        <w:t>10</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投标配套设备</w:t>
      </w:r>
    </w:p>
    <w:p w14:paraId="738E3B7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WZLCZB（L）-2025-03069</w:t>
      </w:r>
    </w:p>
    <w:p w14:paraId="01079B34">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多导睡眠监测系统、便携睡眠监测仪、呼吸机</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986A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3A143B81">
            <w:pPr>
              <w:pStyle w:val="296"/>
              <w:spacing w:after="0" w:line="460" w:lineRule="exact"/>
              <w:rPr>
                <w:rFonts w:ascii="新宋体" w:hAnsi="新宋体" w:eastAsia="新宋体" w:cs="新宋体"/>
                <w:color w:val="auto"/>
                <w:highlight w:val="none"/>
              </w:rPr>
            </w:pPr>
          </w:p>
        </w:tc>
      </w:tr>
    </w:tbl>
    <w:p w14:paraId="715EC15F">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544CD3C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573531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CC4878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B001686">
      <w:pPr>
        <w:bidi w:val="0"/>
        <w:rPr>
          <w:color w:val="auto"/>
          <w:highlight w:val="none"/>
        </w:rPr>
      </w:pPr>
    </w:p>
    <w:p w14:paraId="301895E7">
      <w:pPr>
        <w:rPr>
          <w:rFonts w:ascii="新宋体" w:hAnsi="新宋体" w:eastAsia="新宋体" w:cs="新宋体"/>
          <w:color w:val="auto"/>
          <w:highlight w:val="none"/>
        </w:rPr>
      </w:pPr>
    </w:p>
    <w:p w14:paraId="35A828A1">
      <w:pPr>
        <w:rPr>
          <w:rFonts w:ascii="新宋体" w:hAnsi="新宋体" w:eastAsia="新宋体" w:cs="新宋体"/>
          <w:color w:val="auto"/>
          <w:highlight w:val="none"/>
        </w:rPr>
      </w:pPr>
    </w:p>
    <w:p w14:paraId="7E33ECCF">
      <w:pPr>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lang w:val="zh-CN"/>
        </w:rPr>
        <w:br w:type="page"/>
      </w:r>
      <w:r>
        <w:rPr>
          <w:rFonts w:hint="eastAsia" w:ascii="新宋体" w:hAnsi="新宋体" w:eastAsia="新宋体" w:cs="新宋体"/>
          <w:b/>
          <w:bCs/>
          <w:color w:val="auto"/>
          <w:sz w:val="28"/>
          <w:szCs w:val="28"/>
          <w:highlight w:val="none"/>
          <w:lang w:val="en-US" w:eastAsia="zh-CN"/>
        </w:rPr>
        <w:t>11</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投标设备技术指标</w:t>
      </w:r>
    </w:p>
    <w:p w14:paraId="4E90AF9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WZLCZB（L）-2025-03069</w:t>
      </w:r>
    </w:p>
    <w:p w14:paraId="685229F1">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多导睡眠监测系统、便携睡眠监测仪、呼吸机</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3504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110C7663">
            <w:pPr>
              <w:pStyle w:val="296"/>
              <w:spacing w:after="0" w:line="460" w:lineRule="exact"/>
              <w:rPr>
                <w:rFonts w:ascii="新宋体" w:hAnsi="新宋体" w:eastAsia="新宋体" w:cs="新宋体"/>
                <w:color w:val="auto"/>
                <w:highlight w:val="none"/>
              </w:rPr>
            </w:pPr>
          </w:p>
        </w:tc>
      </w:tr>
    </w:tbl>
    <w:p w14:paraId="4B6CCAF7">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3117F9B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0AB3E0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10E85D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7523B7E">
      <w:pPr>
        <w:rPr>
          <w:rFonts w:ascii="新宋体" w:hAnsi="新宋体" w:eastAsia="新宋体" w:cs="新宋体"/>
          <w:color w:val="auto"/>
          <w:highlight w:val="none"/>
          <w:lang w:val="zh-CN"/>
        </w:rPr>
      </w:pPr>
    </w:p>
    <w:p w14:paraId="2BEF4629">
      <w:pPr>
        <w:rPr>
          <w:rFonts w:ascii="新宋体" w:hAnsi="新宋体" w:eastAsia="新宋体" w:cs="新宋体"/>
          <w:color w:val="auto"/>
          <w:highlight w:val="none"/>
          <w:lang w:val="zh-CN"/>
        </w:rPr>
        <w:sectPr>
          <w:footerReference r:id="rId5" w:type="default"/>
          <w:pgSz w:w="11907" w:h="16840"/>
          <w:pgMar w:top="1134" w:right="1134" w:bottom="1134" w:left="1134" w:header="851" w:footer="992" w:gutter="0"/>
          <w:cols w:space="720" w:num="1"/>
          <w:docGrid w:linePitch="312" w:charSpace="0"/>
        </w:sectPr>
      </w:pPr>
    </w:p>
    <w:p w14:paraId="10E6DBF7">
      <w:pPr>
        <w:spacing w:line="40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2</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投标机型的档次</w:t>
      </w:r>
    </w:p>
    <w:p w14:paraId="6C33CA4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WZLCZB（L）-2025-03069</w:t>
      </w:r>
    </w:p>
    <w:p w14:paraId="469384E9">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多导睡眠监测系统、便携睡眠监测仪、呼吸机</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F9EE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2E170AA2">
            <w:pPr>
              <w:pStyle w:val="296"/>
              <w:spacing w:after="0" w:line="460" w:lineRule="exact"/>
              <w:rPr>
                <w:rFonts w:ascii="新宋体" w:hAnsi="新宋体" w:eastAsia="新宋体" w:cs="新宋体"/>
                <w:color w:val="auto"/>
                <w:highlight w:val="none"/>
              </w:rPr>
            </w:pPr>
          </w:p>
        </w:tc>
      </w:tr>
    </w:tbl>
    <w:p w14:paraId="2EB30B12">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03D05A2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927EE61">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2F2EEF4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21C84CC">
      <w:pPr>
        <w:rPr>
          <w:rFonts w:ascii="新宋体" w:hAnsi="新宋体" w:eastAsia="新宋体" w:cs="新宋体"/>
          <w:color w:val="auto"/>
          <w:highlight w:val="none"/>
        </w:rPr>
      </w:pPr>
    </w:p>
    <w:p w14:paraId="27377A13">
      <w:pPr>
        <w:rPr>
          <w:rFonts w:ascii="新宋体" w:hAnsi="新宋体" w:eastAsia="新宋体" w:cs="新宋体"/>
          <w:color w:val="auto"/>
          <w:highlight w:val="none"/>
        </w:rPr>
        <w:sectPr>
          <w:pgSz w:w="11907" w:h="16840"/>
          <w:pgMar w:top="1134" w:right="1134" w:bottom="1134" w:left="1134" w:header="851" w:footer="992" w:gutter="0"/>
          <w:cols w:space="720" w:num="1"/>
          <w:docGrid w:linePitch="312" w:charSpace="0"/>
        </w:sectPr>
      </w:pPr>
    </w:p>
    <w:p w14:paraId="1DDF84F7">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3</w:t>
      </w:r>
      <w:r>
        <w:rPr>
          <w:rFonts w:hint="eastAsia" w:ascii="新宋体" w:hAnsi="新宋体" w:eastAsia="新宋体" w:cs="新宋体"/>
          <w:b/>
          <w:bCs/>
          <w:color w:val="auto"/>
          <w:sz w:val="28"/>
          <w:szCs w:val="28"/>
          <w:highlight w:val="none"/>
        </w:rPr>
        <w:t>、运行成本</w:t>
      </w:r>
    </w:p>
    <w:p w14:paraId="56C8798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WZLCZB（L）-2025-03069</w:t>
      </w:r>
    </w:p>
    <w:p w14:paraId="3D98B513">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kern w:val="2"/>
          <w:sz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多导睡眠监测系统、便携睡眠监测仪、呼吸机</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5F5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772A6E96">
            <w:pPr>
              <w:pStyle w:val="296"/>
              <w:spacing w:after="0" w:line="460" w:lineRule="exact"/>
              <w:rPr>
                <w:rFonts w:ascii="新宋体" w:hAnsi="新宋体" w:eastAsia="新宋体" w:cs="新宋体"/>
                <w:color w:val="auto"/>
                <w:highlight w:val="none"/>
              </w:rPr>
            </w:pPr>
          </w:p>
        </w:tc>
      </w:tr>
    </w:tbl>
    <w:p w14:paraId="24BEDD55">
      <w:pPr>
        <w:rPr>
          <w:rFonts w:ascii="新宋体" w:hAnsi="新宋体" w:eastAsia="新宋体" w:cs="新宋体"/>
          <w:b/>
          <w:color w:val="auto"/>
          <w:sz w:val="22"/>
          <w:highlight w:val="none"/>
        </w:rPr>
      </w:pPr>
    </w:p>
    <w:p w14:paraId="55EE1E21">
      <w:pPr>
        <w:rPr>
          <w:rFonts w:ascii="新宋体" w:hAnsi="新宋体" w:eastAsia="新宋体" w:cs="新宋体"/>
          <w:b/>
          <w:color w:val="auto"/>
          <w:sz w:val="22"/>
          <w:highlight w:val="none"/>
        </w:rPr>
      </w:pPr>
    </w:p>
    <w:p w14:paraId="76198CAE">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D75160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F1BB0A9">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0C729AC">
      <w:pPr>
        <w:rPr>
          <w:rFonts w:ascii="新宋体" w:hAnsi="新宋体" w:eastAsia="新宋体" w:cs="新宋体"/>
          <w:color w:val="auto"/>
          <w:highlight w:val="none"/>
        </w:rPr>
      </w:pPr>
    </w:p>
    <w:p w14:paraId="64F353F6">
      <w:pPr>
        <w:pStyle w:val="9"/>
        <w:ind w:firstLine="400"/>
        <w:rPr>
          <w:rFonts w:ascii="新宋体" w:hAnsi="新宋体" w:eastAsia="新宋体" w:cs="新宋体"/>
          <w:color w:val="auto"/>
          <w:highlight w:val="none"/>
        </w:rPr>
      </w:pPr>
    </w:p>
    <w:p w14:paraId="2CD85564">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4</w:t>
      </w:r>
      <w:r>
        <w:rPr>
          <w:rFonts w:hint="eastAsia" w:ascii="新宋体" w:hAnsi="新宋体" w:eastAsia="新宋体" w:cs="新宋体"/>
          <w:b/>
          <w:bCs/>
          <w:color w:val="auto"/>
          <w:sz w:val="28"/>
          <w:szCs w:val="28"/>
          <w:highlight w:val="none"/>
        </w:rPr>
        <w:t>、维修成本</w:t>
      </w:r>
    </w:p>
    <w:p w14:paraId="4F8D82D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WZLCZB（L）-2025-03069</w:t>
      </w:r>
    </w:p>
    <w:p w14:paraId="07B588BF">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kern w:val="2"/>
          <w:sz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多导睡眠监测系统、便携睡眠监测仪、呼吸机</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FBDE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61E8CA27">
            <w:pPr>
              <w:pStyle w:val="296"/>
              <w:spacing w:after="0" w:line="460" w:lineRule="exact"/>
              <w:rPr>
                <w:rFonts w:ascii="新宋体" w:hAnsi="新宋体" w:eastAsia="新宋体" w:cs="新宋体"/>
                <w:color w:val="auto"/>
                <w:highlight w:val="none"/>
              </w:rPr>
            </w:pPr>
          </w:p>
        </w:tc>
      </w:tr>
    </w:tbl>
    <w:p w14:paraId="150949E7">
      <w:pPr>
        <w:rPr>
          <w:rFonts w:ascii="新宋体" w:hAnsi="新宋体" w:eastAsia="新宋体" w:cs="新宋体"/>
          <w:b/>
          <w:color w:val="auto"/>
          <w:sz w:val="22"/>
          <w:highlight w:val="none"/>
        </w:rPr>
      </w:pPr>
    </w:p>
    <w:p w14:paraId="269D8338">
      <w:pPr>
        <w:rPr>
          <w:rFonts w:ascii="新宋体" w:hAnsi="新宋体" w:eastAsia="新宋体" w:cs="新宋体"/>
          <w:b/>
          <w:color w:val="auto"/>
          <w:sz w:val="22"/>
          <w:highlight w:val="none"/>
        </w:rPr>
      </w:pPr>
    </w:p>
    <w:p w14:paraId="735156E6">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29E49F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E867DF0">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5AAAE0BC">
      <w:pPr>
        <w:rPr>
          <w:rFonts w:ascii="新宋体" w:hAnsi="新宋体" w:eastAsia="新宋体" w:cs="新宋体"/>
          <w:color w:val="auto"/>
          <w:highlight w:val="none"/>
        </w:rPr>
      </w:pPr>
    </w:p>
    <w:p w14:paraId="38009A9E">
      <w:pPr>
        <w:pStyle w:val="9"/>
        <w:ind w:firstLine="0" w:firstLineChars="0"/>
        <w:rPr>
          <w:rFonts w:ascii="新宋体" w:hAnsi="新宋体" w:eastAsia="新宋体" w:cs="新宋体"/>
          <w:color w:val="auto"/>
          <w:highlight w:val="none"/>
          <w:lang w:val="zh-CN"/>
        </w:rPr>
      </w:pPr>
    </w:p>
    <w:p w14:paraId="0706E54E">
      <w:pPr>
        <w:spacing w:line="40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5</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业绩</w:t>
      </w:r>
    </w:p>
    <w:p w14:paraId="383E25B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WZLCZB（L）-2025-03069</w:t>
      </w:r>
    </w:p>
    <w:p w14:paraId="340EC73D">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多导睡眠监测系统、便携睡眠监测仪、呼吸机</w:t>
      </w:r>
    </w:p>
    <w:tbl>
      <w:tblPr>
        <w:tblStyle w:val="52"/>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14:paraId="5E179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3FA9735">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520" w:type="dxa"/>
            <w:vAlign w:val="center"/>
          </w:tcPr>
          <w:p w14:paraId="6D6A559A">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用户名称</w:t>
            </w:r>
          </w:p>
        </w:tc>
        <w:tc>
          <w:tcPr>
            <w:tcW w:w="2310" w:type="dxa"/>
            <w:vAlign w:val="center"/>
          </w:tcPr>
          <w:p w14:paraId="3BB87E19">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p>
        </w:tc>
        <w:tc>
          <w:tcPr>
            <w:tcW w:w="1271" w:type="dxa"/>
            <w:vAlign w:val="center"/>
          </w:tcPr>
          <w:p w14:paraId="6B994426">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合同金额</w:t>
            </w:r>
          </w:p>
        </w:tc>
        <w:tc>
          <w:tcPr>
            <w:tcW w:w="1596" w:type="dxa"/>
            <w:vAlign w:val="center"/>
          </w:tcPr>
          <w:p w14:paraId="6E31F448">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联系方式</w:t>
            </w:r>
          </w:p>
        </w:tc>
        <w:tc>
          <w:tcPr>
            <w:tcW w:w="1128" w:type="dxa"/>
            <w:vAlign w:val="center"/>
          </w:tcPr>
          <w:p w14:paraId="42B9F110">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457CE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251B843">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2520" w:type="dxa"/>
            <w:vAlign w:val="center"/>
          </w:tcPr>
          <w:p w14:paraId="75AF82BA">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2310" w:type="dxa"/>
            <w:vAlign w:val="center"/>
          </w:tcPr>
          <w:p w14:paraId="6F0ADAFD">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1271" w:type="dxa"/>
            <w:vAlign w:val="center"/>
          </w:tcPr>
          <w:p w14:paraId="2CF97A46">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1596" w:type="dxa"/>
            <w:vAlign w:val="center"/>
          </w:tcPr>
          <w:p w14:paraId="37907C41">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1128" w:type="dxa"/>
            <w:vAlign w:val="center"/>
          </w:tcPr>
          <w:p w14:paraId="46B77A09">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r>
      <w:tr w14:paraId="6F40E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7F71B6A">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2520" w:type="dxa"/>
            <w:vAlign w:val="center"/>
          </w:tcPr>
          <w:p w14:paraId="07775E25">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2310" w:type="dxa"/>
            <w:vAlign w:val="center"/>
          </w:tcPr>
          <w:p w14:paraId="6FE69760">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1271" w:type="dxa"/>
            <w:vAlign w:val="center"/>
          </w:tcPr>
          <w:p w14:paraId="71F7268A">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1596" w:type="dxa"/>
            <w:vAlign w:val="center"/>
          </w:tcPr>
          <w:p w14:paraId="7F1297C9">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1128" w:type="dxa"/>
            <w:vAlign w:val="center"/>
          </w:tcPr>
          <w:p w14:paraId="27E60EB6">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r>
      <w:tr w14:paraId="3222A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D74EFB1">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2520" w:type="dxa"/>
            <w:vAlign w:val="center"/>
          </w:tcPr>
          <w:p w14:paraId="766E7459">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2310" w:type="dxa"/>
            <w:vAlign w:val="center"/>
          </w:tcPr>
          <w:p w14:paraId="57882CA8">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1271" w:type="dxa"/>
            <w:vAlign w:val="center"/>
          </w:tcPr>
          <w:p w14:paraId="48577C63">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1596" w:type="dxa"/>
            <w:vAlign w:val="center"/>
          </w:tcPr>
          <w:p w14:paraId="004AB5C5">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c>
          <w:tcPr>
            <w:tcW w:w="1128" w:type="dxa"/>
            <w:vAlign w:val="center"/>
          </w:tcPr>
          <w:p w14:paraId="4A02AD5B">
            <w:pPr>
              <w:keepNext w:val="0"/>
              <w:keepLines w:val="0"/>
              <w:pageBreakBefore w:val="0"/>
              <w:widowControl w:val="0"/>
              <w:kinsoku/>
              <w:wordWrap/>
              <w:overflowPunct/>
              <w:topLinePunct w:val="0"/>
              <w:autoSpaceDE/>
              <w:autoSpaceDN/>
              <w:bidi w:val="0"/>
              <w:adjustRightInd/>
              <w:snapToGrid/>
              <w:spacing w:line="460" w:lineRule="exact"/>
              <w:ind w:left="442" w:hanging="442"/>
              <w:jc w:val="center"/>
              <w:textAlignment w:val="auto"/>
              <w:rPr>
                <w:rFonts w:ascii="新宋体" w:hAnsi="新宋体" w:eastAsia="新宋体" w:cs="新宋体"/>
                <w:b/>
                <w:bCs/>
                <w:color w:val="auto"/>
                <w:sz w:val="22"/>
                <w:szCs w:val="22"/>
                <w:highlight w:val="none"/>
              </w:rPr>
            </w:pPr>
          </w:p>
        </w:tc>
      </w:tr>
      <w:tr w14:paraId="4B945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6BCD27B">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2838C917">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DF6E0A4">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A916FE2">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5A6738E">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60543AF0">
            <w:pPr>
              <w:spacing w:line="380" w:lineRule="exact"/>
              <w:ind w:left="442" w:hanging="442"/>
              <w:jc w:val="center"/>
              <w:rPr>
                <w:rFonts w:ascii="新宋体" w:hAnsi="新宋体" w:eastAsia="新宋体" w:cs="新宋体"/>
                <w:b/>
                <w:bCs/>
                <w:color w:val="auto"/>
                <w:sz w:val="22"/>
                <w:szCs w:val="22"/>
                <w:highlight w:val="none"/>
              </w:rPr>
            </w:pPr>
          </w:p>
        </w:tc>
      </w:tr>
      <w:tr w14:paraId="20FD2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FB3ED24">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412BF22F">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B6E3DE7">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1FCC0E37">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69EBD37">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1025A720">
            <w:pPr>
              <w:spacing w:line="380" w:lineRule="exact"/>
              <w:ind w:left="442" w:hanging="442"/>
              <w:jc w:val="center"/>
              <w:rPr>
                <w:rFonts w:ascii="新宋体" w:hAnsi="新宋体" w:eastAsia="新宋体" w:cs="新宋体"/>
                <w:b/>
                <w:bCs/>
                <w:color w:val="auto"/>
                <w:sz w:val="22"/>
                <w:szCs w:val="22"/>
                <w:highlight w:val="none"/>
              </w:rPr>
            </w:pPr>
          </w:p>
        </w:tc>
      </w:tr>
      <w:tr w14:paraId="62D1F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19B12D38">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479B239">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10D564F9">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A3C5E5B">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785E07D">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6FB9CEFE">
            <w:pPr>
              <w:spacing w:line="380" w:lineRule="exact"/>
              <w:ind w:left="442" w:hanging="442"/>
              <w:jc w:val="center"/>
              <w:rPr>
                <w:rFonts w:ascii="新宋体" w:hAnsi="新宋体" w:eastAsia="新宋体" w:cs="新宋体"/>
                <w:b/>
                <w:bCs/>
                <w:color w:val="auto"/>
                <w:sz w:val="22"/>
                <w:szCs w:val="22"/>
                <w:highlight w:val="none"/>
              </w:rPr>
            </w:pPr>
          </w:p>
        </w:tc>
      </w:tr>
      <w:tr w14:paraId="090E9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50E0A80">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175D572C">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1FF33D9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B10DA41">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3951694">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7EE9657D">
            <w:pPr>
              <w:spacing w:line="380" w:lineRule="exact"/>
              <w:ind w:left="442" w:hanging="442"/>
              <w:jc w:val="center"/>
              <w:rPr>
                <w:rFonts w:ascii="新宋体" w:hAnsi="新宋体" w:eastAsia="新宋体" w:cs="新宋体"/>
                <w:b/>
                <w:bCs/>
                <w:color w:val="auto"/>
                <w:sz w:val="22"/>
                <w:szCs w:val="22"/>
                <w:highlight w:val="none"/>
              </w:rPr>
            </w:pPr>
          </w:p>
        </w:tc>
      </w:tr>
      <w:tr w14:paraId="35D41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E5055D5">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6753A443">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71638472">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4A5AD727">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5B20CD6C">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B9338AB">
            <w:pPr>
              <w:spacing w:line="380" w:lineRule="exact"/>
              <w:ind w:left="442" w:hanging="442"/>
              <w:jc w:val="center"/>
              <w:rPr>
                <w:rFonts w:ascii="新宋体" w:hAnsi="新宋体" w:eastAsia="新宋体" w:cs="新宋体"/>
                <w:b/>
                <w:bCs/>
                <w:color w:val="auto"/>
                <w:sz w:val="22"/>
                <w:szCs w:val="22"/>
                <w:highlight w:val="none"/>
              </w:rPr>
            </w:pPr>
          </w:p>
        </w:tc>
      </w:tr>
      <w:tr w14:paraId="76EDB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62EBF9B">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F3D0EF0">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CF3E193">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2FAA9F5C">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97CBF74">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27F40E5">
            <w:pPr>
              <w:spacing w:line="380" w:lineRule="exact"/>
              <w:ind w:left="442" w:hanging="442"/>
              <w:jc w:val="center"/>
              <w:rPr>
                <w:rFonts w:ascii="新宋体" w:hAnsi="新宋体" w:eastAsia="新宋体" w:cs="新宋体"/>
                <w:b/>
                <w:bCs/>
                <w:color w:val="auto"/>
                <w:sz w:val="22"/>
                <w:szCs w:val="22"/>
                <w:highlight w:val="none"/>
              </w:rPr>
            </w:pPr>
          </w:p>
        </w:tc>
      </w:tr>
      <w:tr w14:paraId="5FEE2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B904E92">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693CB26B">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A82FE9C">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D1259CF">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100BB6AB">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5795BBBB">
            <w:pPr>
              <w:spacing w:line="380" w:lineRule="exact"/>
              <w:ind w:left="442" w:hanging="442"/>
              <w:jc w:val="center"/>
              <w:rPr>
                <w:rFonts w:ascii="新宋体" w:hAnsi="新宋体" w:eastAsia="新宋体" w:cs="新宋体"/>
                <w:b/>
                <w:bCs/>
                <w:color w:val="auto"/>
                <w:sz w:val="22"/>
                <w:szCs w:val="22"/>
                <w:highlight w:val="none"/>
              </w:rPr>
            </w:pPr>
          </w:p>
        </w:tc>
      </w:tr>
      <w:tr w14:paraId="7F14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19ADB3A">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1A134BA4">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31A82E2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377C56C">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4CE4C0BD">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7AC94D9">
            <w:pPr>
              <w:spacing w:line="380" w:lineRule="exact"/>
              <w:ind w:left="442" w:hanging="442"/>
              <w:jc w:val="center"/>
              <w:rPr>
                <w:rFonts w:ascii="新宋体" w:hAnsi="新宋体" w:eastAsia="新宋体" w:cs="新宋体"/>
                <w:b/>
                <w:bCs/>
                <w:color w:val="auto"/>
                <w:sz w:val="22"/>
                <w:szCs w:val="22"/>
                <w:highlight w:val="none"/>
              </w:rPr>
            </w:pPr>
          </w:p>
        </w:tc>
      </w:tr>
      <w:tr w14:paraId="23B5C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0CF31F3">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2497758">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49923316">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C2397FD">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BE3B5CF">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047A7F6">
            <w:pPr>
              <w:spacing w:line="380" w:lineRule="exact"/>
              <w:ind w:left="442" w:hanging="442"/>
              <w:jc w:val="center"/>
              <w:rPr>
                <w:rFonts w:ascii="新宋体" w:hAnsi="新宋体" w:eastAsia="新宋体" w:cs="新宋体"/>
                <w:b/>
                <w:bCs/>
                <w:color w:val="auto"/>
                <w:sz w:val="22"/>
                <w:szCs w:val="22"/>
                <w:highlight w:val="none"/>
              </w:rPr>
            </w:pPr>
          </w:p>
        </w:tc>
      </w:tr>
      <w:tr w14:paraId="08654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2315357">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65B9F62">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3ECAA990">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095D9C3E">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A1DB66C">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59FFB4F">
            <w:pPr>
              <w:spacing w:line="380" w:lineRule="exact"/>
              <w:ind w:left="442" w:hanging="442"/>
              <w:jc w:val="center"/>
              <w:rPr>
                <w:rFonts w:ascii="新宋体" w:hAnsi="新宋体" w:eastAsia="新宋体" w:cs="新宋体"/>
                <w:b/>
                <w:bCs/>
                <w:color w:val="auto"/>
                <w:sz w:val="22"/>
                <w:szCs w:val="22"/>
                <w:highlight w:val="none"/>
              </w:rPr>
            </w:pPr>
          </w:p>
        </w:tc>
      </w:tr>
      <w:tr w14:paraId="7F91A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3EAC422">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42DAB525">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C7F9EB7">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4BA84F8">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738C443">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7E392CC">
            <w:pPr>
              <w:spacing w:line="380" w:lineRule="exact"/>
              <w:ind w:left="442" w:hanging="442"/>
              <w:jc w:val="center"/>
              <w:rPr>
                <w:rFonts w:ascii="新宋体" w:hAnsi="新宋体" w:eastAsia="新宋体" w:cs="新宋体"/>
                <w:b/>
                <w:bCs/>
                <w:color w:val="auto"/>
                <w:sz w:val="22"/>
                <w:szCs w:val="22"/>
                <w:highlight w:val="none"/>
              </w:rPr>
            </w:pPr>
          </w:p>
        </w:tc>
      </w:tr>
    </w:tbl>
    <w:p w14:paraId="2A8F6E10">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highlight w:val="none"/>
        </w:rPr>
      </w:pPr>
    </w:p>
    <w:p w14:paraId="3FADF94C">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F77A896">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FCEC214">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50B6094">
      <w:pPr>
        <w:rPr>
          <w:rFonts w:ascii="新宋体" w:hAnsi="新宋体" w:eastAsia="新宋体" w:cs="新宋体"/>
          <w:color w:val="auto"/>
          <w:highlight w:val="none"/>
        </w:rPr>
      </w:pPr>
    </w:p>
    <w:p w14:paraId="668BFCD8">
      <w:pPr>
        <w:rPr>
          <w:rFonts w:ascii="新宋体" w:hAnsi="新宋体" w:eastAsia="新宋体" w:cs="新宋体"/>
          <w:color w:val="auto"/>
          <w:highlight w:val="none"/>
        </w:rPr>
        <w:sectPr>
          <w:pgSz w:w="11907" w:h="16840"/>
          <w:pgMar w:top="1134" w:right="1134" w:bottom="1134" w:left="1134" w:header="851" w:footer="992" w:gutter="0"/>
          <w:cols w:space="720" w:num="1"/>
          <w:docGrid w:linePitch="312" w:charSpace="0"/>
        </w:sectPr>
      </w:pPr>
    </w:p>
    <w:p w14:paraId="46A824BF">
      <w:pPr>
        <w:spacing w:line="40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6</w:t>
      </w:r>
      <w:r>
        <w:rPr>
          <w:rFonts w:hint="eastAsia" w:ascii="新宋体" w:hAnsi="新宋体" w:eastAsia="新宋体" w:cs="新宋体"/>
          <w:b/>
          <w:bCs/>
          <w:color w:val="auto"/>
          <w:sz w:val="28"/>
          <w:szCs w:val="28"/>
          <w:highlight w:val="none"/>
        </w:rPr>
        <w:t>、制造商或代理商售后服务能力</w:t>
      </w:r>
    </w:p>
    <w:p w14:paraId="09B9F87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WZLCZB（L）-2025-03069</w:t>
      </w:r>
    </w:p>
    <w:p w14:paraId="33BAD4B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多导睡眠监测系统、便携睡眠监测仪、呼吸机</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196D5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221D7483">
            <w:pPr>
              <w:pStyle w:val="296"/>
              <w:keepLines w:val="0"/>
              <w:pageBreakBefore w:val="0"/>
              <w:widowControl w:val="0"/>
              <w:kinsoku/>
              <w:wordWrap/>
              <w:overflowPunct/>
              <w:topLinePunct w:val="0"/>
              <w:autoSpaceDE/>
              <w:autoSpaceDN/>
              <w:bidi w:val="0"/>
              <w:adjustRightInd/>
              <w:snapToGrid/>
              <w:spacing w:after="0" w:line="460" w:lineRule="exact"/>
              <w:textAlignment w:val="auto"/>
              <w:rPr>
                <w:rFonts w:ascii="新宋体" w:hAnsi="新宋体" w:eastAsia="新宋体" w:cs="新宋体"/>
                <w:color w:val="auto"/>
                <w:highlight w:val="none"/>
              </w:rPr>
            </w:pPr>
          </w:p>
        </w:tc>
      </w:tr>
    </w:tbl>
    <w:p w14:paraId="684264D5">
      <w:pPr>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4F66264E">
      <w:pPr>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065D3BF">
      <w:pPr>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4F81C32">
      <w:pPr>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9294A92">
      <w:pPr>
        <w:rPr>
          <w:rFonts w:ascii="新宋体" w:hAnsi="新宋体" w:eastAsia="新宋体" w:cs="新宋体"/>
          <w:color w:val="auto"/>
          <w:highlight w:val="none"/>
        </w:rPr>
      </w:pPr>
    </w:p>
    <w:p w14:paraId="08BF0A63">
      <w:pPr>
        <w:rPr>
          <w:rFonts w:ascii="新宋体" w:hAnsi="新宋体" w:eastAsia="新宋体" w:cs="新宋体"/>
          <w:color w:val="auto"/>
          <w:highlight w:val="none"/>
          <w:lang w:val="zh-CN"/>
        </w:rPr>
        <w:sectPr>
          <w:pgSz w:w="11907" w:h="16840"/>
          <w:pgMar w:top="1134" w:right="1134" w:bottom="1134" w:left="1134" w:header="851" w:footer="992" w:gutter="0"/>
          <w:cols w:space="720" w:num="1"/>
          <w:docGrid w:linePitch="312" w:charSpace="0"/>
        </w:sectPr>
      </w:pPr>
    </w:p>
    <w:p w14:paraId="7A6E8A08">
      <w:pPr>
        <w:spacing w:line="40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7</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环境标志产品、节能产品</w:t>
      </w:r>
    </w:p>
    <w:p w14:paraId="47A8FD4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WZLCZB（L）-2025-03069</w:t>
      </w:r>
    </w:p>
    <w:p w14:paraId="1B7D57F5">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多导睡眠监测系统、便携睡眠监测仪、呼吸机</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9E0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48914ED5">
            <w:pPr>
              <w:pStyle w:val="296"/>
              <w:spacing w:after="0" w:line="460" w:lineRule="exact"/>
              <w:rPr>
                <w:rFonts w:ascii="新宋体" w:hAnsi="新宋体" w:eastAsia="新宋体" w:cs="新宋体"/>
                <w:color w:val="auto"/>
                <w:highlight w:val="none"/>
              </w:rPr>
            </w:pPr>
          </w:p>
        </w:tc>
      </w:tr>
    </w:tbl>
    <w:p w14:paraId="37212C4E">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61E49897">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7B266128">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E17E4D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2CBE48F">
      <w:pPr>
        <w:spacing w:line="460" w:lineRule="exact"/>
        <w:ind w:firstLine="541" w:firstLineChars="245"/>
        <w:rPr>
          <w:rFonts w:ascii="新宋体" w:hAnsi="新宋体" w:eastAsia="新宋体" w:cs="新宋体"/>
          <w:b/>
          <w:bCs/>
          <w:color w:val="auto"/>
          <w:sz w:val="22"/>
          <w:szCs w:val="22"/>
          <w:highlight w:val="none"/>
        </w:rPr>
      </w:pPr>
    </w:p>
    <w:p w14:paraId="3A0D7531">
      <w:pPr>
        <w:rPr>
          <w:rFonts w:ascii="新宋体" w:hAnsi="新宋体" w:eastAsia="新宋体" w:cs="新宋体"/>
          <w:b/>
          <w:color w:val="auto"/>
          <w:sz w:val="24"/>
          <w:highlight w:val="none"/>
        </w:rPr>
      </w:pPr>
      <w:r>
        <w:rPr>
          <w:rFonts w:hint="eastAsia" w:ascii="新宋体" w:hAnsi="新宋体" w:eastAsia="新宋体" w:cs="新宋体"/>
          <w:b/>
          <w:color w:val="auto"/>
          <w:sz w:val="24"/>
          <w:highlight w:val="none"/>
        </w:rPr>
        <w:br w:type="page"/>
      </w:r>
    </w:p>
    <w:p w14:paraId="20DF922A">
      <w:pPr>
        <w:pStyle w:val="3"/>
        <w:rPr>
          <w:rFonts w:ascii="新宋体" w:hAnsi="新宋体" w:eastAsia="新宋体" w:cs="新宋体"/>
          <w:color w:val="auto"/>
          <w:highlight w:val="none"/>
        </w:rPr>
      </w:pPr>
      <w:bookmarkStart w:id="44" w:name="_Toc26606"/>
      <w:r>
        <w:rPr>
          <w:rFonts w:hint="eastAsia" w:ascii="新宋体" w:hAnsi="新宋体" w:eastAsia="新宋体" w:cs="新宋体"/>
          <w:color w:val="auto"/>
          <w:highlight w:val="none"/>
        </w:rPr>
        <w:t>第四部分</w:t>
      </w:r>
      <w:bookmarkStart w:id="45" w:name="_Toc10142"/>
      <w:bookmarkStart w:id="46" w:name="_Toc221356895"/>
      <w:bookmarkStart w:id="47" w:name="_Toc221356958"/>
      <w:r>
        <w:rPr>
          <w:rFonts w:hint="eastAsia" w:ascii="新宋体" w:hAnsi="新宋体" w:eastAsia="新宋体" w:cs="新宋体"/>
          <w:color w:val="auto"/>
          <w:highlight w:val="none"/>
        </w:rPr>
        <w:t xml:space="preserve">   项目技术规范和服务要求</w:t>
      </w:r>
      <w:bookmarkEnd w:id="44"/>
      <w:bookmarkEnd w:id="45"/>
    </w:p>
    <w:bookmarkEnd w:id="46"/>
    <w:bookmarkEnd w:id="47"/>
    <w:p w14:paraId="2E6EB805">
      <w:pPr>
        <w:snapToGrid w:val="0"/>
        <w:spacing w:line="460" w:lineRule="exact"/>
        <w:outlineLvl w:val="1"/>
        <w:rPr>
          <w:rFonts w:ascii="新宋体" w:hAnsi="新宋体" w:eastAsia="新宋体" w:cs="新宋体"/>
          <w:b/>
          <w:bCs/>
          <w:color w:val="auto"/>
          <w:sz w:val="22"/>
          <w:szCs w:val="22"/>
          <w:highlight w:val="none"/>
        </w:rPr>
      </w:pPr>
      <w:bookmarkStart w:id="48" w:name="_Toc15349"/>
      <w:r>
        <w:rPr>
          <w:rFonts w:hint="eastAsia" w:ascii="新宋体" w:hAnsi="新宋体" w:eastAsia="新宋体" w:cs="新宋体"/>
          <w:b/>
          <w:bCs/>
          <w:color w:val="auto"/>
          <w:sz w:val="22"/>
          <w:szCs w:val="22"/>
          <w:highlight w:val="none"/>
        </w:rPr>
        <w:t>一、总则</w:t>
      </w:r>
      <w:bookmarkEnd w:id="48"/>
    </w:p>
    <w:p w14:paraId="2D04ECFB">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1、本技术规范要求提出的是最低限度的基本技术要求，并未对所有技术细节作出规定，投标人应提供符合本技术要求和国家标准、行业标准的优质产品。</w:t>
      </w:r>
    </w:p>
    <w:p w14:paraId="2BADED5A">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投标人产品与本技术要求不一致时，投标人应在投标文件中予以说明，并由评标委员会鉴定投标人产品能否达到要求。如投标人没有在投标文件中提出异议，则视为投标人提供的产品完全按照本招标文件要求。</w:t>
      </w:r>
    </w:p>
    <w:p w14:paraId="153DE98C">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3、技术要求及标准的执行</w:t>
      </w:r>
    </w:p>
    <w:p w14:paraId="6AB9C75C">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投标人提供的产品应标明所执行的质量标准，若同一标准已颁发新标准，则按最新标准执行。若同一产品同时有几个标准（国际标准、国家标准、行业标准、企业标准等），则按最高层次的标准执行。</w:t>
      </w:r>
    </w:p>
    <w:p w14:paraId="49221496">
      <w:pPr>
        <w:snapToGrid w:val="0"/>
        <w:spacing w:line="460" w:lineRule="exact"/>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须按国家有关规定及标准完成本次采购产品的供货、运输、装卸、就位、安装、调试、技术培训、检验、通过有关部门验收、维保期服务、产品终身维修等各项工作，并保证投标产品使用的安全性能与检测结果的可靠性。如中标，中标人及制造商对中标产品使用的安全性能与可靠性负全部责任。中标人须随产品提供使用说明书与维保卡。投标人提供相关数据与说明，投标文件须对下列要求作出实质性回应。</w:t>
      </w:r>
    </w:p>
    <w:p w14:paraId="650C2BEA">
      <w:pPr>
        <w:snapToGrid w:val="0"/>
        <w:spacing w:line="460" w:lineRule="exact"/>
        <w:outlineLvl w:val="1"/>
        <w:rPr>
          <w:rFonts w:hint="eastAsia" w:ascii="新宋体" w:hAnsi="新宋体" w:eastAsia="新宋体" w:cs="新宋体"/>
          <w:b/>
          <w:color w:val="auto"/>
          <w:sz w:val="22"/>
          <w:szCs w:val="22"/>
          <w:highlight w:val="none"/>
          <w:lang w:val="en-US" w:eastAsia="zh-CN"/>
        </w:rPr>
      </w:pPr>
      <w:bookmarkStart w:id="49" w:name="_Toc21341"/>
      <w:r>
        <w:rPr>
          <w:rFonts w:hint="eastAsia" w:ascii="新宋体" w:hAnsi="新宋体" w:eastAsia="新宋体" w:cs="新宋体"/>
          <w:b/>
          <w:color w:val="auto"/>
          <w:sz w:val="22"/>
          <w:szCs w:val="22"/>
          <w:highlight w:val="none"/>
        </w:rPr>
        <w:t>二、</w:t>
      </w:r>
      <w:r>
        <w:rPr>
          <w:rFonts w:hint="eastAsia" w:ascii="新宋体" w:hAnsi="新宋体" w:eastAsia="新宋体" w:cs="新宋体"/>
          <w:b/>
          <w:color w:val="auto"/>
          <w:sz w:val="22"/>
          <w:szCs w:val="22"/>
          <w:highlight w:val="none"/>
          <w:lang w:val="en-US" w:eastAsia="zh-CN"/>
        </w:rPr>
        <w:t>项目概况</w:t>
      </w:r>
      <w:bookmarkEnd w:id="49"/>
    </w:p>
    <w:tbl>
      <w:tblPr>
        <w:tblStyle w:val="52"/>
        <w:tblW w:w="955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85"/>
        <w:gridCol w:w="1483"/>
        <w:gridCol w:w="2683"/>
      </w:tblGrid>
      <w:tr w14:paraId="17D24E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5385" w:type="dxa"/>
            <w:tcBorders>
              <w:top w:val="single" w:color="auto" w:sz="4" w:space="0"/>
              <w:left w:val="single" w:color="auto" w:sz="4" w:space="0"/>
              <w:bottom w:val="single" w:color="auto" w:sz="4" w:space="0"/>
              <w:right w:val="single" w:color="auto" w:sz="4" w:space="0"/>
            </w:tcBorders>
            <w:vAlign w:val="center"/>
          </w:tcPr>
          <w:p w14:paraId="3CBDC1D5">
            <w:pPr>
              <w:tabs>
                <w:tab w:val="left" w:pos="360"/>
              </w:tabs>
              <w:snapToGrid w:val="0"/>
              <w:spacing w:line="460" w:lineRule="exact"/>
              <w:jc w:val="center"/>
              <w:rPr>
                <w:rFonts w:hint="eastAsia" w:ascii="新宋体" w:hAnsi="新宋体" w:eastAsia="新宋体" w:cs="新宋体"/>
                <w:b/>
                <w:bCs/>
                <w:color w:val="auto"/>
                <w:sz w:val="22"/>
                <w:szCs w:val="22"/>
                <w:highlight w:val="none"/>
                <w:shd w:val="clear" w:color="auto" w:fill="FFFFFF"/>
              </w:rPr>
            </w:pPr>
            <w:r>
              <w:rPr>
                <w:rFonts w:hint="eastAsia" w:ascii="新宋体" w:hAnsi="新宋体" w:eastAsia="新宋体" w:cs="新宋体"/>
                <w:b/>
                <w:bCs/>
                <w:color w:val="auto"/>
                <w:sz w:val="22"/>
                <w:szCs w:val="22"/>
                <w:highlight w:val="none"/>
                <w:shd w:val="clear" w:color="auto" w:fill="FFFFFF"/>
              </w:rPr>
              <w:t>设备名称</w:t>
            </w:r>
          </w:p>
        </w:tc>
        <w:tc>
          <w:tcPr>
            <w:tcW w:w="1483" w:type="dxa"/>
            <w:tcBorders>
              <w:top w:val="single" w:color="auto" w:sz="4" w:space="0"/>
              <w:left w:val="single" w:color="auto" w:sz="4" w:space="0"/>
              <w:bottom w:val="single" w:color="auto" w:sz="4" w:space="0"/>
              <w:right w:val="single" w:color="auto" w:sz="4" w:space="0"/>
            </w:tcBorders>
            <w:vAlign w:val="center"/>
          </w:tcPr>
          <w:p w14:paraId="2655C7C5">
            <w:pPr>
              <w:tabs>
                <w:tab w:val="left" w:pos="360"/>
              </w:tabs>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预算金额</w:t>
            </w:r>
          </w:p>
        </w:tc>
        <w:tc>
          <w:tcPr>
            <w:tcW w:w="2683" w:type="dxa"/>
            <w:tcBorders>
              <w:top w:val="single" w:color="auto" w:sz="4" w:space="0"/>
              <w:left w:val="single" w:color="auto" w:sz="4" w:space="0"/>
              <w:bottom w:val="single" w:color="auto" w:sz="4" w:space="0"/>
              <w:right w:val="single" w:color="auto" w:sz="4" w:space="0"/>
            </w:tcBorders>
            <w:vAlign w:val="center"/>
          </w:tcPr>
          <w:p w14:paraId="77F6A6AE">
            <w:pPr>
              <w:tabs>
                <w:tab w:val="left" w:pos="360"/>
              </w:tabs>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是否允许进口</w:t>
            </w:r>
          </w:p>
        </w:tc>
      </w:tr>
      <w:tr w14:paraId="12F893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5385" w:type="dxa"/>
            <w:tcBorders>
              <w:top w:val="single" w:color="auto" w:sz="4" w:space="0"/>
              <w:left w:val="single" w:color="auto" w:sz="4" w:space="0"/>
              <w:right w:val="single" w:color="auto" w:sz="4" w:space="0"/>
            </w:tcBorders>
            <w:vAlign w:val="center"/>
          </w:tcPr>
          <w:p w14:paraId="11BE3BEA">
            <w:pPr>
              <w:tabs>
                <w:tab w:val="left" w:pos="360"/>
              </w:tabs>
              <w:snapToGrid w:val="0"/>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eastAsia="zh-CN"/>
              </w:rPr>
              <w:t>多导睡眠监测系统、便携睡眠监测仪、呼吸机</w:t>
            </w:r>
          </w:p>
        </w:tc>
        <w:tc>
          <w:tcPr>
            <w:tcW w:w="1483" w:type="dxa"/>
            <w:tcBorders>
              <w:top w:val="single" w:color="auto" w:sz="4" w:space="0"/>
              <w:left w:val="single" w:color="auto" w:sz="4" w:space="0"/>
              <w:right w:val="single" w:color="auto" w:sz="4" w:space="0"/>
            </w:tcBorders>
            <w:vAlign w:val="center"/>
          </w:tcPr>
          <w:p w14:paraId="159FC5B6">
            <w:pPr>
              <w:snapToGrid w:val="0"/>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eastAsia="zh-CN"/>
              </w:rPr>
              <w:t>685000</w:t>
            </w:r>
            <w:r>
              <w:rPr>
                <w:rFonts w:hint="eastAsia" w:ascii="新宋体" w:hAnsi="新宋体" w:eastAsia="新宋体" w:cs="新宋体"/>
                <w:color w:val="auto"/>
                <w:sz w:val="22"/>
                <w:szCs w:val="22"/>
                <w:highlight w:val="none"/>
                <w:lang w:val="en-US" w:eastAsia="zh-CN"/>
              </w:rPr>
              <w:t>元</w:t>
            </w:r>
          </w:p>
        </w:tc>
        <w:tc>
          <w:tcPr>
            <w:tcW w:w="2683" w:type="dxa"/>
            <w:tcBorders>
              <w:top w:val="single" w:color="auto" w:sz="4" w:space="0"/>
              <w:left w:val="single" w:color="auto" w:sz="4" w:space="0"/>
              <w:bottom w:val="single" w:color="auto" w:sz="4" w:space="0"/>
              <w:right w:val="single" w:color="auto" w:sz="4" w:space="0"/>
            </w:tcBorders>
            <w:vAlign w:val="center"/>
          </w:tcPr>
          <w:p w14:paraId="4CF5BF4B">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本项目</w:t>
            </w:r>
            <w:r>
              <w:rPr>
                <w:rFonts w:hint="eastAsia" w:ascii="新宋体" w:hAnsi="新宋体" w:eastAsia="新宋体" w:cs="新宋体"/>
                <w:color w:val="auto"/>
                <w:sz w:val="22"/>
                <w:szCs w:val="22"/>
                <w:highlight w:val="none"/>
              </w:rPr>
              <w:t>允许进口设备投标</w:t>
            </w:r>
          </w:p>
        </w:tc>
      </w:tr>
    </w:tbl>
    <w:p w14:paraId="1DBE01A7">
      <w:pPr>
        <w:snapToGrid w:val="0"/>
        <w:spacing w:line="460" w:lineRule="exact"/>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（一）</w:t>
      </w:r>
      <w:r>
        <w:rPr>
          <w:rFonts w:hint="eastAsia" w:ascii="新宋体" w:hAnsi="新宋体" w:eastAsia="新宋体" w:cs="新宋体"/>
          <w:bCs/>
          <w:color w:val="auto"/>
          <w:sz w:val="22"/>
          <w:szCs w:val="22"/>
          <w:highlight w:val="none"/>
          <w:lang w:val="en-US" w:eastAsia="zh-CN"/>
        </w:rPr>
        <w:t>采购</w:t>
      </w:r>
      <w:r>
        <w:rPr>
          <w:rFonts w:hint="eastAsia" w:ascii="新宋体" w:hAnsi="新宋体" w:eastAsia="新宋体" w:cs="新宋体"/>
          <w:bCs/>
          <w:color w:val="auto"/>
          <w:sz w:val="22"/>
          <w:szCs w:val="22"/>
          <w:highlight w:val="none"/>
        </w:rPr>
        <w:t>清单</w:t>
      </w:r>
    </w:p>
    <w:tbl>
      <w:tblPr>
        <w:tblStyle w:val="53"/>
        <w:tblW w:w="667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085"/>
        <w:gridCol w:w="2715"/>
        <w:gridCol w:w="1245"/>
        <w:gridCol w:w="1625"/>
      </w:tblGrid>
      <w:tr w14:paraId="01FD2F9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085" w:type="dxa"/>
            <w:vAlign w:val="center"/>
          </w:tcPr>
          <w:p w14:paraId="58804142">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715" w:type="dxa"/>
            <w:vAlign w:val="center"/>
          </w:tcPr>
          <w:p w14:paraId="5EA6F8EC">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项目内容</w:t>
            </w:r>
          </w:p>
        </w:tc>
        <w:tc>
          <w:tcPr>
            <w:tcW w:w="1245" w:type="dxa"/>
            <w:vAlign w:val="center"/>
          </w:tcPr>
          <w:p w14:paraId="1D1EAA31">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1625" w:type="dxa"/>
            <w:vAlign w:val="center"/>
          </w:tcPr>
          <w:p w14:paraId="2BC8F337">
            <w:pPr>
              <w:snapToGrid w:val="0"/>
              <w:spacing w:line="460" w:lineRule="exact"/>
              <w:jc w:val="center"/>
              <w:rPr>
                <w:rFonts w:hint="default"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最高限价</w:t>
            </w:r>
          </w:p>
        </w:tc>
      </w:tr>
      <w:tr w14:paraId="42006FC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4" w:hRule="atLeast"/>
          <w:jc w:val="center"/>
        </w:trPr>
        <w:tc>
          <w:tcPr>
            <w:tcW w:w="1085" w:type="dxa"/>
            <w:vAlign w:val="center"/>
          </w:tcPr>
          <w:p w14:paraId="2064F0A7">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715" w:type="dxa"/>
            <w:vAlign w:val="center"/>
          </w:tcPr>
          <w:p w14:paraId="071E24BB">
            <w:pPr>
              <w:snapToGrid w:val="0"/>
              <w:spacing w:line="460" w:lineRule="exact"/>
              <w:jc w:val="center"/>
              <w:rPr>
                <w:rFonts w:hint="eastAsia" w:ascii="新宋体" w:hAnsi="新宋体" w:eastAsia="新宋体" w:cs="新宋体"/>
                <w:color w:val="auto"/>
                <w:sz w:val="22"/>
                <w:szCs w:val="22"/>
                <w:highlight w:val="none"/>
                <w:u w:val="none"/>
              </w:rPr>
            </w:pPr>
            <w:r>
              <w:rPr>
                <w:rFonts w:hint="eastAsia" w:ascii="新宋体" w:hAnsi="新宋体" w:eastAsia="新宋体" w:cs="新宋体"/>
                <w:color w:val="auto"/>
                <w:sz w:val="22"/>
                <w:szCs w:val="22"/>
                <w:highlight w:val="none"/>
                <w:lang w:eastAsia="zh-CN"/>
              </w:rPr>
              <w:t>多导睡眠监测系统</w:t>
            </w:r>
          </w:p>
        </w:tc>
        <w:tc>
          <w:tcPr>
            <w:tcW w:w="1245" w:type="dxa"/>
            <w:vAlign w:val="center"/>
          </w:tcPr>
          <w:p w14:paraId="22207D1C">
            <w:pPr>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val="en-US" w:eastAsia="zh-CN"/>
              </w:rPr>
              <w:t>套</w:t>
            </w:r>
          </w:p>
        </w:tc>
        <w:tc>
          <w:tcPr>
            <w:tcW w:w="1625" w:type="dxa"/>
            <w:vAlign w:val="center"/>
          </w:tcPr>
          <w:p w14:paraId="2B607FF2">
            <w:pPr>
              <w:snapToGrid w:val="0"/>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430000元</w:t>
            </w:r>
          </w:p>
        </w:tc>
      </w:tr>
      <w:tr w14:paraId="24096DE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91" w:hRule="atLeast"/>
          <w:jc w:val="center"/>
        </w:trPr>
        <w:tc>
          <w:tcPr>
            <w:tcW w:w="1085" w:type="dxa"/>
            <w:vAlign w:val="center"/>
          </w:tcPr>
          <w:p w14:paraId="35418CC7">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2715" w:type="dxa"/>
            <w:vAlign w:val="center"/>
          </w:tcPr>
          <w:p w14:paraId="086E597D">
            <w:pPr>
              <w:snapToGrid w:val="0"/>
              <w:spacing w:line="460" w:lineRule="exact"/>
              <w:jc w:val="center"/>
              <w:rPr>
                <w:rFonts w:hint="eastAsia" w:ascii="新宋体" w:hAnsi="新宋体" w:eastAsia="新宋体" w:cs="新宋体"/>
                <w:color w:val="auto"/>
                <w:sz w:val="22"/>
                <w:szCs w:val="22"/>
                <w:highlight w:val="none"/>
                <w:u w:val="none"/>
              </w:rPr>
            </w:pPr>
            <w:r>
              <w:rPr>
                <w:rFonts w:hint="eastAsia" w:ascii="新宋体" w:hAnsi="新宋体" w:eastAsia="新宋体" w:cs="新宋体"/>
                <w:color w:val="auto"/>
                <w:sz w:val="22"/>
                <w:szCs w:val="22"/>
                <w:highlight w:val="none"/>
                <w:lang w:eastAsia="zh-CN"/>
              </w:rPr>
              <w:t>便携睡眠监测仪</w:t>
            </w:r>
          </w:p>
        </w:tc>
        <w:tc>
          <w:tcPr>
            <w:tcW w:w="1245" w:type="dxa"/>
            <w:vAlign w:val="center"/>
          </w:tcPr>
          <w:p w14:paraId="4E4A5703">
            <w:pPr>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2套</w:t>
            </w:r>
          </w:p>
        </w:tc>
        <w:tc>
          <w:tcPr>
            <w:tcW w:w="1625" w:type="dxa"/>
            <w:vAlign w:val="center"/>
          </w:tcPr>
          <w:p w14:paraId="6EEE1CD5">
            <w:pPr>
              <w:snapToGrid w:val="0"/>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240000元</w:t>
            </w:r>
          </w:p>
        </w:tc>
      </w:tr>
      <w:tr w14:paraId="2B90C9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9" w:hRule="atLeast"/>
          <w:jc w:val="center"/>
        </w:trPr>
        <w:tc>
          <w:tcPr>
            <w:tcW w:w="1085" w:type="dxa"/>
            <w:vAlign w:val="center"/>
          </w:tcPr>
          <w:p w14:paraId="690D9D80">
            <w:pPr>
              <w:snapToGrid w:val="0"/>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w:t>
            </w:r>
          </w:p>
        </w:tc>
        <w:tc>
          <w:tcPr>
            <w:tcW w:w="2715" w:type="dxa"/>
            <w:vAlign w:val="center"/>
          </w:tcPr>
          <w:p w14:paraId="6BF74DCF">
            <w:pPr>
              <w:snapToGrid w:val="0"/>
              <w:spacing w:line="460" w:lineRule="exact"/>
              <w:jc w:val="center"/>
              <w:rPr>
                <w:rFonts w:hint="eastAsia" w:ascii="新宋体" w:hAnsi="新宋体" w:eastAsia="新宋体" w:cs="新宋体"/>
                <w:color w:val="auto"/>
                <w:sz w:val="22"/>
                <w:szCs w:val="22"/>
                <w:highlight w:val="none"/>
                <w:u w:val="none"/>
              </w:rPr>
            </w:pPr>
            <w:r>
              <w:rPr>
                <w:rFonts w:hint="eastAsia" w:ascii="新宋体" w:hAnsi="新宋体" w:eastAsia="新宋体" w:cs="新宋体"/>
                <w:color w:val="auto"/>
                <w:sz w:val="22"/>
                <w:szCs w:val="22"/>
                <w:highlight w:val="none"/>
                <w:lang w:eastAsia="zh-CN"/>
              </w:rPr>
              <w:t>呼吸机</w:t>
            </w:r>
          </w:p>
        </w:tc>
        <w:tc>
          <w:tcPr>
            <w:tcW w:w="1245" w:type="dxa"/>
            <w:vAlign w:val="center"/>
          </w:tcPr>
          <w:p w14:paraId="263F1AA7">
            <w:pPr>
              <w:snapToGrid w:val="0"/>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1台</w:t>
            </w:r>
          </w:p>
        </w:tc>
        <w:tc>
          <w:tcPr>
            <w:tcW w:w="1625" w:type="dxa"/>
            <w:vAlign w:val="center"/>
          </w:tcPr>
          <w:p w14:paraId="70EA6A98">
            <w:pPr>
              <w:snapToGrid w:val="0"/>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15000元</w:t>
            </w:r>
          </w:p>
        </w:tc>
      </w:tr>
    </w:tbl>
    <w:p w14:paraId="695B5EE4">
      <w:pPr>
        <w:snapToGrid w:val="0"/>
        <w:spacing w:line="460" w:lineRule="exact"/>
        <w:rPr>
          <w:rFonts w:hint="default"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val="en-US" w:eastAsia="zh-CN"/>
        </w:rPr>
        <w:t>二</w:t>
      </w:r>
      <w:r>
        <w:rPr>
          <w:rFonts w:hint="eastAsia" w:ascii="新宋体" w:hAnsi="新宋体" w:eastAsia="新宋体" w:cs="新宋体"/>
          <w:bCs/>
          <w:color w:val="auto"/>
          <w:sz w:val="22"/>
          <w:szCs w:val="22"/>
          <w:highlight w:val="none"/>
        </w:rPr>
        <w:t>）本次采购的核心产品为</w:t>
      </w:r>
      <w:r>
        <w:rPr>
          <w:rFonts w:hint="eastAsia" w:ascii="新宋体" w:hAnsi="新宋体" w:eastAsia="新宋体" w:cs="新宋体"/>
          <w:bCs/>
          <w:color w:val="auto"/>
          <w:sz w:val="22"/>
          <w:szCs w:val="22"/>
          <w:highlight w:val="none"/>
          <w:u w:val="single"/>
        </w:rPr>
        <w:t xml:space="preserve">  </w:t>
      </w:r>
      <w:r>
        <w:rPr>
          <w:rFonts w:hint="eastAsia" w:ascii="新宋体" w:hAnsi="新宋体" w:eastAsia="新宋体" w:cs="新宋体"/>
          <w:b/>
          <w:bCs w:val="0"/>
          <w:color w:val="auto"/>
          <w:sz w:val="22"/>
          <w:szCs w:val="22"/>
          <w:highlight w:val="none"/>
          <w:u w:val="single"/>
          <w:lang w:eastAsia="zh-CN"/>
        </w:rPr>
        <w:t>多导睡眠监测系统</w:t>
      </w:r>
      <w:r>
        <w:rPr>
          <w:rFonts w:hint="eastAsia" w:ascii="新宋体" w:hAnsi="新宋体" w:eastAsia="新宋体" w:cs="新宋体"/>
          <w:bCs/>
          <w:color w:val="auto"/>
          <w:sz w:val="22"/>
          <w:szCs w:val="22"/>
          <w:highlight w:val="none"/>
          <w:u w:val="single"/>
        </w:rPr>
        <w:t xml:space="preserve">  </w:t>
      </w:r>
      <w:r>
        <w:rPr>
          <w:rFonts w:hint="eastAsia" w:ascii="新宋体" w:hAnsi="新宋体" w:eastAsia="新宋体" w:cs="新宋体"/>
          <w:bCs/>
          <w:color w:val="auto"/>
          <w:sz w:val="22"/>
          <w:szCs w:val="22"/>
          <w:highlight w:val="none"/>
        </w:rPr>
        <w:t>，</w:t>
      </w:r>
      <w:r>
        <w:rPr>
          <w:rFonts w:hint="eastAsia" w:ascii="新宋体" w:hAnsi="新宋体" w:eastAsia="新宋体" w:cs="新宋体"/>
          <w:b/>
          <w:bCs/>
          <w:color w:val="auto"/>
          <w:sz w:val="22"/>
          <w:szCs w:val="22"/>
          <w:highlight w:val="none"/>
          <w:u w:val="none"/>
        </w:rPr>
        <w:t>提供相同品牌</w:t>
      </w:r>
      <w:r>
        <w:rPr>
          <w:rFonts w:hint="eastAsia" w:ascii="新宋体" w:hAnsi="新宋体" w:eastAsia="新宋体" w:cs="新宋体"/>
          <w:b/>
          <w:bCs/>
          <w:color w:val="auto"/>
          <w:sz w:val="22"/>
          <w:szCs w:val="22"/>
          <w:highlight w:val="none"/>
          <w:u w:val="none"/>
          <w:lang w:val="en-US" w:eastAsia="zh-CN"/>
        </w:rPr>
        <w:t>核心</w:t>
      </w:r>
      <w:r>
        <w:rPr>
          <w:rFonts w:hint="eastAsia" w:ascii="新宋体" w:hAnsi="新宋体" w:eastAsia="新宋体" w:cs="新宋体"/>
          <w:b/>
          <w:bCs/>
          <w:color w:val="auto"/>
          <w:sz w:val="22"/>
          <w:szCs w:val="22"/>
          <w:highlight w:val="none"/>
          <w:u w:val="none"/>
        </w:rPr>
        <w:t>产品且通过资格审查、符合性审查的不同投标人参加同一合同项下投标的，按一家投标人计算</w:t>
      </w:r>
      <w:r>
        <w:rPr>
          <w:rFonts w:hint="eastAsia" w:ascii="新宋体" w:hAnsi="新宋体" w:eastAsia="新宋体" w:cs="新宋体"/>
          <w:bCs/>
          <w:color w:val="auto"/>
          <w:sz w:val="22"/>
          <w:szCs w:val="22"/>
          <w:highlight w:val="none"/>
        </w:rPr>
        <w:t>。</w:t>
      </w:r>
      <w:r>
        <w:rPr>
          <w:rFonts w:hint="eastAsia" w:ascii="新宋体" w:hAnsi="新宋体" w:eastAsia="新宋体" w:cs="新宋体"/>
          <w:b/>
          <w:bCs w:val="0"/>
          <w:color w:val="auto"/>
          <w:sz w:val="22"/>
          <w:szCs w:val="22"/>
          <w:highlight w:val="none"/>
          <w:lang w:val="en-US" w:eastAsia="zh-CN"/>
        </w:rPr>
        <w:t>具体详见“评标原则及方法”。</w:t>
      </w:r>
    </w:p>
    <w:p w14:paraId="6F0BA558">
      <w:pPr>
        <w:snapToGrid w:val="0"/>
        <w:spacing w:line="460" w:lineRule="exact"/>
        <w:rPr>
          <w:rFonts w:hint="eastAsia" w:ascii="新宋体" w:hAnsi="新宋体" w:eastAsia="新宋体" w:cs="新宋体"/>
          <w:b/>
          <w:color w:val="auto"/>
          <w:sz w:val="22"/>
          <w:szCs w:val="22"/>
          <w:highlight w:val="none"/>
          <w:u w:val="single"/>
        </w:rPr>
      </w:pP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u w:val="single"/>
        </w:rPr>
        <w:t>注：</w:t>
      </w:r>
    </w:p>
    <w:p w14:paraId="7A8838F7">
      <w:pPr>
        <w:snapToGrid w:val="0"/>
        <w:spacing w:line="460" w:lineRule="exact"/>
        <w:rPr>
          <w:rFonts w:hint="eastAsia" w:ascii="新宋体" w:hAnsi="新宋体" w:eastAsia="新宋体" w:cs="新宋体"/>
          <w:bCs/>
          <w:color w:val="auto"/>
          <w:sz w:val="22"/>
          <w:szCs w:val="22"/>
          <w:highlight w:val="none"/>
          <w:u w:val="single"/>
        </w:rPr>
      </w:pPr>
      <w:r>
        <w:rPr>
          <w:rFonts w:hint="eastAsia" w:ascii="新宋体" w:hAnsi="新宋体" w:eastAsia="新宋体" w:cs="新宋体"/>
          <w:b/>
          <w:color w:val="auto"/>
          <w:sz w:val="22"/>
          <w:szCs w:val="22"/>
          <w:highlight w:val="none"/>
          <w:u w:val="single"/>
        </w:rPr>
        <w:t>1、投标人必须同时对以上所有项目内容进行投标，不允许拆分投标，否则其投标文件不予接受。</w:t>
      </w:r>
    </w:p>
    <w:p w14:paraId="1AE59A32">
      <w:pPr>
        <w:snapToGrid w:val="0"/>
        <w:spacing w:line="460" w:lineRule="exact"/>
        <w:rPr>
          <w:rFonts w:hint="eastAsia" w:ascii="新宋体" w:hAnsi="新宋体" w:eastAsia="新宋体" w:cs="新宋体"/>
          <w:b/>
          <w:color w:val="auto"/>
          <w:sz w:val="22"/>
          <w:szCs w:val="22"/>
          <w:highlight w:val="none"/>
          <w:lang w:eastAsia="zh-CN"/>
        </w:rPr>
      </w:pPr>
      <w:r>
        <w:rPr>
          <w:rFonts w:hint="eastAsia" w:ascii="新宋体" w:hAnsi="新宋体" w:eastAsia="新宋体" w:cs="新宋体"/>
          <w:b/>
          <w:color w:val="auto"/>
          <w:sz w:val="22"/>
          <w:szCs w:val="22"/>
          <w:highlight w:val="none"/>
          <w:u w:val="single"/>
        </w:rPr>
        <w:t>2、投标人投标分项报价超过各项目内容的</w:t>
      </w:r>
      <w:r>
        <w:rPr>
          <w:rFonts w:hint="eastAsia" w:ascii="新宋体" w:hAnsi="新宋体" w:eastAsia="新宋体" w:cs="新宋体"/>
          <w:b/>
          <w:color w:val="auto"/>
          <w:sz w:val="22"/>
          <w:szCs w:val="22"/>
          <w:highlight w:val="none"/>
          <w:u w:val="single"/>
          <w:lang w:val="en-US" w:eastAsia="zh-CN"/>
        </w:rPr>
        <w:t>最高限价</w:t>
      </w:r>
      <w:r>
        <w:rPr>
          <w:rFonts w:hint="eastAsia" w:ascii="新宋体" w:hAnsi="新宋体" w:eastAsia="新宋体" w:cs="新宋体"/>
          <w:b/>
          <w:color w:val="auto"/>
          <w:sz w:val="22"/>
          <w:szCs w:val="22"/>
          <w:highlight w:val="none"/>
          <w:u w:val="single"/>
        </w:rPr>
        <w:t>按无效标处理</w:t>
      </w:r>
      <w:r>
        <w:rPr>
          <w:rFonts w:hint="eastAsia" w:ascii="新宋体" w:hAnsi="新宋体" w:eastAsia="新宋体" w:cs="新宋体"/>
          <w:b/>
          <w:color w:val="auto"/>
          <w:sz w:val="22"/>
          <w:szCs w:val="22"/>
          <w:highlight w:val="none"/>
          <w:u w:val="single"/>
          <w:lang w:eastAsia="zh-CN"/>
        </w:rPr>
        <w:t>。</w:t>
      </w:r>
    </w:p>
    <w:p w14:paraId="36EDC939">
      <w:pPr>
        <w:snapToGrid w:val="0"/>
        <w:spacing w:line="460" w:lineRule="exact"/>
        <w:outlineLvl w:val="1"/>
        <w:rPr>
          <w:rFonts w:hint="eastAsia" w:ascii="新宋体" w:hAnsi="新宋体" w:eastAsia="新宋体" w:cs="新宋体"/>
          <w:b/>
          <w:color w:val="auto"/>
          <w:sz w:val="22"/>
          <w:szCs w:val="22"/>
          <w:highlight w:val="none"/>
        </w:rPr>
      </w:pPr>
      <w:bookmarkStart w:id="50" w:name="_Toc28446"/>
      <w:r>
        <w:rPr>
          <w:rFonts w:hint="eastAsia" w:ascii="新宋体" w:hAnsi="新宋体" w:eastAsia="新宋体" w:cs="新宋体"/>
          <w:b/>
          <w:color w:val="auto"/>
          <w:sz w:val="22"/>
          <w:szCs w:val="22"/>
          <w:highlight w:val="none"/>
          <w:lang w:val="en-US" w:eastAsia="zh-CN"/>
        </w:rPr>
        <w:t>三、</w:t>
      </w:r>
      <w:r>
        <w:rPr>
          <w:rFonts w:hint="eastAsia" w:ascii="新宋体" w:hAnsi="新宋体" w:eastAsia="新宋体" w:cs="新宋体"/>
          <w:b/>
          <w:color w:val="auto"/>
          <w:sz w:val="22"/>
          <w:szCs w:val="22"/>
          <w:highlight w:val="none"/>
        </w:rPr>
        <w:t>技术参数要求：</w:t>
      </w:r>
      <w:bookmarkEnd w:id="50"/>
    </w:p>
    <w:tbl>
      <w:tblPr>
        <w:tblStyle w:val="53"/>
        <w:tblW w:w="4872" w:type="pct"/>
        <w:tblInd w:w="1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0"/>
        <w:gridCol w:w="8352"/>
      </w:tblGrid>
      <w:tr w14:paraId="09E89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vAlign w:val="center"/>
          </w:tcPr>
          <w:p w14:paraId="33F9C345">
            <w:pPr>
              <w:keepLines w:val="0"/>
              <w:pageBreakBefore w:val="0"/>
              <w:widowControl w:val="0"/>
              <w:kinsoku/>
              <w:wordWrap/>
              <w:overflowPunct/>
              <w:topLinePunct w:val="0"/>
              <w:autoSpaceDE/>
              <w:autoSpaceDN/>
              <w:bidi w:val="0"/>
              <w:snapToGrid/>
              <w:spacing w:line="460" w:lineRule="exact"/>
              <w:jc w:val="center"/>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4349" w:type="pct"/>
            <w:vAlign w:val="center"/>
          </w:tcPr>
          <w:p w14:paraId="1B8A611F">
            <w:pPr>
              <w:keepLines w:val="0"/>
              <w:pageBreakBefore w:val="0"/>
              <w:widowControl w:val="0"/>
              <w:kinsoku/>
              <w:wordWrap/>
              <w:overflowPunct/>
              <w:topLinePunct w:val="0"/>
              <w:autoSpaceDE/>
              <w:autoSpaceDN/>
              <w:bidi w:val="0"/>
              <w:snapToGrid/>
              <w:spacing w:line="460" w:lineRule="exact"/>
              <w:jc w:val="center"/>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技术要求</w:t>
            </w:r>
          </w:p>
        </w:tc>
      </w:tr>
      <w:tr w14:paraId="4952F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50" w:type="pct"/>
            <w:vAlign w:val="center"/>
          </w:tcPr>
          <w:p w14:paraId="622E2BF4">
            <w:pPr>
              <w:keepLines w:val="0"/>
              <w:pageBreakBefore w:val="0"/>
              <w:widowControl w:val="0"/>
              <w:kinsoku/>
              <w:wordWrap/>
              <w:overflowPunct/>
              <w:topLinePunct w:val="0"/>
              <w:autoSpaceDE/>
              <w:autoSpaceDN/>
              <w:bidi w:val="0"/>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一</w:t>
            </w:r>
          </w:p>
        </w:tc>
        <w:tc>
          <w:tcPr>
            <w:tcW w:w="4349" w:type="pct"/>
            <w:vAlign w:val="center"/>
          </w:tcPr>
          <w:p w14:paraId="516D6A98">
            <w:pPr>
              <w:keepLines w:val="0"/>
              <w:pageBreakBefore w:val="0"/>
              <w:widowControl w:val="0"/>
              <w:kinsoku/>
              <w:wordWrap/>
              <w:overflowPunct/>
              <w:topLinePunct w:val="0"/>
              <w:autoSpaceDE/>
              <w:autoSpaceDN/>
              <w:bidi w:val="0"/>
              <w:snapToGrid/>
              <w:spacing w:line="460" w:lineRule="exact"/>
              <w:jc w:val="both"/>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b/>
                <w:bCs/>
                <w:color w:val="auto"/>
                <w:sz w:val="22"/>
                <w:szCs w:val="22"/>
                <w:highlight w:val="none"/>
              </w:rPr>
              <w:t>产品名称：</w:t>
            </w:r>
            <w:r>
              <w:rPr>
                <w:rFonts w:hint="eastAsia" w:ascii="新宋体" w:hAnsi="新宋体" w:eastAsia="新宋体" w:cs="新宋体"/>
                <w:b/>
                <w:bCs/>
                <w:color w:val="auto"/>
                <w:sz w:val="22"/>
                <w:szCs w:val="22"/>
                <w:highlight w:val="none"/>
                <w:lang w:val="en-US" w:eastAsia="zh-CN"/>
              </w:rPr>
              <w:t>多导睡眠监测系统</w:t>
            </w:r>
          </w:p>
        </w:tc>
      </w:tr>
      <w:tr w14:paraId="22558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vAlign w:val="center"/>
          </w:tcPr>
          <w:p w14:paraId="1838ABC1">
            <w:pPr>
              <w:keepLines w:val="0"/>
              <w:pageBreakBefore w:val="0"/>
              <w:widowControl w:val="0"/>
              <w:kinsoku/>
              <w:wordWrap/>
              <w:overflowPunct/>
              <w:topLinePunct w:val="0"/>
              <w:autoSpaceDE/>
              <w:autoSpaceDN/>
              <w:bidi w:val="0"/>
              <w:snapToGrid/>
              <w:spacing w:line="460" w:lineRule="exact"/>
              <w:jc w:val="left"/>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1.1</w:t>
            </w:r>
          </w:p>
        </w:tc>
        <w:tc>
          <w:tcPr>
            <w:tcW w:w="4349" w:type="pct"/>
            <w:vAlign w:val="center"/>
          </w:tcPr>
          <w:p w14:paraId="05A86569">
            <w:pPr>
              <w:keepLines w:val="0"/>
              <w:pageBreakBefore w:val="0"/>
              <w:widowControl w:val="0"/>
              <w:kinsoku/>
              <w:wordWrap/>
              <w:overflowPunct/>
              <w:topLinePunct w:val="0"/>
              <w:autoSpaceDE/>
              <w:autoSpaceDN/>
              <w:bidi w:val="0"/>
              <w:snapToGrid/>
              <w:spacing w:line="460" w:lineRule="exact"/>
              <w:jc w:val="left"/>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设备数量：多导睡眠监测系统1套</w:t>
            </w:r>
          </w:p>
        </w:tc>
      </w:tr>
      <w:tr w14:paraId="6B1C0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vAlign w:val="center"/>
          </w:tcPr>
          <w:p w14:paraId="25A0A5DC">
            <w:pPr>
              <w:keepLines w:val="0"/>
              <w:pageBreakBefore w:val="0"/>
              <w:widowControl w:val="0"/>
              <w:kinsoku/>
              <w:wordWrap/>
              <w:overflowPunct/>
              <w:topLinePunct w:val="0"/>
              <w:autoSpaceDE/>
              <w:autoSpaceDN/>
              <w:bidi w:val="0"/>
              <w:snapToGrid/>
              <w:spacing w:line="460" w:lineRule="exact"/>
              <w:jc w:val="left"/>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1.2</w:t>
            </w:r>
          </w:p>
        </w:tc>
        <w:tc>
          <w:tcPr>
            <w:tcW w:w="4349" w:type="pct"/>
            <w:vAlign w:val="center"/>
          </w:tcPr>
          <w:p w14:paraId="50934958">
            <w:pPr>
              <w:keepLines w:val="0"/>
              <w:pageBreakBefore w:val="0"/>
              <w:widowControl w:val="0"/>
              <w:kinsoku/>
              <w:wordWrap/>
              <w:overflowPunct/>
              <w:topLinePunct w:val="0"/>
              <w:autoSpaceDE/>
              <w:autoSpaceDN/>
              <w:bidi w:val="0"/>
              <w:snapToGrid/>
              <w:spacing w:line="460" w:lineRule="exact"/>
              <w:jc w:val="left"/>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适应症：可用于多导睡眠及脑电图的采集、实时监测和分析。</w:t>
            </w:r>
          </w:p>
        </w:tc>
      </w:tr>
      <w:tr w14:paraId="19996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vAlign w:val="center"/>
          </w:tcPr>
          <w:p w14:paraId="66EAA3BC">
            <w:pPr>
              <w:keepLines w:val="0"/>
              <w:pageBreakBefore w:val="0"/>
              <w:widowControl w:val="0"/>
              <w:kinsoku/>
              <w:wordWrap/>
              <w:overflowPunct/>
              <w:topLinePunct w:val="0"/>
              <w:autoSpaceDE/>
              <w:autoSpaceDN/>
              <w:bidi w:val="0"/>
              <w:snapToGrid/>
              <w:spacing w:line="460" w:lineRule="exact"/>
              <w:jc w:val="left"/>
              <w:textAlignment w:val="auto"/>
              <w:rPr>
                <w:rFonts w:hint="default"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1.3</w:t>
            </w:r>
          </w:p>
        </w:tc>
        <w:tc>
          <w:tcPr>
            <w:tcW w:w="4349" w:type="pct"/>
            <w:vAlign w:val="center"/>
          </w:tcPr>
          <w:p w14:paraId="1E72EA91">
            <w:pPr>
              <w:keepLines w:val="0"/>
              <w:pageBreakBefore w:val="0"/>
              <w:widowControl w:val="0"/>
              <w:kinsoku/>
              <w:wordWrap/>
              <w:overflowPunct/>
              <w:topLinePunct w:val="0"/>
              <w:autoSpaceDE/>
              <w:autoSpaceDN/>
              <w:bidi w:val="0"/>
              <w:snapToGrid/>
              <w:spacing w:line="460" w:lineRule="exact"/>
              <w:jc w:val="left"/>
              <w:textAlignment w:val="auto"/>
              <w:rPr>
                <w:rFonts w:hint="default"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多导睡眠监测系统参数</w:t>
            </w:r>
          </w:p>
        </w:tc>
      </w:tr>
      <w:tr w14:paraId="0CBC0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22AFF0B8">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1.3.1</w:t>
            </w:r>
          </w:p>
        </w:tc>
        <w:tc>
          <w:tcPr>
            <w:tcW w:w="4349" w:type="pct"/>
            <w:shd w:val="clear" w:color="auto" w:fill="auto"/>
            <w:vAlign w:val="top"/>
          </w:tcPr>
          <w:p w14:paraId="209DCE97">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资质要求：产品医疗器械注册证</w:t>
            </w:r>
            <w:r>
              <w:rPr>
                <w:rFonts w:hint="eastAsia" w:ascii="新宋体" w:hAnsi="新宋体" w:eastAsia="新宋体" w:cs="新宋体"/>
                <w:color w:val="auto"/>
                <w:sz w:val="22"/>
                <w:szCs w:val="22"/>
                <w:highlight w:val="none"/>
                <w:lang w:eastAsia="zh-CN"/>
              </w:rPr>
              <w:t>适用范围</w:t>
            </w:r>
            <w:r>
              <w:rPr>
                <w:rFonts w:hint="eastAsia" w:ascii="新宋体" w:hAnsi="新宋体" w:eastAsia="新宋体" w:cs="新宋体"/>
                <w:color w:val="auto"/>
                <w:sz w:val="22"/>
                <w:szCs w:val="22"/>
                <w:highlight w:val="none"/>
                <w:lang w:val="en-US" w:eastAsia="zh-CN"/>
              </w:rPr>
              <w:t>或产品技术要求需具备：脑电（EEG）、心电（ECG）、肌电（EMG）、眼电（EOG）、胸腹呼吸、鼻气流呼吸、血氧饱和度、鼾声、体位等，需符合医保睡眠呼吸监测收费标准。</w:t>
            </w:r>
          </w:p>
        </w:tc>
      </w:tr>
      <w:tr w14:paraId="2D68F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00DC37AC">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1.3.2</w:t>
            </w:r>
          </w:p>
        </w:tc>
        <w:tc>
          <w:tcPr>
            <w:tcW w:w="4349" w:type="pct"/>
            <w:shd w:val="clear" w:color="auto" w:fill="auto"/>
            <w:vAlign w:val="top"/>
          </w:tcPr>
          <w:p w14:paraId="1CAA4D44">
            <w:pPr>
              <w:keepLines w:val="0"/>
              <w:pageBreakBefore w:val="0"/>
              <w:widowControl/>
              <w:kinsoku/>
              <w:wordWrap/>
              <w:overflowPunct/>
              <w:topLinePunct w:val="0"/>
              <w:autoSpaceDE/>
              <w:autoSpaceDN/>
              <w:bidi w:val="0"/>
              <w:adjustRightInd w:val="0"/>
              <w:snapToGrid w:val="0"/>
              <w:spacing w:line="460" w:lineRule="exact"/>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导联数≥</w:t>
            </w:r>
            <w:r>
              <w:rPr>
                <w:rFonts w:hint="eastAsia" w:ascii="新宋体" w:hAnsi="新宋体" w:eastAsia="新宋体" w:cs="新宋体"/>
                <w:color w:val="auto"/>
                <w:sz w:val="22"/>
                <w:szCs w:val="22"/>
                <w:highlight w:val="none"/>
                <w:lang w:val="en-US" w:eastAsia="zh-CN"/>
              </w:rPr>
              <w:t>76</w:t>
            </w:r>
            <w:r>
              <w:rPr>
                <w:rFonts w:hint="eastAsia" w:ascii="新宋体" w:hAnsi="新宋体" w:eastAsia="新宋体" w:cs="新宋体"/>
                <w:color w:val="auto"/>
                <w:sz w:val="22"/>
                <w:szCs w:val="22"/>
                <w:highlight w:val="none"/>
              </w:rPr>
              <w:t>导：</w:t>
            </w:r>
            <w:r>
              <w:rPr>
                <w:rFonts w:hint="eastAsia" w:ascii="新宋体" w:hAnsi="新宋体" w:eastAsia="新宋体" w:cs="新宋体"/>
                <w:color w:val="auto"/>
                <w:sz w:val="22"/>
                <w:szCs w:val="22"/>
                <w:highlight w:val="none"/>
                <w:lang w:eastAsia="zh-CN"/>
              </w:rPr>
              <w:t>包含</w:t>
            </w:r>
            <w:r>
              <w:rPr>
                <w:rFonts w:hint="eastAsia" w:ascii="新宋体" w:hAnsi="新宋体" w:eastAsia="新宋体" w:cs="新宋体"/>
                <w:color w:val="auto"/>
                <w:sz w:val="22"/>
                <w:szCs w:val="22"/>
                <w:highlight w:val="none"/>
              </w:rPr>
              <w:t>脑电≥</w:t>
            </w:r>
            <w:r>
              <w:rPr>
                <w:rFonts w:hint="eastAsia" w:ascii="新宋体" w:hAnsi="新宋体" w:eastAsia="新宋体" w:cs="新宋体"/>
                <w:color w:val="auto"/>
                <w:sz w:val="22"/>
                <w:szCs w:val="22"/>
                <w:highlight w:val="none"/>
                <w:lang w:val="en-US" w:eastAsia="zh-CN"/>
              </w:rPr>
              <w:t>32</w:t>
            </w:r>
            <w:r>
              <w:rPr>
                <w:rFonts w:hint="eastAsia" w:ascii="新宋体" w:hAnsi="新宋体" w:eastAsia="新宋体" w:cs="新宋体"/>
                <w:color w:val="auto"/>
                <w:sz w:val="22"/>
                <w:szCs w:val="22"/>
                <w:highlight w:val="none"/>
              </w:rPr>
              <w:t>、眼电≥2、心电≥2、下颌肌电、</w:t>
            </w:r>
            <w:r>
              <w:rPr>
                <w:rFonts w:hint="eastAsia" w:ascii="新宋体" w:hAnsi="新宋体" w:eastAsia="新宋体" w:cs="新宋体"/>
                <w:color w:val="auto"/>
                <w:sz w:val="22"/>
                <w:szCs w:val="22"/>
                <w:highlight w:val="none"/>
                <w:lang w:eastAsia="zh-CN"/>
              </w:rPr>
              <w:t>胸腹呼吸运动、鼻气流、腿动、血氧、鼾声、体位等通道，</w:t>
            </w:r>
            <w:r>
              <w:rPr>
                <w:rFonts w:hint="eastAsia" w:ascii="新宋体" w:hAnsi="新宋体" w:eastAsia="新宋体" w:cs="新宋体"/>
                <w:color w:val="auto"/>
                <w:sz w:val="22"/>
                <w:szCs w:val="22"/>
                <w:highlight w:val="none"/>
              </w:rPr>
              <w:t>可外接</w:t>
            </w:r>
            <w:r>
              <w:rPr>
                <w:rFonts w:hint="eastAsia" w:ascii="新宋体" w:hAnsi="新宋体" w:eastAsia="新宋体" w:cs="新宋体"/>
                <w:color w:val="auto"/>
                <w:sz w:val="22"/>
                <w:szCs w:val="22"/>
                <w:highlight w:val="none"/>
                <w:lang w:eastAsia="zh-CN"/>
              </w:rPr>
              <w:t>包含</w:t>
            </w:r>
            <w:r>
              <w:rPr>
                <w:rFonts w:hint="eastAsia" w:ascii="新宋体" w:hAnsi="新宋体" w:eastAsia="新宋体" w:cs="新宋体"/>
                <w:color w:val="auto"/>
                <w:sz w:val="22"/>
                <w:szCs w:val="22"/>
                <w:highlight w:val="none"/>
              </w:rPr>
              <w:t>PH</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呼末二氧化碳</w:t>
            </w:r>
            <w:r>
              <w:rPr>
                <w:rFonts w:hint="eastAsia" w:ascii="新宋体" w:hAnsi="新宋体" w:eastAsia="新宋体" w:cs="新宋体"/>
                <w:color w:val="auto"/>
                <w:sz w:val="22"/>
                <w:szCs w:val="22"/>
                <w:highlight w:val="none"/>
                <w:lang w:eastAsia="zh-CN"/>
              </w:rPr>
              <w:t>、经皮二氧化碳、</w:t>
            </w:r>
            <w:r>
              <w:rPr>
                <w:rFonts w:hint="eastAsia" w:ascii="新宋体" w:hAnsi="新宋体" w:eastAsia="新宋体" w:cs="新宋体"/>
                <w:color w:val="auto"/>
                <w:sz w:val="22"/>
                <w:szCs w:val="22"/>
                <w:highlight w:val="none"/>
              </w:rPr>
              <w:t>食道压监测</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NPT</w:t>
            </w:r>
            <w:r>
              <w:rPr>
                <w:rFonts w:hint="eastAsia" w:ascii="新宋体" w:hAnsi="新宋体" w:eastAsia="新宋体" w:cs="新宋体"/>
                <w:color w:val="auto"/>
                <w:sz w:val="22"/>
                <w:szCs w:val="22"/>
                <w:highlight w:val="none"/>
                <w:lang w:eastAsia="zh-CN"/>
              </w:rPr>
              <w:t>等扩展通道。</w:t>
            </w:r>
          </w:p>
        </w:tc>
      </w:tr>
      <w:tr w14:paraId="1C28B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3D2208F4">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1.3.3</w:t>
            </w:r>
          </w:p>
        </w:tc>
        <w:tc>
          <w:tcPr>
            <w:tcW w:w="4349" w:type="pct"/>
            <w:shd w:val="clear" w:color="auto" w:fill="auto"/>
            <w:vAlign w:val="top"/>
          </w:tcPr>
          <w:p w14:paraId="3B546F7A">
            <w:pPr>
              <w:keepLines w:val="0"/>
              <w:pageBreakBefore w:val="0"/>
              <w:kinsoku/>
              <w:wordWrap/>
              <w:overflowPunct/>
              <w:topLinePunct w:val="0"/>
              <w:autoSpaceDE/>
              <w:autoSpaceDN/>
              <w:bidi w:val="0"/>
              <w:spacing w:line="460" w:lineRule="exac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主机（含电池）与传感器可随身携带，</w:t>
            </w:r>
            <w:r>
              <w:rPr>
                <w:rFonts w:hint="eastAsia" w:ascii="新宋体" w:hAnsi="新宋体" w:eastAsia="新宋体" w:cs="新宋体"/>
                <w:color w:val="auto"/>
                <w:sz w:val="22"/>
                <w:szCs w:val="22"/>
                <w:highlight w:val="none"/>
              </w:rPr>
              <w:t>患者无活动阻碍，可在睡眠监测室自由活动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设备</w:t>
            </w:r>
            <w:r>
              <w:rPr>
                <w:rFonts w:hint="eastAsia" w:ascii="新宋体" w:hAnsi="新宋体" w:eastAsia="新宋体" w:cs="新宋体"/>
                <w:color w:val="auto"/>
                <w:sz w:val="22"/>
                <w:szCs w:val="22"/>
                <w:highlight w:val="none"/>
                <w:lang w:val="en-US" w:eastAsia="zh-CN"/>
              </w:rPr>
              <w:t>配备</w:t>
            </w:r>
            <w:r>
              <w:rPr>
                <w:rFonts w:hint="eastAsia" w:ascii="新宋体" w:hAnsi="新宋体" w:eastAsia="新宋体" w:cs="新宋体"/>
                <w:color w:val="auto"/>
                <w:sz w:val="22"/>
                <w:szCs w:val="22"/>
                <w:highlight w:val="none"/>
              </w:rPr>
              <w:t>远程无线传输技术，</w:t>
            </w:r>
            <w:r>
              <w:rPr>
                <w:rFonts w:hint="eastAsia" w:ascii="新宋体" w:hAnsi="新宋体" w:eastAsia="新宋体" w:cs="新宋体"/>
                <w:color w:val="auto"/>
                <w:sz w:val="22"/>
                <w:szCs w:val="22"/>
                <w:highlight w:val="none"/>
                <w:lang w:eastAsia="zh-CN"/>
              </w:rPr>
              <w:t>可实现</w:t>
            </w:r>
            <w:r>
              <w:rPr>
                <w:rFonts w:hint="eastAsia" w:ascii="新宋体" w:hAnsi="新宋体" w:eastAsia="新宋体" w:cs="新宋体"/>
                <w:color w:val="auto"/>
                <w:sz w:val="22"/>
                <w:szCs w:val="22"/>
                <w:highlight w:val="none"/>
              </w:rPr>
              <w:t>实时无线数据传输</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电池支持≥120小时数据记录。</w:t>
            </w:r>
          </w:p>
        </w:tc>
      </w:tr>
      <w:tr w14:paraId="4B04F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3CACC6EB">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1.3.4</w:t>
            </w:r>
          </w:p>
        </w:tc>
        <w:tc>
          <w:tcPr>
            <w:tcW w:w="4349" w:type="pct"/>
            <w:shd w:val="clear" w:color="auto" w:fill="auto"/>
            <w:vAlign w:val="top"/>
          </w:tcPr>
          <w:p w14:paraId="633626B1">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rPr>
              <w:t>采样频率≥</w:t>
            </w:r>
            <w:r>
              <w:rPr>
                <w:rFonts w:hint="eastAsia" w:ascii="新宋体" w:hAnsi="新宋体" w:eastAsia="新宋体" w:cs="新宋体"/>
                <w:color w:val="auto"/>
                <w:sz w:val="22"/>
                <w:szCs w:val="22"/>
                <w:highlight w:val="none"/>
                <w:lang w:eastAsia="zh-CN"/>
              </w:rPr>
              <w:t>16000</w:t>
            </w:r>
            <w:r>
              <w:rPr>
                <w:rFonts w:hint="eastAsia" w:ascii="新宋体" w:hAnsi="新宋体" w:eastAsia="新宋体" w:cs="新宋体"/>
                <w:color w:val="auto"/>
                <w:sz w:val="22"/>
                <w:szCs w:val="22"/>
                <w:highlight w:val="none"/>
              </w:rPr>
              <w:t>H</w:t>
            </w:r>
            <w:r>
              <w:rPr>
                <w:rFonts w:hint="eastAsia" w:ascii="新宋体" w:hAnsi="新宋体" w:eastAsia="新宋体" w:cs="新宋体"/>
                <w:color w:val="auto"/>
                <w:sz w:val="22"/>
                <w:szCs w:val="22"/>
                <w:highlight w:val="none"/>
                <w:lang w:eastAsia="zh-CN"/>
              </w:rPr>
              <w:t>z</w:t>
            </w:r>
            <w:r>
              <w:rPr>
                <w:rFonts w:hint="eastAsia" w:ascii="新宋体" w:hAnsi="新宋体" w:eastAsia="新宋体" w:cs="新宋体"/>
                <w:color w:val="auto"/>
                <w:sz w:val="22"/>
                <w:szCs w:val="22"/>
                <w:highlight w:val="none"/>
              </w:rPr>
              <w:t>，存储频率≥2</w:t>
            </w:r>
            <w:r>
              <w:rPr>
                <w:rFonts w:hint="eastAsia" w:ascii="新宋体" w:hAnsi="新宋体" w:eastAsia="新宋体" w:cs="新宋体"/>
                <w:color w:val="auto"/>
                <w:sz w:val="22"/>
                <w:szCs w:val="22"/>
                <w:highlight w:val="none"/>
                <w:lang w:eastAsia="zh-CN"/>
              </w:rPr>
              <w:t>048</w:t>
            </w:r>
            <w:r>
              <w:rPr>
                <w:rFonts w:hint="eastAsia" w:ascii="新宋体" w:hAnsi="新宋体" w:eastAsia="新宋体" w:cs="新宋体"/>
                <w:color w:val="auto"/>
                <w:sz w:val="22"/>
                <w:szCs w:val="22"/>
                <w:highlight w:val="none"/>
              </w:rPr>
              <w:t>H</w:t>
            </w:r>
            <w:r>
              <w:rPr>
                <w:rFonts w:hint="eastAsia" w:ascii="新宋体" w:hAnsi="新宋体" w:eastAsia="新宋体" w:cs="新宋体"/>
                <w:color w:val="auto"/>
                <w:sz w:val="22"/>
                <w:szCs w:val="22"/>
                <w:highlight w:val="none"/>
                <w:lang w:eastAsia="zh-CN"/>
              </w:rPr>
              <w:t>z。</w:t>
            </w:r>
          </w:p>
        </w:tc>
      </w:tr>
      <w:tr w14:paraId="0B520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0A4D27D1">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1.3.5</w:t>
            </w:r>
          </w:p>
        </w:tc>
        <w:tc>
          <w:tcPr>
            <w:tcW w:w="4349" w:type="pct"/>
            <w:shd w:val="clear" w:color="auto" w:fill="auto"/>
            <w:vAlign w:val="top"/>
          </w:tcPr>
          <w:p w14:paraId="787C4061">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rPr>
              <w:t>采样精度：</w:t>
            </w:r>
            <w:r>
              <w:rPr>
                <w:rFonts w:hint="eastAsia" w:ascii="新宋体" w:hAnsi="新宋体" w:eastAsia="新宋体" w:cs="新宋体"/>
                <w:color w:val="auto"/>
                <w:sz w:val="22"/>
                <w:szCs w:val="22"/>
                <w:highlight w:val="none"/>
                <w:lang w:val="en-US" w:eastAsia="zh-CN"/>
              </w:rPr>
              <w:t>≥24</w:t>
            </w:r>
            <w:r>
              <w:rPr>
                <w:rFonts w:hint="eastAsia" w:ascii="新宋体" w:hAnsi="新宋体" w:eastAsia="新宋体" w:cs="新宋体"/>
                <w:color w:val="auto"/>
                <w:sz w:val="22"/>
                <w:szCs w:val="22"/>
                <w:highlight w:val="none"/>
              </w:rPr>
              <w:t>位bit。</w:t>
            </w:r>
          </w:p>
        </w:tc>
      </w:tr>
      <w:tr w14:paraId="00193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483E1D92">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1.3.6</w:t>
            </w:r>
          </w:p>
        </w:tc>
        <w:tc>
          <w:tcPr>
            <w:tcW w:w="4349" w:type="pct"/>
            <w:shd w:val="clear" w:color="auto" w:fill="auto"/>
            <w:vAlign w:val="top"/>
          </w:tcPr>
          <w:p w14:paraId="12F39961">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共模抑制比：&gt;105db;</w:t>
            </w:r>
          </w:p>
        </w:tc>
      </w:tr>
      <w:tr w14:paraId="2E882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20C5B395">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1.3.7</w:t>
            </w:r>
          </w:p>
        </w:tc>
        <w:tc>
          <w:tcPr>
            <w:tcW w:w="4349" w:type="pct"/>
            <w:shd w:val="clear" w:color="auto" w:fill="auto"/>
            <w:vAlign w:val="top"/>
          </w:tcPr>
          <w:p w14:paraId="62A8A5CF">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设备</w:t>
            </w:r>
            <w:r>
              <w:rPr>
                <w:rFonts w:hint="eastAsia" w:ascii="新宋体" w:hAnsi="新宋体" w:eastAsia="新宋体" w:cs="新宋体"/>
                <w:color w:val="auto"/>
                <w:sz w:val="22"/>
                <w:szCs w:val="22"/>
                <w:highlight w:val="none"/>
                <w:lang w:eastAsia="zh-CN"/>
              </w:rPr>
              <w:t>具备</w:t>
            </w:r>
            <w:r>
              <w:rPr>
                <w:rFonts w:hint="eastAsia" w:ascii="新宋体" w:hAnsi="新宋体" w:eastAsia="新宋体" w:cs="新宋体"/>
                <w:color w:val="auto"/>
                <w:sz w:val="22"/>
                <w:szCs w:val="22"/>
                <w:highlight w:val="none"/>
              </w:rPr>
              <w:t>连续无创血压监测功能</w:t>
            </w:r>
            <w:r>
              <w:rPr>
                <w:rFonts w:hint="eastAsia" w:ascii="新宋体" w:hAnsi="新宋体" w:eastAsia="新宋体" w:cs="新宋体"/>
                <w:color w:val="auto"/>
                <w:sz w:val="22"/>
                <w:szCs w:val="22"/>
                <w:highlight w:val="none"/>
                <w:lang w:eastAsia="zh-CN"/>
              </w:rPr>
              <w:t>。</w:t>
            </w:r>
          </w:p>
        </w:tc>
      </w:tr>
      <w:tr w14:paraId="4B553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39857C1E">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1.3.8</w:t>
            </w:r>
          </w:p>
        </w:tc>
        <w:tc>
          <w:tcPr>
            <w:tcW w:w="4349" w:type="pct"/>
            <w:shd w:val="clear" w:color="auto" w:fill="auto"/>
            <w:vAlign w:val="top"/>
          </w:tcPr>
          <w:p w14:paraId="71BC2690">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bidi="ar"/>
              </w:rPr>
              <w:t>配备高清红外IP 网络视频系统，系统支持多角度调节可监测房间整体或局部视频信息，记录桢频支持2K分辨率，系统支持剪辑修改导出视频数据，方便保存。</w:t>
            </w:r>
          </w:p>
        </w:tc>
      </w:tr>
      <w:tr w14:paraId="74255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0958BC83">
            <w:pPr>
              <w:keepLines w:val="0"/>
              <w:pageBreakBefore w:val="0"/>
              <w:kinsoku/>
              <w:wordWrap/>
              <w:overflowPunct/>
              <w:topLinePunct w:val="0"/>
              <w:autoSpaceDE/>
              <w:autoSpaceDN/>
              <w:bidi w:val="0"/>
              <w:spacing w:line="460" w:lineRule="exact"/>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1.3.9</w:t>
            </w:r>
          </w:p>
        </w:tc>
        <w:tc>
          <w:tcPr>
            <w:tcW w:w="4349" w:type="pct"/>
            <w:shd w:val="clear" w:color="auto" w:fill="auto"/>
            <w:vAlign w:val="top"/>
          </w:tcPr>
          <w:p w14:paraId="45990702">
            <w:pPr>
              <w:keepLines w:val="0"/>
              <w:pageBreakBefore w:val="0"/>
              <w:kinsoku/>
              <w:wordWrap/>
              <w:overflowPunct/>
              <w:topLinePunct w:val="0"/>
              <w:autoSpaceDE/>
              <w:autoSpaceDN/>
              <w:bidi w:val="0"/>
              <w:spacing w:line="460" w:lineRule="exact"/>
              <w:jc w:val="lef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主机支持平板电脑查房功能，同时支持一拖六同步检测数据。</w:t>
            </w:r>
            <w:r>
              <w:rPr>
                <w:rFonts w:hint="eastAsia" w:ascii="新宋体" w:hAnsi="新宋体" w:eastAsia="新宋体" w:cs="新宋体"/>
                <w:color w:val="auto"/>
                <w:sz w:val="22"/>
                <w:szCs w:val="22"/>
                <w:highlight w:val="none"/>
              </w:rPr>
              <w:t>平板电脑软件和APP端软件可对接，可进行不同场地实时监测睡眠状态，并同步监测睡眠数据</w:t>
            </w:r>
            <w:r>
              <w:rPr>
                <w:rFonts w:hint="eastAsia" w:ascii="新宋体" w:hAnsi="新宋体" w:eastAsia="新宋体" w:cs="新宋体"/>
                <w:color w:val="auto"/>
                <w:sz w:val="22"/>
                <w:szCs w:val="22"/>
                <w:highlight w:val="none"/>
                <w:lang w:eastAsia="zh-CN"/>
              </w:rPr>
              <w:t>。</w:t>
            </w:r>
          </w:p>
        </w:tc>
      </w:tr>
      <w:tr w14:paraId="3B056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2B0BDA08">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1.3.10</w:t>
            </w:r>
          </w:p>
        </w:tc>
        <w:tc>
          <w:tcPr>
            <w:tcW w:w="4349" w:type="pct"/>
            <w:shd w:val="clear" w:color="auto" w:fill="auto"/>
            <w:vAlign w:val="top"/>
          </w:tcPr>
          <w:p w14:paraId="7FDCEFFD">
            <w:pPr>
              <w:keepNext w:val="0"/>
              <w:keepLines w:val="0"/>
              <w:pageBreakBefore w:val="0"/>
              <w:widowControl/>
              <w:numPr>
                <w:ilvl w:val="0"/>
                <w:numId w:val="0"/>
              </w:numPr>
              <w:suppressLineNumbers w:val="0"/>
              <w:kinsoku/>
              <w:wordWrap/>
              <w:overflowPunct/>
              <w:topLinePunct w:val="0"/>
              <w:autoSpaceDE/>
              <w:autoSpaceDN/>
              <w:bidi w:val="0"/>
              <w:spacing w:line="460" w:lineRule="exact"/>
              <w:ind w:leftChars="0"/>
              <w:jc w:val="lef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rPr>
              <w:t>主机可连接12导联诊断级心电模块，并同时可监测患者的胸腹呼吸，鼻气流</w:t>
            </w:r>
            <w:r>
              <w:rPr>
                <w:rFonts w:hint="eastAsia" w:ascii="新宋体" w:hAnsi="新宋体" w:eastAsia="新宋体" w:cs="新宋体"/>
                <w:color w:val="auto"/>
                <w:sz w:val="22"/>
                <w:szCs w:val="22"/>
                <w:highlight w:val="none"/>
              </w:rPr>
              <w:t>&amp;热敏，腿动、活动度，血氧等监测。</w:t>
            </w:r>
          </w:p>
        </w:tc>
      </w:tr>
      <w:tr w14:paraId="243F3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41CC618F">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1.3.11</w:t>
            </w:r>
          </w:p>
        </w:tc>
        <w:tc>
          <w:tcPr>
            <w:tcW w:w="4349" w:type="pct"/>
            <w:shd w:val="clear" w:color="auto" w:fill="auto"/>
            <w:vAlign w:val="top"/>
          </w:tcPr>
          <w:p w14:paraId="7336B8C9">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主机支持5G物联网功能，可自动升级主机固件。</w:t>
            </w:r>
          </w:p>
        </w:tc>
      </w:tr>
      <w:tr w14:paraId="3DCB9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2C911173">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1.3.12</w:t>
            </w:r>
          </w:p>
        </w:tc>
        <w:tc>
          <w:tcPr>
            <w:tcW w:w="4349" w:type="pct"/>
            <w:shd w:val="clear" w:color="auto" w:fill="auto"/>
            <w:vAlign w:val="top"/>
          </w:tcPr>
          <w:p w14:paraId="450E8393">
            <w:pPr>
              <w:keepNext w:val="0"/>
              <w:keepLines w:val="0"/>
              <w:pageBreakBefore w:val="0"/>
              <w:widowControl/>
              <w:suppressLineNumbers w:val="0"/>
              <w:kinsoku/>
              <w:wordWrap/>
              <w:overflowPunct/>
              <w:topLinePunct w:val="0"/>
              <w:autoSpaceDE/>
              <w:autoSpaceDN/>
              <w:bidi w:val="0"/>
              <w:spacing w:line="460" w:lineRule="exact"/>
              <w:jc w:val="lef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bidi="ar"/>
              </w:rPr>
              <w:t>设备具备闪光刺激器接口、事件按钮接口、Trigger接口可用于触发其他设备（如视频记录器）的启动，或者在特定的生理事件发生时（如呼吸暂停）标记时间点，以便后续分析。</w:t>
            </w:r>
          </w:p>
        </w:tc>
      </w:tr>
      <w:tr w14:paraId="2AE69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71AFDBAE">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1.3.13</w:t>
            </w:r>
          </w:p>
        </w:tc>
        <w:tc>
          <w:tcPr>
            <w:tcW w:w="4349" w:type="pct"/>
            <w:shd w:val="clear" w:color="auto" w:fill="auto"/>
            <w:vAlign w:val="top"/>
          </w:tcPr>
          <w:p w14:paraId="44473DD6">
            <w:pPr>
              <w:keepNext w:val="0"/>
              <w:keepLines w:val="0"/>
              <w:pageBreakBefore w:val="0"/>
              <w:widowControl/>
              <w:numPr>
                <w:ilvl w:val="0"/>
                <w:numId w:val="0"/>
              </w:numPr>
              <w:suppressLineNumbers w:val="0"/>
              <w:kinsoku/>
              <w:wordWrap/>
              <w:overflowPunct/>
              <w:topLinePunct w:val="0"/>
              <w:autoSpaceDE/>
              <w:autoSpaceDN/>
              <w:bidi w:val="0"/>
              <w:spacing w:line="460" w:lineRule="exact"/>
              <w:jc w:val="lef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bidi="ar"/>
              </w:rPr>
              <w:t>软件系统具备AASM3.0标准，支持R&amp;K 和 AASM 多种分析模式，全中文操作界面、全中文报告，并具有婴幼儿、儿童、成人三种分析功能，软件系统支持在在线监测患者数据时同步分析数据或打开分析以往数据，软件支持人工智能AI算法分析及人工分析等多种分析模式。</w:t>
            </w:r>
          </w:p>
        </w:tc>
      </w:tr>
      <w:tr w14:paraId="15D9C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5796D955">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1.3.14</w:t>
            </w:r>
          </w:p>
        </w:tc>
        <w:tc>
          <w:tcPr>
            <w:tcW w:w="4349" w:type="pct"/>
            <w:shd w:val="clear" w:color="auto" w:fill="auto"/>
            <w:vAlign w:val="top"/>
          </w:tcPr>
          <w:p w14:paraId="50A7AB0E">
            <w:pPr>
              <w:keepLines w:val="0"/>
              <w:pageBreakBefore w:val="0"/>
              <w:kinsoku/>
              <w:wordWrap/>
              <w:overflowPunct/>
              <w:topLinePunct w:val="0"/>
              <w:autoSpaceDE/>
              <w:autoSpaceDN/>
              <w:bidi w:val="0"/>
              <w:spacing w:line="460" w:lineRule="exac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bidi="ar"/>
              </w:rPr>
              <w:t>软件支持高频信号（脑电、眼电、心电、肌电）与低频信号（血压、血氧、口鼻气流、热敏气流、RIP胸腹呼吸、麦克风鼾声、体位、腿动等），支持≥16种扫描速度模式，支持上下分屏显示高频与低频信号，便于医护人员观察数据。</w:t>
            </w:r>
          </w:p>
        </w:tc>
      </w:tr>
      <w:tr w14:paraId="54D3A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73D28BC2">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1.3.15</w:t>
            </w:r>
          </w:p>
        </w:tc>
        <w:tc>
          <w:tcPr>
            <w:tcW w:w="4349" w:type="pct"/>
            <w:shd w:val="clear" w:color="auto" w:fill="auto"/>
            <w:vAlign w:val="top"/>
          </w:tcPr>
          <w:p w14:paraId="2FE272DC">
            <w:pPr>
              <w:keepNext w:val="0"/>
              <w:keepLines w:val="0"/>
              <w:pageBreakBefore w:val="0"/>
              <w:widowControl/>
              <w:numPr>
                <w:ilvl w:val="0"/>
                <w:numId w:val="0"/>
              </w:numPr>
              <w:suppressLineNumbers w:val="0"/>
              <w:kinsoku/>
              <w:wordWrap/>
              <w:overflowPunct/>
              <w:topLinePunct w:val="0"/>
              <w:autoSpaceDE/>
              <w:autoSpaceDN/>
              <w:bidi w:val="0"/>
              <w:spacing w:line="460" w:lineRule="exact"/>
              <w:ind w:leftChars="0"/>
              <w:jc w:val="lef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bidi="ar"/>
              </w:rPr>
              <w:t>软件支持实时传输记录数据时发生异常电生理信号声光报警功能，可设置例如血氧、脉率等最高最低值，低于设置阈值软件会自动在显示器前警报提示，同时支持在线模式下显示患者实时AHI指数RDI指数计算功能，方便临床进行分夜诊疗。</w:t>
            </w:r>
          </w:p>
        </w:tc>
      </w:tr>
      <w:tr w14:paraId="280B7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48B9F48F">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1.3.16</w:t>
            </w:r>
          </w:p>
        </w:tc>
        <w:tc>
          <w:tcPr>
            <w:tcW w:w="4349" w:type="pct"/>
            <w:shd w:val="clear" w:color="auto" w:fill="auto"/>
            <w:vAlign w:val="top"/>
          </w:tcPr>
          <w:p w14:paraId="5D21E5DA">
            <w:pPr>
              <w:keepLines w:val="0"/>
              <w:pageBreakBefore w:val="0"/>
              <w:kinsoku/>
              <w:wordWrap/>
              <w:overflowPunct/>
              <w:topLinePunct w:val="0"/>
              <w:autoSpaceDE/>
              <w:autoSpaceDN/>
              <w:bidi w:val="0"/>
              <w:spacing w:line="460" w:lineRule="exac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bidi="ar"/>
              </w:rPr>
              <w:t>软件系统具备生物反馈/神经反馈功能，进行生物反馈/神经反馈治疗，可反馈治疗的信号包括脑电频率、心率、心率变异性、胸腹呼吸。可通过声音、图形和数值形式来反馈治疗效果。</w:t>
            </w:r>
          </w:p>
        </w:tc>
      </w:tr>
      <w:tr w14:paraId="0285A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38298C66">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1.3.17</w:t>
            </w:r>
          </w:p>
        </w:tc>
        <w:tc>
          <w:tcPr>
            <w:tcW w:w="4349" w:type="pct"/>
            <w:shd w:val="clear" w:color="auto" w:fill="auto"/>
            <w:vAlign w:val="top"/>
          </w:tcPr>
          <w:p w14:paraId="0C236B24">
            <w:pPr>
              <w:keepNext w:val="0"/>
              <w:keepLines w:val="0"/>
              <w:pageBreakBefore w:val="0"/>
              <w:widowControl/>
              <w:numPr>
                <w:ilvl w:val="0"/>
                <w:numId w:val="0"/>
              </w:numPr>
              <w:suppressLineNumbers w:val="0"/>
              <w:kinsoku/>
              <w:wordWrap/>
              <w:overflowPunct/>
              <w:topLinePunct w:val="0"/>
              <w:autoSpaceDE/>
              <w:autoSpaceDN/>
              <w:bidi w:val="0"/>
              <w:spacing w:line="460" w:lineRule="exact"/>
              <w:ind w:leftChars="0"/>
              <w:jc w:val="lef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软件</w:t>
            </w:r>
            <w:r>
              <w:rPr>
                <w:rFonts w:hint="eastAsia" w:ascii="新宋体" w:hAnsi="新宋体" w:eastAsia="新宋体" w:cs="新宋体"/>
                <w:color w:val="auto"/>
                <w:kern w:val="0"/>
                <w:sz w:val="22"/>
                <w:szCs w:val="22"/>
                <w:highlight w:val="none"/>
                <w:lang w:val="en-US" w:eastAsia="zh-CN" w:bidi="ar"/>
              </w:rPr>
              <w:t>系统</w:t>
            </w:r>
            <w:r>
              <w:rPr>
                <w:rFonts w:hint="eastAsia" w:ascii="新宋体" w:hAnsi="新宋体" w:eastAsia="新宋体" w:cs="新宋体"/>
                <w:color w:val="auto"/>
                <w:sz w:val="22"/>
                <w:szCs w:val="22"/>
                <w:highlight w:val="none"/>
              </w:rPr>
              <w:t>具</w:t>
            </w:r>
            <w:r>
              <w:rPr>
                <w:rFonts w:hint="eastAsia" w:ascii="新宋体" w:hAnsi="新宋体" w:eastAsia="新宋体" w:cs="新宋体"/>
                <w:color w:val="auto"/>
                <w:sz w:val="22"/>
                <w:szCs w:val="22"/>
                <w:highlight w:val="none"/>
                <w:lang w:val="en-US" w:eastAsia="zh-CN"/>
              </w:rPr>
              <w:t>备</w:t>
            </w:r>
            <w:r>
              <w:rPr>
                <w:rFonts w:hint="eastAsia" w:ascii="新宋体" w:hAnsi="新宋体" w:eastAsia="新宋体" w:cs="新宋体"/>
                <w:color w:val="auto"/>
                <w:kern w:val="0"/>
                <w:sz w:val="22"/>
                <w:szCs w:val="22"/>
                <w:highlight w:val="none"/>
                <w:lang w:val="en-US" w:eastAsia="zh-CN" w:bidi="ar"/>
              </w:rPr>
              <w:t>心率变异性分析功能：可分析结果包括时域结果：平均RR间期、RRSD、SD1、SD2、SD1/SD2，和频域结果：HF、LF、LF/HF。</w:t>
            </w:r>
          </w:p>
        </w:tc>
      </w:tr>
      <w:tr w14:paraId="7C378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59DC77B5">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1.3.18</w:t>
            </w:r>
          </w:p>
        </w:tc>
        <w:tc>
          <w:tcPr>
            <w:tcW w:w="4349" w:type="pct"/>
            <w:shd w:val="clear" w:color="auto" w:fill="auto"/>
            <w:vAlign w:val="top"/>
          </w:tcPr>
          <w:p w14:paraId="0BFFC996">
            <w:pPr>
              <w:keepLines w:val="0"/>
              <w:pageBreakBefore w:val="0"/>
              <w:kinsoku/>
              <w:wordWrap/>
              <w:overflowPunct/>
              <w:topLinePunct w:val="0"/>
              <w:autoSpaceDE/>
              <w:autoSpaceDN/>
              <w:bidi w:val="0"/>
              <w:spacing w:line="460" w:lineRule="exac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rPr>
              <w:t>软件</w:t>
            </w:r>
            <w:r>
              <w:rPr>
                <w:rFonts w:hint="eastAsia" w:ascii="新宋体" w:hAnsi="新宋体" w:eastAsia="新宋体" w:cs="新宋体"/>
                <w:color w:val="auto"/>
                <w:kern w:val="0"/>
                <w:sz w:val="22"/>
                <w:szCs w:val="22"/>
                <w:highlight w:val="none"/>
                <w:lang w:val="en-US" w:eastAsia="zh-CN" w:bidi="ar"/>
              </w:rPr>
              <w:t>系统</w:t>
            </w:r>
            <w:r>
              <w:rPr>
                <w:rFonts w:hint="eastAsia" w:ascii="新宋体" w:hAnsi="新宋体" w:eastAsia="新宋体" w:cs="新宋体"/>
                <w:color w:val="auto"/>
                <w:sz w:val="22"/>
                <w:szCs w:val="22"/>
                <w:highlight w:val="none"/>
              </w:rPr>
              <w:t>具有胸腹相位角分析功能，通过计算胸腹相位角的度数，并出具相位角分析报告；患者气流探头脱落时，可以根据胸腹相位角的度数计算呼吸暂停指数。</w:t>
            </w:r>
          </w:p>
        </w:tc>
      </w:tr>
      <w:tr w14:paraId="1B2DC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7D821049">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1.3.19</w:t>
            </w:r>
          </w:p>
        </w:tc>
        <w:tc>
          <w:tcPr>
            <w:tcW w:w="4349" w:type="pct"/>
            <w:shd w:val="clear" w:color="auto" w:fill="auto"/>
            <w:vAlign w:val="top"/>
          </w:tcPr>
          <w:p w14:paraId="31D6355A">
            <w:pPr>
              <w:keepLines w:val="0"/>
              <w:pageBreakBefore w:val="0"/>
              <w:kinsoku/>
              <w:wordWrap/>
              <w:overflowPunct/>
              <w:topLinePunct w:val="0"/>
              <w:autoSpaceDE/>
              <w:autoSpaceDN/>
              <w:bidi w:val="0"/>
              <w:spacing w:line="460" w:lineRule="exac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rPr>
              <w:t>软件</w:t>
            </w:r>
            <w:r>
              <w:rPr>
                <w:rFonts w:hint="eastAsia" w:ascii="新宋体" w:hAnsi="新宋体" w:eastAsia="新宋体" w:cs="新宋体"/>
                <w:color w:val="auto"/>
                <w:kern w:val="0"/>
                <w:sz w:val="22"/>
                <w:szCs w:val="22"/>
                <w:highlight w:val="none"/>
                <w:lang w:val="en-US" w:eastAsia="zh-CN" w:bidi="ar"/>
              </w:rPr>
              <w:t>系统</w:t>
            </w:r>
            <w:r>
              <w:rPr>
                <w:rFonts w:hint="eastAsia" w:ascii="新宋体" w:hAnsi="新宋体" w:eastAsia="新宋体" w:cs="新宋体"/>
                <w:color w:val="auto"/>
                <w:sz w:val="22"/>
                <w:szCs w:val="22"/>
                <w:highlight w:val="none"/>
              </w:rPr>
              <w:t>具有心电散点图分析功能，将心率RR与RR(n+1)间期显示于坐标轴中，根据单象限散点图分布情况来辅助诊断窦性心搏、室性早搏、心房颤动等相关病症。</w:t>
            </w:r>
          </w:p>
        </w:tc>
      </w:tr>
      <w:tr w14:paraId="3BCED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7651D5CA">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1.3.20</w:t>
            </w:r>
          </w:p>
        </w:tc>
        <w:tc>
          <w:tcPr>
            <w:tcW w:w="4349" w:type="pct"/>
            <w:shd w:val="clear" w:color="auto" w:fill="auto"/>
            <w:vAlign w:val="top"/>
          </w:tcPr>
          <w:p w14:paraId="21B1EE22">
            <w:pPr>
              <w:keepLines w:val="0"/>
              <w:pageBreakBefore w:val="0"/>
              <w:kinsoku/>
              <w:wordWrap/>
              <w:overflowPunct/>
              <w:topLinePunct w:val="0"/>
              <w:autoSpaceDE/>
              <w:autoSpaceDN/>
              <w:bidi w:val="0"/>
              <w:spacing w:line="460" w:lineRule="exac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软件</w:t>
            </w:r>
            <w:r>
              <w:rPr>
                <w:rFonts w:hint="eastAsia" w:ascii="新宋体" w:hAnsi="新宋体" w:eastAsia="新宋体" w:cs="新宋体"/>
                <w:color w:val="auto"/>
                <w:kern w:val="0"/>
                <w:sz w:val="22"/>
                <w:szCs w:val="22"/>
                <w:highlight w:val="none"/>
                <w:lang w:val="en-US" w:eastAsia="zh-CN" w:bidi="ar"/>
              </w:rPr>
              <w:t>系统</w:t>
            </w:r>
            <w:r>
              <w:rPr>
                <w:rFonts w:hint="eastAsia" w:ascii="新宋体" w:hAnsi="新宋体" w:eastAsia="新宋体" w:cs="新宋体"/>
                <w:color w:val="auto"/>
                <w:sz w:val="22"/>
                <w:szCs w:val="22"/>
                <w:highlight w:val="none"/>
              </w:rPr>
              <w:t>具有鼾声频率分析、鼾声频谱或功率图功能，可选配采样频率达</w:t>
            </w:r>
            <w:r>
              <w:rPr>
                <w:rFonts w:hint="default" w:ascii="Arial" w:hAnsi="Arial" w:eastAsia="新宋体" w:cs="Arial"/>
                <w:color w:val="auto"/>
                <w:sz w:val="22"/>
                <w:szCs w:val="22"/>
                <w:highlight w:val="none"/>
              </w:rPr>
              <w:t>≥</w:t>
            </w:r>
            <w:r>
              <w:rPr>
                <w:rFonts w:hint="eastAsia" w:ascii="新宋体" w:hAnsi="新宋体" w:eastAsia="新宋体" w:cs="新宋体"/>
                <w:color w:val="auto"/>
                <w:sz w:val="22"/>
                <w:szCs w:val="22"/>
                <w:highlight w:val="none"/>
              </w:rPr>
              <w:t>4096Hz的高频鼾声探头，可以通过分析患者鼾声频谱图推断患者阻塞部位</w:t>
            </w:r>
            <w:r>
              <w:rPr>
                <w:rFonts w:hint="eastAsia" w:ascii="新宋体" w:hAnsi="新宋体" w:eastAsia="新宋体" w:cs="新宋体"/>
                <w:color w:val="auto"/>
                <w:sz w:val="22"/>
                <w:szCs w:val="22"/>
                <w:highlight w:val="none"/>
                <w:lang w:eastAsia="zh-CN"/>
              </w:rPr>
              <w:t>。</w:t>
            </w:r>
          </w:p>
        </w:tc>
      </w:tr>
      <w:tr w14:paraId="747CD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1A2E3E50">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1.3.21</w:t>
            </w:r>
          </w:p>
        </w:tc>
        <w:tc>
          <w:tcPr>
            <w:tcW w:w="4349" w:type="pct"/>
            <w:shd w:val="clear" w:color="auto" w:fill="auto"/>
            <w:vAlign w:val="top"/>
          </w:tcPr>
          <w:p w14:paraId="15484609">
            <w:pPr>
              <w:keepLines w:val="0"/>
              <w:pageBreakBefore w:val="0"/>
              <w:kinsoku/>
              <w:wordWrap/>
              <w:overflowPunct/>
              <w:topLinePunct w:val="0"/>
              <w:autoSpaceDE/>
              <w:autoSpaceDN/>
              <w:bidi w:val="0"/>
              <w:spacing w:line="460" w:lineRule="exac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rPr>
              <w:t>软件</w:t>
            </w:r>
            <w:r>
              <w:rPr>
                <w:rFonts w:hint="eastAsia" w:ascii="新宋体" w:hAnsi="新宋体" w:eastAsia="新宋体" w:cs="新宋体"/>
                <w:color w:val="auto"/>
                <w:kern w:val="0"/>
                <w:sz w:val="22"/>
                <w:szCs w:val="22"/>
                <w:highlight w:val="none"/>
                <w:lang w:val="en-US" w:eastAsia="zh-CN" w:bidi="ar"/>
              </w:rPr>
              <w:t>系统</w:t>
            </w:r>
            <w:r>
              <w:rPr>
                <w:rFonts w:hint="eastAsia" w:ascii="新宋体" w:hAnsi="新宋体" w:eastAsia="新宋体" w:cs="新宋体"/>
                <w:color w:val="auto"/>
                <w:sz w:val="22"/>
                <w:szCs w:val="22"/>
                <w:highlight w:val="none"/>
              </w:rPr>
              <w:t>具有高精度3D脑电地形图和癫痫棘波分析功能</w:t>
            </w:r>
            <w:r>
              <w:rPr>
                <w:rFonts w:hint="eastAsia" w:ascii="新宋体" w:hAnsi="新宋体" w:eastAsia="新宋体" w:cs="新宋体"/>
                <w:color w:val="auto"/>
                <w:sz w:val="22"/>
                <w:szCs w:val="22"/>
                <w:highlight w:val="none"/>
                <w:lang w:eastAsia="zh-CN"/>
              </w:rPr>
              <w:t>。</w:t>
            </w:r>
          </w:p>
        </w:tc>
      </w:tr>
      <w:tr w14:paraId="35E8B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5FF86ED8">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1.3.22</w:t>
            </w:r>
          </w:p>
        </w:tc>
        <w:tc>
          <w:tcPr>
            <w:tcW w:w="4349" w:type="pct"/>
            <w:shd w:val="clear" w:color="auto" w:fill="auto"/>
            <w:vAlign w:val="top"/>
          </w:tcPr>
          <w:p w14:paraId="5831A77B">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软件具备血压监测技术，可实时同步</w:t>
            </w:r>
            <w:r>
              <w:rPr>
                <w:rFonts w:hint="eastAsia" w:ascii="新宋体" w:hAnsi="新宋体" w:eastAsia="新宋体" w:cs="新宋体"/>
                <w:color w:val="auto"/>
                <w:sz w:val="22"/>
                <w:szCs w:val="22"/>
                <w:highlight w:val="none"/>
              </w:rPr>
              <w:t>监测睡眠数据</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监测完毕后，可结合整晚的睡眠数据给出完整的睡眠报告</w:t>
            </w:r>
            <w:r>
              <w:rPr>
                <w:rFonts w:hint="eastAsia" w:ascii="新宋体" w:hAnsi="新宋体" w:eastAsia="新宋体" w:cs="新宋体"/>
                <w:color w:val="auto"/>
                <w:sz w:val="22"/>
                <w:szCs w:val="22"/>
                <w:highlight w:val="none"/>
                <w:lang w:eastAsia="zh-CN"/>
              </w:rPr>
              <w:t>（内含血压监测数据）</w:t>
            </w:r>
          </w:p>
        </w:tc>
      </w:tr>
      <w:tr w14:paraId="67E62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690AC7AE">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1.3.23</w:t>
            </w:r>
          </w:p>
        </w:tc>
        <w:tc>
          <w:tcPr>
            <w:tcW w:w="4349" w:type="pct"/>
            <w:shd w:val="clear" w:color="auto" w:fill="auto"/>
            <w:vAlign w:val="top"/>
          </w:tcPr>
          <w:p w14:paraId="0DC5074B">
            <w:pPr>
              <w:keepLines w:val="0"/>
              <w:pageBreakBefore w:val="0"/>
              <w:kinsoku/>
              <w:wordWrap/>
              <w:overflowPunct/>
              <w:topLinePunct w:val="0"/>
              <w:autoSpaceDE/>
              <w:autoSpaceDN/>
              <w:bidi w:val="0"/>
              <w:spacing w:line="460" w:lineRule="exac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软件系统具备数据库及学术研究管理软件，数据管理包括：复制数据、移动数据、删除数据、剪辑数据、合并片段数据、刻录数据、</w:t>
            </w:r>
            <w:r>
              <w:rPr>
                <w:rFonts w:hint="eastAsia" w:ascii="新宋体" w:hAnsi="新宋体" w:eastAsia="新宋体" w:cs="新宋体"/>
                <w:color w:val="auto"/>
                <w:sz w:val="22"/>
                <w:szCs w:val="22"/>
                <w:highlight w:val="none"/>
              </w:rPr>
              <w:t>患者原始数据可导出EDF、RIFF、EXE文件，同时可将所需要的原始和分析数据的波形及趋势直接导出为图片格式。</w:t>
            </w:r>
          </w:p>
        </w:tc>
      </w:tr>
      <w:tr w14:paraId="62200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650" w:type="pct"/>
            <w:shd w:val="clear" w:color="auto" w:fill="auto"/>
            <w:vAlign w:val="top"/>
          </w:tcPr>
          <w:p w14:paraId="09623426">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1.3.24</w:t>
            </w:r>
          </w:p>
        </w:tc>
        <w:tc>
          <w:tcPr>
            <w:tcW w:w="4349" w:type="pct"/>
            <w:shd w:val="clear" w:color="auto" w:fill="auto"/>
            <w:vAlign w:val="top"/>
          </w:tcPr>
          <w:p w14:paraId="6897E9C1">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软件系统具备可自动分析呼吸容量，包括潮气量和分钟通气量。</w:t>
            </w:r>
          </w:p>
        </w:tc>
      </w:tr>
      <w:tr w14:paraId="40685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05EAC777">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1.3.25</w:t>
            </w:r>
          </w:p>
        </w:tc>
        <w:tc>
          <w:tcPr>
            <w:tcW w:w="4349" w:type="pct"/>
            <w:shd w:val="clear" w:color="auto" w:fill="auto"/>
            <w:vAlign w:val="top"/>
          </w:tcPr>
          <w:p w14:paraId="4107A5C3">
            <w:pPr>
              <w:keepLines w:val="0"/>
              <w:pageBreakBefore w:val="0"/>
              <w:kinsoku/>
              <w:wordWrap/>
              <w:overflowPunct/>
              <w:topLinePunct w:val="0"/>
              <w:autoSpaceDE/>
              <w:autoSpaceDN/>
              <w:bidi w:val="0"/>
              <w:spacing w:line="460" w:lineRule="exac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软件系统具备可自动或手动分析磨牙事件，包括时相性和紧张性磨牙。</w:t>
            </w:r>
          </w:p>
        </w:tc>
      </w:tr>
      <w:tr w14:paraId="2C5D4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25FE7280">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1.3.26</w:t>
            </w:r>
          </w:p>
        </w:tc>
        <w:tc>
          <w:tcPr>
            <w:tcW w:w="4349" w:type="pct"/>
            <w:shd w:val="clear" w:color="auto" w:fill="auto"/>
            <w:vAlign w:val="top"/>
          </w:tcPr>
          <w:p w14:paraId="3689684C">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设备主机支持连接</w:t>
            </w:r>
            <w:r>
              <w:rPr>
                <w:rFonts w:hint="eastAsia" w:ascii="新宋体" w:hAnsi="新宋体" w:eastAsia="新宋体" w:cs="新宋体"/>
                <w:color w:val="auto"/>
                <w:sz w:val="22"/>
                <w:szCs w:val="22"/>
                <w:highlight w:val="none"/>
                <w:lang w:eastAsia="zh-CN"/>
              </w:rPr>
              <w:t>至少三家</w:t>
            </w:r>
            <w:r>
              <w:rPr>
                <w:rFonts w:hint="eastAsia" w:ascii="新宋体" w:hAnsi="新宋体" w:eastAsia="新宋体" w:cs="新宋体"/>
                <w:color w:val="auto"/>
                <w:sz w:val="22"/>
                <w:szCs w:val="22"/>
                <w:highlight w:val="none"/>
              </w:rPr>
              <w:t>品牌呼吸机进行压力滴定，支持自动滴定</w:t>
            </w:r>
            <w:r>
              <w:rPr>
                <w:rFonts w:hint="eastAsia" w:ascii="新宋体" w:hAnsi="新宋体" w:eastAsia="新宋体" w:cs="新宋体"/>
                <w:color w:val="auto"/>
                <w:sz w:val="22"/>
                <w:szCs w:val="22"/>
                <w:highlight w:val="none"/>
                <w:lang w:eastAsia="zh-CN"/>
              </w:rPr>
              <w:t>。</w:t>
            </w:r>
          </w:p>
        </w:tc>
      </w:tr>
      <w:tr w14:paraId="14019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34F1C3F0">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1.3.27</w:t>
            </w:r>
          </w:p>
        </w:tc>
        <w:tc>
          <w:tcPr>
            <w:tcW w:w="4349" w:type="pct"/>
            <w:shd w:val="clear" w:color="auto" w:fill="auto"/>
            <w:vAlign w:val="top"/>
          </w:tcPr>
          <w:p w14:paraId="1A5AAF70">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软件系统具备</w:t>
            </w:r>
            <w:r>
              <w:rPr>
                <w:rFonts w:hint="eastAsia" w:ascii="新宋体" w:hAnsi="新宋体" w:eastAsia="新宋体" w:cs="新宋体"/>
                <w:color w:val="auto"/>
                <w:sz w:val="22"/>
                <w:szCs w:val="22"/>
                <w:highlight w:val="none"/>
                <w:lang w:eastAsia="zh-CN"/>
              </w:rPr>
              <w:t>分析配套</w:t>
            </w:r>
            <w:r>
              <w:rPr>
                <w:rFonts w:hint="eastAsia" w:ascii="新宋体" w:hAnsi="新宋体" w:eastAsia="新宋体" w:cs="新宋体"/>
                <w:color w:val="auto"/>
                <w:sz w:val="22"/>
                <w:szCs w:val="22"/>
                <w:highlight w:val="none"/>
                <w:lang w:val="en-US" w:eastAsia="zh-CN"/>
              </w:rPr>
              <w:t>呼吸机</w:t>
            </w:r>
            <w:r>
              <w:rPr>
                <w:rFonts w:hint="eastAsia" w:ascii="新宋体" w:hAnsi="新宋体" w:eastAsia="新宋体" w:cs="新宋体"/>
                <w:color w:val="auto"/>
                <w:sz w:val="22"/>
                <w:szCs w:val="22"/>
                <w:highlight w:val="none"/>
                <w:lang w:eastAsia="zh-CN"/>
              </w:rPr>
              <w:t>CPAP、Bi-Level、Auto-ASV、SV等正压通气参数数据，并在报告中以不同参数统计显示各种睡眠事件的次数与指数。</w:t>
            </w:r>
          </w:p>
          <w:p w14:paraId="0DFB4A5A">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软件系统具备</w:t>
            </w:r>
            <w:r>
              <w:rPr>
                <w:rFonts w:hint="eastAsia" w:ascii="新宋体" w:hAnsi="新宋体" w:eastAsia="新宋体" w:cs="新宋体"/>
                <w:color w:val="auto"/>
                <w:sz w:val="22"/>
                <w:szCs w:val="22"/>
                <w:highlight w:val="none"/>
                <w:lang w:eastAsia="zh-CN"/>
              </w:rPr>
              <w:t>进行CO</w:t>
            </w:r>
            <w:r>
              <w:rPr>
                <w:rFonts w:hint="eastAsia" w:ascii="新宋体" w:hAnsi="新宋体" w:eastAsia="新宋体" w:cs="新宋体"/>
                <w:color w:val="auto"/>
                <w:sz w:val="22"/>
                <w:szCs w:val="22"/>
                <w:highlight w:val="none"/>
                <w:vertAlign w:val="subscript"/>
                <w:lang w:eastAsia="zh-CN"/>
              </w:rPr>
              <w:t>2</w:t>
            </w:r>
            <w:r>
              <w:rPr>
                <w:rFonts w:hint="eastAsia" w:ascii="新宋体" w:hAnsi="新宋体" w:eastAsia="新宋体" w:cs="新宋体"/>
                <w:color w:val="auto"/>
                <w:sz w:val="22"/>
                <w:szCs w:val="22"/>
                <w:highlight w:val="none"/>
                <w:lang w:eastAsia="zh-CN"/>
              </w:rPr>
              <w:t>数据（旁流或经皮）分析的</w:t>
            </w:r>
            <w:r>
              <w:rPr>
                <w:rFonts w:hint="eastAsia" w:ascii="新宋体" w:hAnsi="新宋体" w:eastAsia="新宋体" w:cs="新宋体"/>
                <w:color w:val="auto"/>
                <w:sz w:val="22"/>
                <w:szCs w:val="22"/>
                <w:highlight w:val="none"/>
                <w:lang w:val="en-US" w:eastAsia="zh-CN"/>
              </w:rPr>
              <w:t>功能</w:t>
            </w:r>
            <w:r>
              <w:rPr>
                <w:rFonts w:hint="eastAsia" w:ascii="新宋体" w:hAnsi="新宋体" w:eastAsia="新宋体" w:cs="新宋体"/>
                <w:color w:val="auto"/>
                <w:sz w:val="22"/>
                <w:szCs w:val="22"/>
                <w:highlight w:val="none"/>
                <w:lang w:eastAsia="zh-CN"/>
              </w:rPr>
              <w:t>，依据设定的阈值自动判断低碳酸血和高碳酸血以及通气不足。</w:t>
            </w:r>
          </w:p>
        </w:tc>
      </w:tr>
      <w:tr w14:paraId="64D8E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62DB9B24">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1.3.28</w:t>
            </w:r>
          </w:p>
        </w:tc>
        <w:tc>
          <w:tcPr>
            <w:tcW w:w="4349" w:type="pct"/>
            <w:shd w:val="clear" w:color="auto" w:fill="auto"/>
            <w:vAlign w:val="top"/>
          </w:tcPr>
          <w:p w14:paraId="694D5048">
            <w:pPr>
              <w:keepLines w:val="0"/>
              <w:pageBreakBefore w:val="0"/>
              <w:numPr>
                <w:ilvl w:val="0"/>
                <w:numId w:val="0"/>
              </w:numPr>
              <w:kinsoku/>
              <w:wordWrap/>
              <w:overflowPunct/>
              <w:topLinePunct w:val="0"/>
              <w:autoSpaceDE/>
              <w:autoSpaceDN/>
              <w:bidi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软件</w:t>
            </w:r>
            <w:r>
              <w:rPr>
                <w:rFonts w:hint="eastAsia" w:ascii="新宋体" w:hAnsi="新宋体" w:eastAsia="新宋体" w:cs="新宋体"/>
                <w:color w:val="auto"/>
                <w:sz w:val="22"/>
                <w:szCs w:val="22"/>
                <w:highlight w:val="none"/>
                <w:lang w:val="en-US" w:eastAsia="zh-CN"/>
              </w:rPr>
              <w:t>系统</w:t>
            </w:r>
            <w:r>
              <w:rPr>
                <w:rFonts w:hint="eastAsia" w:ascii="新宋体" w:hAnsi="新宋体" w:eastAsia="新宋体" w:cs="新宋体"/>
                <w:color w:val="auto"/>
                <w:sz w:val="22"/>
                <w:szCs w:val="22"/>
                <w:highlight w:val="none"/>
              </w:rPr>
              <w:t>具备所有分析结果均可出具在报告中</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报告模板可自定义，包括章节自选型报告模板，或完全自定义报告模板内置标准PSG报告、MSLT（多次小睡潜伏期试验</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和MWT（醒觉维持试验）报告模板</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报告模板可采用软件内置模板，或者Word格式模板</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报告结果可导出为SPSS格式、Excel格式或Word格式可以多种语言出具报告</w:t>
            </w:r>
            <w:r>
              <w:rPr>
                <w:rFonts w:hint="eastAsia" w:ascii="新宋体" w:hAnsi="新宋体" w:eastAsia="新宋体" w:cs="新宋体"/>
                <w:color w:val="auto"/>
                <w:sz w:val="22"/>
                <w:szCs w:val="22"/>
                <w:highlight w:val="none"/>
                <w:lang w:eastAsia="zh-CN"/>
              </w:rPr>
              <w:t>。</w:t>
            </w:r>
          </w:p>
        </w:tc>
      </w:tr>
      <w:tr w14:paraId="7FCF4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4950400E">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1.3.29</w:t>
            </w:r>
          </w:p>
        </w:tc>
        <w:tc>
          <w:tcPr>
            <w:tcW w:w="4349" w:type="pct"/>
            <w:shd w:val="clear" w:color="auto" w:fill="auto"/>
            <w:vAlign w:val="top"/>
          </w:tcPr>
          <w:p w14:paraId="368187E1">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软件</w:t>
            </w:r>
            <w:r>
              <w:rPr>
                <w:rFonts w:hint="eastAsia" w:ascii="新宋体" w:hAnsi="新宋体" w:eastAsia="新宋体" w:cs="新宋体"/>
                <w:color w:val="auto"/>
                <w:sz w:val="22"/>
                <w:szCs w:val="22"/>
                <w:highlight w:val="none"/>
                <w:lang w:val="en-US" w:eastAsia="zh-CN"/>
              </w:rPr>
              <w:t>系统</w:t>
            </w:r>
            <w:r>
              <w:rPr>
                <w:rFonts w:hint="eastAsia" w:ascii="新宋体" w:hAnsi="新宋体" w:eastAsia="新宋体" w:cs="新宋体"/>
                <w:color w:val="auto"/>
                <w:sz w:val="22"/>
                <w:szCs w:val="22"/>
                <w:highlight w:val="none"/>
              </w:rPr>
              <w:t>具备可在报告中以总结图形显示睡眠中各种情况的严重程度，不同严重程度</w:t>
            </w:r>
            <w:r>
              <w:rPr>
                <w:rFonts w:hint="eastAsia" w:ascii="新宋体" w:hAnsi="新宋体" w:eastAsia="新宋体" w:cs="新宋体"/>
                <w:color w:val="auto"/>
                <w:sz w:val="22"/>
                <w:szCs w:val="22"/>
                <w:highlight w:val="none"/>
                <w:lang w:eastAsia="zh-CN"/>
              </w:rPr>
              <w:t>可区别</w:t>
            </w:r>
            <w:r>
              <w:rPr>
                <w:rFonts w:hint="eastAsia" w:ascii="新宋体" w:hAnsi="新宋体" w:eastAsia="新宋体" w:cs="新宋体"/>
                <w:color w:val="auto"/>
                <w:sz w:val="22"/>
                <w:szCs w:val="22"/>
                <w:highlight w:val="none"/>
              </w:rPr>
              <w:t>显示</w:t>
            </w:r>
            <w:r>
              <w:rPr>
                <w:rFonts w:hint="eastAsia" w:ascii="新宋体" w:hAnsi="新宋体" w:eastAsia="新宋体" w:cs="新宋体"/>
                <w:color w:val="auto"/>
                <w:sz w:val="22"/>
                <w:szCs w:val="22"/>
                <w:highlight w:val="none"/>
                <w:lang w:eastAsia="zh-CN"/>
              </w:rPr>
              <w:t>。</w:t>
            </w:r>
          </w:p>
        </w:tc>
      </w:tr>
      <w:tr w14:paraId="5F279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4957A6FF">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1.3.30</w:t>
            </w:r>
          </w:p>
        </w:tc>
        <w:tc>
          <w:tcPr>
            <w:tcW w:w="4349" w:type="pct"/>
            <w:shd w:val="clear" w:color="auto" w:fill="auto"/>
            <w:vAlign w:val="top"/>
          </w:tcPr>
          <w:p w14:paraId="56432B31">
            <w:pPr>
              <w:keepLines w:val="0"/>
              <w:pageBreakBefore w:val="0"/>
              <w:numPr>
                <w:ilvl w:val="0"/>
                <w:numId w:val="0"/>
              </w:numPr>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软件系统兼容多个多导睡眠产品厂家的</w:t>
            </w:r>
            <w:r>
              <w:rPr>
                <w:rFonts w:hint="eastAsia" w:ascii="新宋体" w:hAnsi="新宋体" w:eastAsia="新宋体" w:cs="新宋体"/>
                <w:color w:val="auto"/>
                <w:sz w:val="22"/>
                <w:szCs w:val="22"/>
                <w:highlight w:val="none"/>
              </w:rPr>
              <w:t>数据</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患者</w:t>
            </w:r>
            <w:r>
              <w:rPr>
                <w:rFonts w:hint="eastAsia" w:ascii="新宋体" w:hAnsi="新宋体" w:eastAsia="新宋体" w:cs="新宋体"/>
                <w:color w:val="auto"/>
                <w:sz w:val="22"/>
                <w:szCs w:val="22"/>
                <w:highlight w:val="none"/>
              </w:rPr>
              <w:t>数据可转成 EDF 格式输出、</w:t>
            </w:r>
            <w:r>
              <w:rPr>
                <w:rFonts w:hint="eastAsia" w:ascii="新宋体" w:hAnsi="新宋体" w:eastAsia="新宋体" w:cs="新宋体"/>
                <w:color w:val="auto"/>
                <w:sz w:val="22"/>
                <w:szCs w:val="22"/>
                <w:highlight w:val="none"/>
                <w:lang w:val="en-US" w:eastAsia="zh-CN"/>
              </w:rPr>
              <w:t>RIFF格式输出、</w:t>
            </w:r>
            <w:r>
              <w:rPr>
                <w:rFonts w:hint="eastAsia" w:ascii="新宋体" w:hAnsi="新宋体" w:eastAsia="新宋体" w:cs="新宋体"/>
                <w:color w:val="auto"/>
                <w:sz w:val="22"/>
                <w:szCs w:val="22"/>
                <w:highlight w:val="none"/>
              </w:rPr>
              <w:t>ASCII格式输出。睡眠分期、呼吸事件</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血压事件、血氧事件、体动体位事件等</w:t>
            </w:r>
            <w:r>
              <w:rPr>
                <w:rFonts w:hint="eastAsia" w:ascii="新宋体" w:hAnsi="新宋体" w:eastAsia="新宋体" w:cs="新宋体"/>
                <w:color w:val="auto"/>
                <w:sz w:val="22"/>
                <w:szCs w:val="22"/>
                <w:highlight w:val="none"/>
              </w:rPr>
              <w:t xml:space="preserve">分析结果可以输出 ASCII 或 </w:t>
            </w:r>
            <w:r>
              <w:rPr>
                <w:rFonts w:hint="eastAsia" w:ascii="新宋体" w:hAnsi="新宋体" w:eastAsia="新宋体" w:cs="新宋体"/>
                <w:color w:val="auto"/>
                <w:sz w:val="22"/>
                <w:szCs w:val="22"/>
                <w:highlight w:val="none"/>
                <w:lang w:val="en-US" w:eastAsia="zh-CN"/>
              </w:rPr>
              <w:t>EXE、TXT</w:t>
            </w:r>
            <w:r>
              <w:rPr>
                <w:rFonts w:hint="eastAsia" w:ascii="新宋体" w:hAnsi="新宋体" w:eastAsia="新宋体" w:cs="新宋体"/>
                <w:color w:val="auto"/>
                <w:sz w:val="22"/>
                <w:szCs w:val="22"/>
                <w:highlight w:val="none"/>
              </w:rPr>
              <w:t>文件，便于导入分析结果用于科研。</w:t>
            </w:r>
          </w:p>
        </w:tc>
      </w:tr>
      <w:tr w14:paraId="7088D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5C66D329">
            <w:pPr>
              <w:keepLines w:val="0"/>
              <w:pageBreakBefore w:val="0"/>
              <w:kinsoku/>
              <w:wordWrap/>
              <w:overflowPunct/>
              <w:topLinePunct w:val="0"/>
              <w:autoSpaceDE/>
              <w:autoSpaceDN/>
              <w:bidi w:val="0"/>
              <w:spacing w:line="460" w:lineRule="exact"/>
              <w:jc w:val="left"/>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1.3.31</w:t>
            </w:r>
          </w:p>
        </w:tc>
        <w:tc>
          <w:tcPr>
            <w:tcW w:w="4349" w:type="pct"/>
            <w:shd w:val="clear" w:color="auto" w:fill="auto"/>
            <w:vAlign w:val="top"/>
          </w:tcPr>
          <w:p w14:paraId="2D0EE685">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软件系统具有快速傅里叶变换（FFT）功能，可对不同频率的脑电能量及鼾声进行快速傅里叶变换（FFT）分析。</w:t>
            </w:r>
          </w:p>
        </w:tc>
      </w:tr>
      <w:tr w14:paraId="61241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65F267F3">
            <w:pPr>
              <w:keepLines w:val="0"/>
              <w:pageBreakBefore w:val="0"/>
              <w:kinsoku/>
              <w:wordWrap/>
              <w:overflowPunct/>
              <w:topLinePunct w:val="0"/>
              <w:autoSpaceDE/>
              <w:autoSpaceDN/>
              <w:bidi w:val="0"/>
              <w:spacing w:line="460" w:lineRule="exact"/>
              <w:jc w:val="left"/>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1.4</w:t>
            </w:r>
          </w:p>
        </w:tc>
        <w:tc>
          <w:tcPr>
            <w:tcW w:w="4349" w:type="pct"/>
            <w:shd w:val="clear" w:color="auto" w:fill="auto"/>
            <w:vAlign w:val="top"/>
          </w:tcPr>
          <w:p w14:paraId="50761DFE">
            <w:pPr>
              <w:keepLines w:val="0"/>
              <w:pageBreakBefore w:val="0"/>
              <w:kinsoku/>
              <w:wordWrap/>
              <w:overflowPunct/>
              <w:topLinePunct w:val="0"/>
              <w:autoSpaceDE/>
              <w:autoSpaceDN/>
              <w:bidi w:val="0"/>
              <w:spacing w:line="460" w:lineRule="exact"/>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配置清单</w:t>
            </w:r>
          </w:p>
        </w:tc>
      </w:tr>
      <w:tr w14:paraId="21166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21E6D2B8">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4.1</w:t>
            </w:r>
          </w:p>
        </w:tc>
        <w:tc>
          <w:tcPr>
            <w:tcW w:w="4349" w:type="pct"/>
            <w:shd w:val="clear" w:color="auto" w:fill="auto"/>
            <w:vAlign w:val="top"/>
          </w:tcPr>
          <w:p w14:paraId="51F15DA8">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多导睡眠记录仪-主机1台</w:t>
            </w:r>
          </w:p>
        </w:tc>
      </w:tr>
      <w:tr w14:paraId="0CAF3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4D1C4409">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1.4.2</w:t>
            </w:r>
          </w:p>
        </w:tc>
        <w:tc>
          <w:tcPr>
            <w:tcW w:w="4349" w:type="pct"/>
            <w:shd w:val="clear" w:color="auto" w:fill="auto"/>
            <w:vAlign w:val="top"/>
          </w:tcPr>
          <w:p w14:paraId="0373E75E">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放大器-脑电头盒1个</w:t>
            </w:r>
          </w:p>
        </w:tc>
      </w:tr>
      <w:tr w14:paraId="1744E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14A5D768">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1.4.3</w:t>
            </w:r>
          </w:p>
        </w:tc>
        <w:tc>
          <w:tcPr>
            <w:tcW w:w="4349" w:type="pct"/>
            <w:shd w:val="clear" w:color="auto" w:fill="auto"/>
            <w:vAlign w:val="top"/>
          </w:tcPr>
          <w:p w14:paraId="00935A87">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口鼻压力传感器、热敏气流传感器、血氧探头、胸腹呼吸模块各一套</w:t>
            </w:r>
          </w:p>
        </w:tc>
      </w:tr>
      <w:tr w14:paraId="1D494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13C136A5">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1.4.4</w:t>
            </w:r>
          </w:p>
        </w:tc>
        <w:tc>
          <w:tcPr>
            <w:tcW w:w="4349" w:type="pct"/>
            <w:shd w:val="clear" w:color="auto" w:fill="auto"/>
            <w:vAlign w:val="top"/>
          </w:tcPr>
          <w:p w14:paraId="01A68F3D">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腿动探头一个</w:t>
            </w:r>
          </w:p>
        </w:tc>
      </w:tr>
      <w:tr w14:paraId="6E2C3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6388E7C9">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1.4.5</w:t>
            </w:r>
          </w:p>
        </w:tc>
        <w:tc>
          <w:tcPr>
            <w:tcW w:w="4349" w:type="pct"/>
            <w:shd w:val="clear" w:color="auto" w:fill="auto"/>
            <w:vAlign w:val="top"/>
          </w:tcPr>
          <w:p w14:paraId="4550B991">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锂电池2块</w:t>
            </w:r>
          </w:p>
        </w:tc>
      </w:tr>
      <w:tr w14:paraId="663AD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34D08637">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1.4.6</w:t>
            </w:r>
          </w:p>
        </w:tc>
        <w:tc>
          <w:tcPr>
            <w:tcW w:w="4349" w:type="pct"/>
            <w:shd w:val="clear" w:color="auto" w:fill="auto"/>
            <w:vAlign w:val="top"/>
          </w:tcPr>
          <w:p w14:paraId="383FFD26">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锂电池充电器2块</w:t>
            </w:r>
          </w:p>
        </w:tc>
      </w:tr>
      <w:tr w14:paraId="3B865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16338229">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1.4.7</w:t>
            </w:r>
          </w:p>
        </w:tc>
        <w:tc>
          <w:tcPr>
            <w:tcW w:w="4349" w:type="pct"/>
            <w:shd w:val="clear" w:color="auto" w:fill="auto"/>
            <w:vAlign w:val="top"/>
          </w:tcPr>
          <w:p w14:paraId="3B790DF2">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绑带组1个</w:t>
            </w:r>
          </w:p>
        </w:tc>
      </w:tr>
      <w:tr w14:paraId="663AF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6AC4E4C3">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1.4.8</w:t>
            </w:r>
          </w:p>
        </w:tc>
        <w:tc>
          <w:tcPr>
            <w:tcW w:w="4349" w:type="pct"/>
            <w:shd w:val="clear" w:color="auto" w:fill="auto"/>
            <w:vAlign w:val="top"/>
          </w:tcPr>
          <w:p w14:paraId="67F3DE40">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电脑（i5，硬盘≥1tb，内存≥16gb，显示器≥21.5寸）一套</w:t>
            </w:r>
          </w:p>
        </w:tc>
      </w:tr>
      <w:tr w14:paraId="2225F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71A8D0AF">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1.4.9</w:t>
            </w:r>
          </w:p>
        </w:tc>
        <w:tc>
          <w:tcPr>
            <w:tcW w:w="4349" w:type="pct"/>
            <w:shd w:val="clear" w:color="auto" w:fill="auto"/>
            <w:vAlign w:val="top"/>
          </w:tcPr>
          <w:p w14:paraId="0AE57B1B">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彩色激光打印机1台</w:t>
            </w:r>
          </w:p>
        </w:tc>
      </w:tr>
      <w:tr w14:paraId="653CE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122DFA28">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1.4.10</w:t>
            </w:r>
          </w:p>
        </w:tc>
        <w:tc>
          <w:tcPr>
            <w:tcW w:w="4349" w:type="pct"/>
            <w:shd w:val="clear" w:color="auto" w:fill="auto"/>
            <w:vAlign w:val="top"/>
          </w:tcPr>
          <w:p w14:paraId="32246A2B">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平板电脑2套</w:t>
            </w:r>
          </w:p>
        </w:tc>
      </w:tr>
      <w:tr w14:paraId="5A056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4236D091">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1.4.11</w:t>
            </w:r>
          </w:p>
        </w:tc>
        <w:tc>
          <w:tcPr>
            <w:tcW w:w="4349" w:type="pct"/>
            <w:shd w:val="clear" w:color="auto" w:fill="auto"/>
            <w:vAlign w:val="top"/>
          </w:tcPr>
          <w:p w14:paraId="2AB86292">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脑电帽1套</w:t>
            </w:r>
          </w:p>
        </w:tc>
      </w:tr>
      <w:tr w14:paraId="0561F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25F3C42F">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1.4.12</w:t>
            </w:r>
          </w:p>
        </w:tc>
        <w:tc>
          <w:tcPr>
            <w:tcW w:w="4349" w:type="pct"/>
            <w:shd w:val="clear" w:color="auto" w:fill="auto"/>
            <w:vAlign w:val="top"/>
          </w:tcPr>
          <w:p w14:paraId="27053934">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电脑（Windows10）端睡眠分析软件1套</w:t>
            </w:r>
          </w:p>
        </w:tc>
      </w:tr>
      <w:tr w14:paraId="616F9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11EE2B5F">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1.4.13</w:t>
            </w:r>
          </w:p>
        </w:tc>
        <w:tc>
          <w:tcPr>
            <w:tcW w:w="4349" w:type="pct"/>
            <w:shd w:val="clear" w:color="auto" w:fill="auto"/>
            <w:vAlign w:val="top"/>
          </w:tcPr>
          <w:p w14:paraId="3B3B48C0">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移动（APP安卓14）端睡眠分析软件系统2套</w:t>
            </w:r>
          </w:p>
        </w:tc>
      </w:tr>
      <w:tr w14:paraId="2F72F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1003E41D">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1.4.14</w:t>
            </w:r>
          </w:p>
        </w:tc>
        <w:tc>
          <w:tcPr>
            <w:tcW w:w="4349" w:type="pct"/>
            <w:shd w:val="clear" w:color="auto" w:fill="auto"/>
            <w:vAlign w:val="top"/>
          </w:tcPr>
          <w:p w14:paraId="6E297E52">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若设备有其余相关信息系统接口，则全部免费开放，并配合医院方或院方采购系统的接入,所有费用包含在投标总价内。</w:t>
            </w:r>
          </w:p>
        </w:tc>
      </w:tr>
      <w:tr w14:paraId="1D54F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6FB70397">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bidi="ar-SA"/>
              </w:rPr>
              <w:t>二</w:t>
            </w:r>
          </w:p>
        </w:tc>
        <w:tc>
          <w:tcPr>
            <w:tcW w:w="4349" w:type="pct"/>
            <w:shd w:val="clear" w:color="auto" w:fill="auto"/>
            <w:vAlign w:val="top"/>
          </w:tcPr>
          <w:p w14:paraId="280740D4">
            <w:pPr>
              <w:keepLines w:val="0"/>
              <w:pageBreakBefore w:val="0"/>
              <w:kinsoku/>
              <w:wordWrap/>
              <w:overflowPunct/>
              <w:topLinePunct w:val="0"/>
              <w:autoSpaceDE/>
              <w:autoSpaceDN/>
              <w:bidi w:val="0"/>
              <w:spacing w:line="460" w:lineRule="exac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便携睡眠监测仪</w:t>
            </w:r>
          </w:p>
        </w:tc>
      </w:tr>
      <w:tr w14:paraId="5234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31FDB558">
            <w:pPr>
              <w:keepLines w:val="0"/>
              <w:pageBreakBefore w:val="0"/>
              <w:kinsoku/>
              <w:wordWrap/>
              <w:overflowPunct/>
              <w:topLinePunct w:val="0"/>
              <w:autoSpaceDE/>
              <w:autoSpaceDN/>
              <w:bidi w:val="0"/>
              <w:spacing w:line="460" w:lineRule="exact"/>
              <w:jc w:val="left"/>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2.1</w:t>
            </w:r>
          </w:p>
        </w:tc>
        <w:tc>
          <w:tcPr>
            <w:tcW w:w="4349" w:type="pct"/>
            <w:shd w:val="clear" w:color="auto" w:fill="auto"/>
            <w:vAlign w:val="top"/>
          </w:tcPr>
          <w:p w14:paraId="07A0953C">
            <w:pPr>
              <w:keepLines w:val="0"/>
              <w:pageBreakBefore w:val="0"/>
              <w:kinsoku/>
              <w:wordWrap/>
              <w:overflowPunct/>
              <w:topLinePunct w:val="0"/>
              <w:autoSpaceDE/>
              <w:autoSpaceDN/>
              <w:bidi w:val="0"/>
              <w:spacing w:line="460" w:lineRule="exact"/>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设备数量：便携睡眠监测仪2套</w:t>
            </w:r>
          </w:p>
        </w:tc>
      </w:tr>
      <w:tr w14:paraId="021C7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center"/>
          </w:tcPr>
          <w:p w14:paraId="665A4C7B">
            <w:pPr>
              <w:keepLines w:val="0"/>
              <w:pageBreakBefore w:val="0"/>
              <w:kinsoku/>
              <w:wordWrap/>
              <w:overflowPunct/>
              <w:topLinePunct w:val="0"/>
              <w:autoSpaceDE/>
              <w:autoSpaceDN/>
              <w:bidi w:val="0"/>
              <w:spacing w:line="460" w:lineRule="exact"/>
              <w:jc w:val="left"/>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2.2</w:t>
            </w:r>
          </w:p>
        </w:tc>
        <w:tc>
          <w:tcPr>
            <w:tcW w:w="4349" w:type="pct"/>
            <w:shd w:val="clear" w:color="auto" w:fill="auto"/>
            <w:vAlign w:val="center"/>
          </w:tcPr>
          <w:p w14:paraId="25787B88">
            <w:pPr>
              <w:keepLines w:val="0"/>
              <w:pageBreakBefore w:val="0"/>
              <w:widowControl w:val="0"/>
              <w:kinsoku/>
              <w:wordWrap/>
              <w:overflowPunct/>
              <w:topLinePunct w:val="0"/>
              <w:autoSpaceDE/>
              <w:autoSpaceDN/>
              <w:bidi w:val="0"/>
              <w:snapToGrid/>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适应症：用于儿科、耳鼻喉科、呼吸科、神经科、精神心理科睡眠监测及脑电的采集、实时监测和分析。</w:t>
            </w:r>
          </w:p>
        </w:tc>
      </w:tr>
      <w:tr w14:paraId="2768B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center"/>
          </w:tcPr>
          <w:p w14:paraId="2B980308">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2.3</w:t>
            </w:r>
          </w:p>
        </w:tc>
        <w:tc>
          <w:tcPr>
            <w:tcW w:w="4349" w:type="pct"/>
            <w:shd w:val="clear" w:color="auto" w:fill="auto"/>
            <w:vAlign w:val="center"/>
          </w:tcPr>
          <w:p w14:paraId="5746A19F">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睡眠记录仪参数</w:t>
            </w:r>
          </w:p>
        </w:tc>
      </w:tr>
      <w:tr w14:paraId="158D3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1ECB7F6B">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2.3.1</w:t>
            </w:r>
          </w:p>
        </w:tc>
        <w:tc>
          <w:tcPr>
            <w:tcW w:w="4349" w:type="pct"/>
            <w:shd w:val="clear" w:color="auto" w:fill="auto"/>
            <w:vAlign w:val="center"/>
          </w:tcPr>
          <w:p w14:paraId="26A28331">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资质要求：投标产品医疗器械注册证</w:t>
            </w:r>
            <w:r>
              <w:rPr>
                <w:rFonts w:hint="eastAsia" w:ascii="新宋体" w:hAnsi="新宋体" w:eastAsia="新宋体" w:cs="新宋体"/>
                <w:color w:val="auto"/>
                <w:sz w:val="22"/>
                <w:szCs w:val="22"/>
                <w:highlight w:val="none"/>
                <w:lang w:eastAsia="zh-CN"/>
              </w:rPr>
              <w:t>适用范围或对应产品技术要求</w:t>
            </w:r>
            <w:r>
              <w:rPr>
                <w:rFonts w:hint="eastAsia" w:ascii="新宋体" w:hAnsi="新宋体" w:eastAsia="新宋体" w:cs="新宋体"/>
                <w:color w:val="auto"/>
                <w:sz w:val="22"/>
                <w:szCs w:val="22"/>
                <w:highlight w:val="none"/>
              </w:rPr>
              <w:t>需具备：脑电（EEG）、心电（ECG）、肌电（EMG）、眼电（EOG）、胸腹呼吸、鼻气流呼吸、血氧饱和度、</w:t>
            </w:r>
            <w:r>
              <w:rPr>
                <w:rFonts w:hint="eastAsia" w:ascii="新宋体" w:hAnsi="新宋体" w:eastAsia="新宋体" w:cs="新宋体"/>
                <w:color w:val="auto"/>
                <w:sz w:val="22"/>
                <w:szCs w:val="22"/>
                <w:highlight w:val="none"/>
                <w:lang w:eastAsia="zh-CN"/>
              </w:rPr>
              <w:t>鼾声</w:t>
            </w:r>
            <w:r>
              <w:rPr>
                <w:rFonts w:hint="eastAsia" w:ascii="新宋体" w:hAnsi="新宋体" w:eastAsia="新宋体" w:cs="新宋体"/>
                <w:color w:val="auto"/>
                <w:sz w:val="22"/>
                <w:szCs w:val="22"/>
                <w:highlight w:val="none"/>
              </w:rPr>
              <w:t>、体位等，需符合医保睡眠呼吸监测收费标准。</w:t>
            </w:r>
          </w:p>
        </w:tc>
      </w:tr>
      <w:tr w14:paraId="588B9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center"/>
          </w:tcPr>
          <w:p w14:paraId="4DDD3347">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2.3.2</w:t>
            </w:r>
          </w:p>
        </w:tc>
        <w:tc>
          <w:tcPr>
            <w:tcW w:w="4349" w:type="pct"/>
            <w:shd w:val="clear" w:color="auto" w:fill="auto"/>
            <w:vAlign w:val="center"/>
          </w:tcPr>
          <w:p w14:paraId="532BE341">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eastAsia="zh-CN"/>
              </w:rPr>
              <w:t>与</w:t>
            </w:r>
            <w:r>
              <w:rPr>
                <w:rFonts w:hint="eastAsia" w:ascii="新宋体" w:hAnsi="新宋体" w:eastAsia="新宋体" w:cs="新宋体"/>
                <w:color w:val="auto"/>
                <w:sz w:val="22"/>
                <w:szCs w:val="22"/>
                <w:highlight w:val="none"/>
                <w:lang w:val="en-US" w:eastAsia="zh-CN"/>
              </w:rPr>
              <w:t>多导睡眠记录仪</w:t>
            </w:r>
            <w:r>
              <w:rPr>
                <w:rFonts w:hint="eastAsia" w:ascii="新宋体" w:hAnsi="新宋体" w:eastAsia="新宋体" w:cs="新宋体"/>
                <w:color w:val="auto"/>
                <w:sz w:val="22"/>
                <w:szCs w:val="22"/>
                <w:highlight w:val="none"/>
                <w:lang w:eastAsia="zh-CN"/>
              </w:rPr>
              <w:t>为同品牌便于软件分析使用及维护。</w:t>
            </w:r>
          </w:p>
        </w:tc>
      </w:tr>
      <w:tr w14:paraId="65814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5BC2A9B6">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2.3.3</w:t>
            </w:r>
          </w:p>
        </w:tc>
        <w:tc>
          <w:tcPr>
            <w:tcW w:w="4349" w:type="pct"/>
            <w:shd w:val="clear" w:color="auto" w:fill="auto"/>
            <w:vAlign w:val="center"/>
          </w:tcPr>
          <w:p w14:paraId="17710ABA">
            <w:pPr>
              <w:keepNext w:val="0"/>
              <w:keepLines w:val="0"/>
              <w:pageBreakBefore w:val="0"/>
              <w:widowControl/>
              <w:suppressLineNumbers w:val="0"/>
              <w:kinsoku/>
              <w:wordWrap/>
              <w:overflowPunct/>
              <w:topLinePunct w:val="0"/>
              <w:autoSpaceDE/>
              <w:autoSpaceDN/>
              <w:bidi w:val="0"/>
              <w:spacing w:line="460" w:lineRule="exact"/>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导联数</w:t>
            </w:r>
            <w:r>
              <w:rPr>
                <w:rFonts w:hint="eastAsia" w:ascii="新宋体" w:hAnsi="新宋体" w:eastAsia="新宋体" w:cs="新宋体"/>
                <w:color w:val="auto"/>
                <w:sz w:val="22"/>
                <w:szCs w:val="22"/>
                <w:highlight w:val="none"/>
                <w:lang w:val="en-US" w:eastAsia="zh-CN"/>
              </w:rPr>
              <w:t>≥32</w:t>
            </w:r>
            <w:r>
              <w:rPr>
                <w:rFonts w:hint="eastAsia" w:ascii="新宋体" w:hAnsi="新宋体" w:eastAsia="新宋体" w:cs="新宋体"/>
                <w:color w:val="auto"/>
                <w:sz w:val="22"/>
                <w:szCs w:val="22"/>
                <w:highlight w:val="none"/>
              </w:rPr>
              <w:t>导：</w:t>
            </w:r>
            <w:r>
              <w:rPr>
                <w:rFonts w:hint="eastAsia" w:ascii="新宋体" w:hAnsi="新宋体" w:eastAsia="新宋体" w:cs="新宋体"/>
                <w:color w:val="auto"/>
                <w:sz w:val="22"/>
                <w:szCs w:val="22"/>
                <w:highlight w:val="none"/>
                <w:lang w:eastAsia="zh-CN"/>
              </w:rPr>
              <w:t>包括</w:t>
            </w:r>
            <w:r>
              <w:rPr>
                <w:rFonts w:hint="eastAsia" w:ascii="新宋体" w:hAnsi="新宋体" w:eastAsia="新宋体" w:cs="新宋体"/>
                <w:color w:val="auto"/>
                <w:sz w:val="22"/>
                <w:szCs w:val="22"/>
                <w:highlight w:val="none"/>
              </w:rPr>
              <w:t>脑电</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眼电、</w:t>
            </w:r>
            <w:r>
              <w:rPr>
                <w:rFonts w:hint="eastAsia" w:ascii="新宋体" w:hAnsi="新宋体" w:eastAsia="新宋体" w:cs="新宋体"/>
                <w:color w:val="auto"/>
                <w:sz w:val="22"/>
                <w:szCs w:val="22"/>
                <w:highlight w:val="none"/>
                <w:lang w:eastAsia="zh-CN"/>
              </w:rPr>
              <w:t>肌电、参考电极、口鼻气流探头、鼾声、</w:t>
            </w:r>
            <w:r>
              <w:rPr>
                <w:rFonts w:hint="eastAsia" w:ascii="新宋体" w:hAnsi="新宋体" w:eastAsia="新宋体" w:cs="新宋体"/>
                <w:color w:val="auto"/>
                <w:sz w:val="22"/>
                <w:szCs w:val="22"/>
                <w:highlight w:val="none"/>
              </w:rPr>
              <w:t>心电、</w:t>
            </w:r>
            <w:r>
              <w:rPr>
                <w:rFonts w:hint="eastAsia" w:ascii="新宋体" w:hAnsi="新宋体" w:eastAsia="新宋体" w:cs="新宋体"/>
                <w:color w:val="auto"/>
                <w:sz w:val="22"/>
                <w:szCs w:val="22"/>
                <w:highlight w:val="none"/>
                <w:lang w:eastAsia="zh-CN"/>
              </w:rPr>
              <w:t>胸部探头、腹部探头、体位</w:t>
            </w:r>
            <w:r>
              <w:rPr>
                <w:rFonts w:hint="eastAsia" w:ascii="新宋体" w:hAnsi="新宋体" w:eastAsia="新宋体" w:cs="新宋体"/>
                <w:color w:val="auto"/>
                <w:sz w:val="22"/>
                <w:szCs w:val="22"/>
                <w:highlight w:val="none"/>
              </w:rPr>
              <w:t>、SpO2 、</w:t>
            </w:r>
            <w:r>
              <w:rPr>
                <w:rFonts w:hint="eastAsia" w:ascii="新宋体" w:hAnsi="新宋体" w:eastAsia="新宋体" w:cs="新宋体"/>
                <w:color w:val="auto"/>
                <w:sz w:val="22"/>
                <w:szCs w:val="22"/>
                <w:highlight w:val="none"/>
                <w:lang w:eastAsia="zh-CN"/>
              </w:rPr>
              <w:t>腿动等</w:t>
            </w:r>
          </w:p>
        </w:tc>
      </w:tr>
      <w:tr w14:paraId="5FDB0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7AF7A05A">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2.3.4</w:t>
            </w:r>
          </w:p>
        </w:tc>
        <w:tc>
          <w:tcPr>
            <w:tcW w:w="4349" w:type="pct"/>
            <w:shd w:val="clear" w:color="auto" w:fill="auto"/>
            <w:vAlign w:val="center"/>
          </w:tcPr>
          <w:p w14:paraId="346C88E7">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设备主机采用触屏，可实时显示脑电、眼电、心电、血压、胸腹呼吸、鼻气流呼吸、血氧等数据，同时支持床旁生物定标功能。</w:t>
            </w:r>
          </w:p>
        </w:tc>
      </w:tr>
      <w:tr w14:paraId="4736F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center"/>
          </w:tcPr>
          <w:p w14:paraId="4DAB9816">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2.3.5</w:t>
            </w:r>
          </w:p>
        </w:tc>
        <w:tc>
          <w:tcPr>
            <w:tcW w:w="4349" w:type="pct"/>
            <w:shd w:val="clear" w:color="auto" w:fill="auto"/>
            <w:vAlign w:val="center"/>
          </w:tcPr>
          <w:p w14:paraId="60F14FC9">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设备具有连续无创血压监测功能。</w:t>
            </w:r>
          </w:p>
        </w:tc>
      </w:tr>
      <w:tr w14:paraId="15ADA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center"/>
          </w:tcPr>
          <w:p w14:paraId="5D48B467">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2.3.6</w:t>
            </w:r>
          </w:p>
        </w:tc>
        <w:tc>
          <w:tcPr>
            <w:tcW w:w="4349" w:type="pct"/>
            <w:shd w:val="clear" w:color="auto" w:fill="auto"/>
            <w:vAlign w:val="center"/>
          </w:tcPr>
          <w:p w14:paraId="19196995">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设备</w:t>
            </w:r>
            <w:r>
              <w:rPr>
                <w:rFonts w:hint="eastAsia" w:ascii="新宋体" w:hAnsi="新宋体" w:eastAsia="新宋体" w:cs="新宋体"/>
                <w:color w:val="auto"/>
                <w:sz w:val="22"/>
                <w:szCs w:val="22"/>
                <w:highlight w:val="none"/>
                <w:lang w:eastAsia="zh-CN"/>
              </w:rPr>
              <w:t>具备</w:t>
            </w:r>
            <w:r>
              <w:rPr>
                <w:rFonts w:hint="eastAsia" w:ascii="新宋体" w:hAnsi="新宋体" w:eastAsia="新宋体" w:cs="新宋体"/>
                <w:color w:val="auto"/>
                <w:sz w:val="22"/>
                <w:szCs w:val="22"/>
                <w:highlight w:val="none"/>
              </w:rPr>
              <w:t>远程无线传输技术，可以直接在平板电脑或工作站电脑上进行信号校准、床旁生物定标、床旁机械定标，传输时间和测量间隔可以由临床自由设定</w:t>
            </w:r>
            <w:r>
              <w:rPr>
                <w:rFonts w:hint="eastAsia" w:ascii="新宋体" w:hAnsi="新宋体" w:eastAsia="新宋体" w:cs="新宋体"/>
                <w:color w:val="auto"/>
                <w:sz w:val="22"/>
                <w:szCs w:val="22"/>
                <w:highlight w:val="none"/>
                <w:lang w:eastAsia="zh-CN"/>
              </w:rPr>
              <w:t>。</w:t>
            </w:r>
          </w:p>
        </w:tc>
      </w:tr>
      <w:tr w14:paraId="16325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center"/>
          </w:tcPr>
          <w:p w14:paraId="1FAE1B19">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2.3.7</w:t>
            </w:r>
          </w:p>
        </w:tc>
        <w:tc>
          <w:tcPr>
            <w:tcW w:w="4349" w:type="pct"/>
            <w:shd w:val="clear" w:color="auto" w:fill="auto"/>
            <w:vAlign w:val="center"/>
          </w:tcPr>
          <w:p w14:paraId="1C1095AC">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设备可选配</w:t>
            </w:r>
            <w:r>
              <w:rPr>
                <w:rFonts w:hint="eastAsia" w:ascii="新宋体" w:hAnsi="新宋体" w:eastAsia="新宋体" w:cs="新宋体"/>
                <w:color w:val="auto"/>
                <w:kern w:val="0"/>
                <w:sz w:val="22"/>
                <w:szCs w:val="22"/>
                <w:highlight w:val="none"/>
                <w:lang w:val="en-US" w:eastAsia="zh-CN" w:bidi="ar"/>
              </w:rPr>
              <w:t>高清红外IP 网络视频系统，支持多角度调节可监测房间整体或局部视频信息，记录桢频支持2K分辨率，系统支持剪辑修改导出视频数据，方便保存。</w:t>
            </w:r>
          </w:p>
        </w:tc>
      </w:tr>
      <w:tr w14:paraId="2D1DE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center"/>
          </w:tcPr>
          <w:p w14:paraId="0200EF9A">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2.3.8</w:t>
            </w:r>
          </w:p>
        </w:tc>
        <w:tc>
          <w:tcPr>
            <w:tcW w:w="4349" w:type="pct"/>
            <w:shd w:val="clear" w:color="auto" w:fill="auto"/>
            <w:vAlign w:val="center"/>
          </w:tcPr>
          <w:p w14:paraId="6C431FB6">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主机具备≥</w:t>
            </w:r>
            <w:r>
              <w:rPr>
                <w:rFonts w:hint="eastAsia" w:ascii="新宋体" w:hAnsi="新宋体" w:eastAsia="新宋体" w:cs="新宋体"/>
                <w:color w:val="auto"/>
                <w:sz w:val="22"/>
                <w:szCs w:val="22"/>
                <w:highlight w:val="none"/>
                <w:lang w:val="en-US" w:eastAsia="zh-CN"/>
              </w:rPr>
              <w:t>16</w:t>
            </w:r>
            <w:r>
              <w:rPr>
                <w:rFonts w:hint="eastAsia" w:ascii="新宋体" w:hAnsi="新宋体" w:eastAsia="新宋体" w:cs="新宋体"/>
                <w:color w:val="auto"/>
                <w:sz w:val="22"/>
                <w:szCs w:val="22"/>
                <w:highlight w:val="none"/>
              </w:rPr>
              <w:t>位bit分辨率，</w:t>
            </w:r>
            <w:r>
              <w:rPr>
                <w:rFonts w:hint="eastAsia" w:ascii="新宋体" w:hAnsi="新宋体" w:eastAsia="新宋体" w:cs="新宋体"/>
                <w:color w:val="auto"/>
                <w:sz w:val="22"/>
                <w:szCs w:val="22"/>
                <w:highlight w:val="none"/>
                <w:lang w:val="en-US" w:eastAsia="zh-CN"/>
              </w:rPr>
              <w:t>采样频率≥1KHz、存储频率≥500Hz。</w:t>
            </w:r>
          </w:p>
        </w:tc>
      </w:tr>
      <w:tr w14:paraId="09832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center"/>
          </w:tcPr>
          <w:p w14:paraId="4DDF4C2F">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2.3.9</w:t>
            </w:r>
          </w:p>
        </w:tc>
        <w:tc>
          <w:tcPr>
            <w:tcW w:w="4349" w:type="pct"/>
            <w:shd w:val="clear" w:color="auto" w:fill="auto"/>
            <w:vAlign w:val="center"/>
          </w:tcPr>
          <w:p w14:paraId="2D96C6FB">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主机和传感器可随身携带，</w:t>
            </w:r>
            <w:r>
              <w:rPr>
                <w:rFonts w:hint="eastAsia" w:ascii="新宋体" w:hAnsi="新宋体" w:eastAsia="新宋体" w:cs="新宋体"/>
                <w:color w:val="auto"/>
                <w:sz w:val="22"/>
                <w:szCs w:val="22"/>
                <w:highlight w:val="none"/>
              </w:rPr>
              <w:t>患者无活动阻碍，可在睡眠监测室自由活动</w:t>
            </w:r>
            <w:r>
              <w:rPr>
                <w:rFonts w:hint="eastAsia" w:ascii="新宋体" w:hAnsi="新宋体" w:eastAsia="新宋体" w:cs="新宋体"/>
                <w:color w:val="auto"/>
                <w:sz w:val="22"/>
                <w:szCs w:val="22"/>
                <w:highlight w:val="none"/>
                <w:lang w:eastAsia="zh-CN"/>
              </w:rPr>
              <w:t>。</w:t>
            </w:r>
          </w:p>
        </w:tc>
      </w:tr>
      <w:tr w14:paraId="0571E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69FDBEBE">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2.3.10</w:t>
            </w:r>
          </w:p>
        </w:tc>
        <w:tc>
          <w:tcPr>
            <w:tcW w:w="4349" w:type="pct"/>
            <w:shd w:val="clear" w:color="auto" w:fill="auto"/>
            <w:vAlign w:val="top"/>
          </w:tcPr>
          <w:p w14:paraId="6962A756">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设备主机支持连接</w:t>
            </w:r>
            <w:r>
              <w:rPr>
                <w:rFonts w:hint="eastAsia" w:ascii="新宋体" w:hAnsi="新宋体" w:eastAsia="新宋体" w:cs="新宋体"/>
                <w:color w:val="auto"/>
                <w:sz w:val="22"/>
                <w:szCs w:val="22"/>
                <w:highlight w:val="none"/>
                <w:lang w:eastAsia="zh-CN"/>
              </w:rPr>
              <w:t>至少三家</w:t>
            </w:r>
            <w:r>
              <w:rPr>
                <w:rFonts w:hint="eastAsia" w:ascii="新宋体" w:hAnsi="新宋体" w:eastAsia="新宋体" w:cs="新宋体"/>
                <w:color w:val="auto"/>
                <w:sz w:val="22"/>
                <w:szCs w:val="22"/>
                <w:highlight w:val="none"/>
              </w:rPr>
              <w:t>品牌呼吸机进行压力滴定，支持自动滴定</w:t>
            </w:r>
            <w:r>
              <w:rPr>
                <w:rFonts w:hint="eastAsia" w:ascii="新宋体" w:hAnsi="新宋体" w:eastAsia="新宋体" w:cs="新宋体"/>
                <w:color w:val="auto"/>
                <w:sz w:val="22"/>
                <w:szCs w:val="22"/>
                <w:highlight w:val="none"/>
                <w:lang w:eastAsia="zh-CN"/>
              </w:rPr>
              <w:t>。</w:t>
            </w:r>
          </w:p>
        </w:tc>
      </w:tr>
      <w:tr w14:paraId="57147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7816CAB7">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2.3.11</w:t>
            </w:r>
          </w:p>
        </w:tc>
        <w:tc>
          <w:tcPr>
            <w:tcW w:w="4349" w:type="pct"/>
            <w:shd w:val="clear" w:color="auto" w:fill="auto"/>
            <w:vAlign w:val="top"/>
          </w:tcPr>
          <w:p w14:paraId="4383DD10">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主机</w:t>
            </w:r>
            <w:r>
              <w:rPr>
                <w:rFonts w:hint="eastAsia" w:ascii="新宋体" w:hAnsi="新宋体" w:eastAsia="新宋体" w:cs="新宋体"/>
                <w:color w:val="auto"/>
                <w:sz w:val="22"/>
                <w:szCs w:val="22"/>
                <w:highlight w:val="none"/>
                <w:lang w:eastAsia="zh-CN"/>
              </w:rPr>
              <w:t>具备</w:t>
            </w:r>
            <w:r>
              <w:rPr>
                <w:rFonts w:hint="eastAsia" w:ascii="新宋体" w:hAnsi="新宋体" w:eastAsia="新宋体" w:cs="新宋体"/>
                <w:color w:val="auto"/>
                <w:sz w:val="22"/>
                <w:szCs w:val="22"/>
                <w:highlight w:val="none"/>
              </w:rPr>
              <w:t>环境光感指示灯，可自动识别环境光源，并同时主机内置体位传感器，无需外接探头即可捕捉患者体位变化。</w:t>
            </w:r>
          </w:p>
        </w:tc>
      </w:tr>
      <w:tr w14:paraId="0EC44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650" w:type="pct"/>
            <w:shd w:val="clear" w:color="auto" w:fill="auto"/>
            <w:vAlign w:val="top"/>
          </w:tcPr>
          <w:p w14:paraId="3CA774F9">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2.3.12</w:t>
            </w:r>
          </w:p>
        </w:tc>
        <w:tc>
          <w:tcPr>
            <w:tcW w:w="4349" w:type="pct"/>
            <w:shd w:val="clear" w:color="auto" w:fill="auto"/>
            <w:vAlign w:val="top"/>
          </w:tcPr>
          <w:p w14:paraId="7EDE8A57">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设备</w:t>
            </w:r>
            <w:r>
              <w:rPr>
                <w:rFonts w:hint="eastAsia" w:ascii="新宋体" w:hAnsi="新宋体" w:eastAsia="新宋体" w:cs="新宋体"/>
                <w:color w:val="auto"/>
                <w:sz w:val="22"/>
                <w:szCs w:val="22"/>
                <w:highlight w:val="none"/>
              </w:rPr>
              <w:t>具备定时开机，定时关机功能，可根据患者的睡眠时间来设置记录时长，主机自动开机并配有待机指示灯提醒，在达到记录时长之后设备自动关机实现自动化记录睡眠。</w:t>
            </w:r>
          </w:p>
        </w:tc>
      </w:tr>
      <w:tr w14:paraId="74044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trPr>
        <w:tc>
          <w:tcPr>
            <w:tcW w:w="650" w:type="pct"/>
            <w:shd w:val="clear" w:color="auto" w:fill="auto"/>
            <w:vAlign w:val="top"/>
          </w:tcPr>
          <w:p w14:paraId="0035DF8D">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2.3.13</w:t>
            </w:r>
          </w:p>
        </w:tc>
        <w:tc>
          <w:tcPr>
            <w:tcW w:w="4349" w:type="pct"/>
            <w:shd w:val="clear" w:color="auto" w:fill="auto"/>
            <w:vAlign w:val="top"/>
          </w:tcPr>
          <w:p w14:paraId="178B319D">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设备主机支持智能</w:t>
            </w:r>
            <w:r>
              <w:rPr>
                <w:rFonts w:hint="eastAsia" w:ascii="新宋体" w:hAnsi="新宋体" w:eastAsia="新宋体" w:cs="新宋体"/>
                <w:color w:val="auto"/>
                <w:sz w:val="22"/>
                <w:szCs w:val="22"/>
                <w:highlight w:val="none"/>
                <w:lang w:val="en-US" w:eastAsia="zh-CN"/>
              </w:rPr>
              <w:t>连接</w:t>
            </w:r>
            <w:r>
              <w:rPr>
                <w:rFonts w:hint="eastAsia" w:ascii="新宋体" w:hAnsi="新宋体" w:eastAsia="新宋体" w:cs="新宋体"/>
                <w:color w:val="auto"/>
                <w:sz w:val="22"/>
                <w:szCs w:val="22"/>
                <w:highlight w:val="none"/>
              </w:rPr>
              <w:t>技术，传感器可自动识别减少探头混淆连接</w:t>
            </w:r>
            <w:r>
              <w:rPr>
                <w:rFonts w:hint="eastAsia" w:ascii="新宋体" w:hAnsi="新宋体" w:eastAsia="新宋体" w:cs="新宋体"/>
                <w:color w:val="auto"/>
                <w:sz w:val="22"/>
                <w:szCs w:val="22"/>
                <w:highlight w:val="none"/>
                <w:lang w:eastAsia="zh-CN"/>
              </w:rPr>
              <w:t>。</w:t>
            </w:r>
          </w:p>
        </w:tc>
      </w:tr>
      <w:tr w14:paraId="0D684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674B32D7">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2.3.14</w:t>
            </w:r>
          </w:p>
        </w:tc>
        <w:tc>
          <w:tcPr>
            <w:tcW w:w="4349" w:type="pct"/>
            <w:shd w:val="clear" w:color="auto" w:fill="auto"/>
            <w:vAlign w:val="top"/>
          </w:tcPr>
          <w:p w14:paraId="76B6BF14">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软件睡眠数据分析支持高频信号（脑电、眼电、心电、肌电）与低频信号（血压、血氧、口鼻气流、热敏气流、RIP胸腹呼吸、麦克风鼾声、体位、腿动等），支持自定义时间等多种扫描速度同屏显示，支持上下分屏显示高频与低频信号，便于医护人员观察数据。</w:t>
            </w:r>
          </w:p>
        </w:tc>
      </w:tr>
      <w:tr w14:paraId="1A593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7C089605">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2.3.15</w:t>
            </w:r>
          </w:p>
        </w:tc>
        <w:tc>
          <w:tcPr>
            <w:tcW w:w="4349" w:type="pct"/>
            <w:shd w:val="clear" w:color="auto" w:fill="auto"/>
            <w:vAlign w:val="top"/>
          </w:tcPr>
          <w:p w14:paraId="74C4CA05">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软件分析：严格按照AASM3.0判读标准的要求进行数据分析。</w:t>
            </w:r>
          </w:p>
        </w:tc>
      </w:tr>
      <w:tr w14:paraId="42AFB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39B65002">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2.3.16</w:t>
            </w:r>
          </w:p>
        </w:tc>
        <w:tc>
          <w:tcPr>
            <w:tcW w:w="4349" w:type="pct"/>
            <w:shd w:val="clear" w:color="auto" w:fill="auto"/>
            <w:vAlign w:val="top"/>
          </w:tcPr>
          <w:p w14:paraId="36148BFF">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软件具有胸腹相位角分析功能，通过计算胸腹相位角的度数，并出具相位角分析报告，患者气流探头脱落时，也可以根据胸腹相位角的度数计算呼吸暂停指数。</w:t>
            </w:r>
          </w:p>
        </w:tc>
      </w:tr>
      <w:tr w14:paraId="1740A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653E965B">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2.3.17</w:t>
            </w:r>
          </w:p>
        </w:tc>
        <w:tc>
          <w:tcPr>
            <w:tcW w:w="4349" w:type="pct"/>
            <w:shd w:val="clear" w:color="auto" w:fill="auto"/>
            <w:vAlign w:val="top"/>
          </w:tcPr>
          <w:p w14:paraId="40356E26">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睡眠数据分析系统支持5G物联网在线OTA升级技术，可完成免费升级服务。</w:t>
            </w:r>
          </w:p>
        </w:tc>
      </w:tr>
      <w:tr w14:paraId="184B9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6118E34C">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2.3.18</w:t>
            </w:r>
          </w:p>
        </w:tc>
        <w:tc>
          <w:tcPr>
            <w:tcW w:w="4349" w:type="pct"/>
            <w:shd w:val="clear" w:color="auto" w:fill="auto"/>
            <w:vAlign w:val="top"/>
          </w:tcPr>
          <w:p w14:paraId="33D5ED4D">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软件具有心电散点图分析功能，将心率RR与RR(n+1)间期显示于坐标轴中，根据单象限散点图分布情况来辅助诊断窦性心搏、室性早搏、心房颤动等相关病症。</w:t>
            </w:r>
          </w:p>
        </w:tc>
      </w:tr>
      <w:tr w14:paraId="1DCCA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33D4BB45">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2.3.19</w:t>
            </w:r>
          </w:p>
        </w:tc>
        <w:tc>
          <w:tcPr>
            <w:tcW w:w="4349" w:type="pct"/>
            <w:shd w:val="clear" w:color="auto" w:fill="auto"/>
            <w:vAlign w:val="top"/>
          </w:tcPr>
          <w:p w14:paraId="1C29EBA6">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软件具有高精度3D脑电地形图和癫痫棘波分析功能</w:t>
            </w:r>
          </w:p>
        </w:tc>
      </w:tr>
      <w:tr w14:paraId="103D3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5A0F232B">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2.3.20</w:t>
            </w:r>
          </w:p>
        </w:tc>
        <w:tc>
          <w:tcPr>
            <w:tcW w:w="4349" w:type="pct"/>
            <w:shd w:val="clear" w:color="auto" w:fill="auto"/>
            <w:vAlign w:val="top"/>
          </w:tcPr>
          <w:p w14:paraId="2ECD2090">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软件具备血压监测技术，可实时同步</w:t>
            </w:r>
            <w:r>
              <w:rPr>
                <w:rFonts w:hint="eastAsia" w:ascii="新宋体" w:hAnsi="新宋体" w:eastAsia="新宋体" w:cs="新宋体"/>
                <w:color w:val="auto"/>
                <w:sz w:val="22"/>
                <w:szCs w:val="22"/>
                <w:highlight w:val="none"/>
              </w:rPr>
              <w:t>监测睡眠数据</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监测完毕后，可结合整晚的睡眠数据给出完整的睡眠报告</w:t>
            </w:r>
            <w:r>
              <w:rPr>
                <w:rFonts w:hint="eastAsia" w:ascii="新宋体" w:hAnsi="新宋体" w:eastAsia="新宋体" w:cs="新宋体"/>
                <w:color w:val="auto"/>
                <w:sz w:val="22"/>
                <w:szCs w:val="22"/>
                <w:highlight w:val="none"/>
                <w:lang w:eastAsia="zh-CN"/>
              </w:rPr>
              <w:t>（内含血压监测数据）</w:t>
            </w:r>
          </w:p>
        </w:tc>
      </w:tr>
      <w:tr w14:paraId="2A92A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73014C41">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2.3.21</w:t>
            </w:r>
          </w:p>
        </w:tc>
        <w:tc>
          <w:tcPr>
            <w:tcW w:w="4349" w:type="pct"/>
            <w:shd w:val="clear" w:color="auto" w:fill="auto"/>
            <w:vAlign w:val="top"/>
          </w:tcPr>
          <w:p w14:paraId="4BE39737">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软件可通过鼾声频率分析、鼾声频谱或功率图功能，</w:t>
            </w:r>
            <w:r>
              <w:rPr>
                <w:rFonts w:hint="eastAsia" w:ascii="新宋体" w:hAnsi="新宋体" w:eastAsia="新宋体" w:cs="新宋体"/>
                <w:color w:val="auto"/>
                <w:sz w:val="22"/>
                <w:szCs w:val="22"/>
                <w:highlight w:val="none"/>
                <w:lang w:eastAsia="zh-CN"/>
              </w:rPr>
              <w:t>对</w:t>
            </w:r>
            <w:r>
              <w:rPr>
                <w:rFonts w:hint="eastAsia" w:ascii="新宋体" w:hAnsi="新宋体" w:eastAsia="新宋体" w:cs="新宋体"/>
                <w:color w:val="auto"/>
                <w:sz w:val="22"/>
                <w:szCs w:val="22"/>
                <w:highlight w:val="none"/>
              </w:rPr>
              <w:t>采集到的鼾声进行FFT（快速傅里叶变换）分析，通过分析患者鼾声频谱图可以推断患者阻塞部位</w:t>
            </w:r>
            <w:r>
              <w:rPr>
                <w:rFonts w:hint="eastAsia" w:ascii="新宋体" w:hAnsi="新宋体" w:eastAsia="新宋体" w:cs="新宋体"/>
                <w:color w:val="auto"/>
                <w:sz w:val="22"/>
                <w:szCs w:val="22"/>
                <w:highlight w:val="none"/>
                <w:lang w:eastAsia="zh-CN"/>
              </w:rPr>
              <w:t>。</w:t>
            </w:r>
          </w:p>
        </w:tc>
      </w:tr>
      <w:tr w14:paraId="449AB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5FDD02BA">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2.3.22</w:t>
            </w:r>
          </w:p>
        </w:tc>
        <w:tc>
          <w:tcPr>
            <w:tcW w:w="4349" w:type="pct"/>
            <w:shd w:val="clear" w:color="auto" w:fill="auto"/>
            <w:vAlign w:val="top"/>
          </w:tcPr>
          <w:p w14:paraId="782CE1AF">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软件系统具备分析配套呼吸机CPAP、Bi-Level、Auto-ASV、SV等正压通气参数数据，并在报告中以不同参数统计显示各种睡眠事件的次数与指数。</w:t>
            </w:r>
          </w:p>
        </w:tc>
      </w:tr>
      <w:tr w14:paraId="4A3E1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3B1CB58E">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2.3.23</w:t>
            </w:r>
          </w:p>
        </w:tc>
        <w:tc>
          <w:tcPr>
            <w:tcW w:w="4349" w:type="pct"/>
            <w:shd w:val="clear" w:color="auto" w:fill="auto"/>
            <w:vAlign w:val="top"/>
          </w:tcPr>
          <w:p w14:paraId="703B98A8">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患者报告可导出到WORD、EXCEL、PDF、SPSS、RTF格式，并支持SLEEP数据库管理系统，可在HIS下出具报告。</w:t>
            </w:r>
          </w:p>
        </w:tc>
      </w:tr>
      <w:tr w14:paraId="69592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2EB0CB0F">
            <w:pPr>
              <w:keepLines w:val="0"/>
              <w:pageBreakBefore w:val="0"/>
              <w:kinsoku/>
              <w:wordWrap/>
              <w:overflowPunct/>
              <w:topLinePunct w:val="0"/>
              <w:autoSpaceDE/>
              <w:autoSpaceDN/>
              <w:bidi w:val="0"/>
              <w:adjustRightInd w:val="0"/>
              <w:spacing w:after="60" w:line="460" w:lineRule="exact"/>
              <w:ind w:right="63" w:rightChars="30"/>
              <w:jc w:val="both"/>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2.3.24</w:t>
            </w:r>
          </w:p>
        </w:tc>
        <w:tc>
          <w:tcPr>
            <w:tcW w:w="4349" w:type="pct"/>
            <w:shd w:val="clear" w:color="auto" w:fill="auto"/>
            <w:vAlign w:val="top"/>
          </w:tcPr>
          <w:p w14:paraId="4621E7C2">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软件系统具备数据库及学术研究管理软件，数据管理包括：复制数据、移动数据、删除数据、剪辑数据、合并片段数据、刻录数据、患者原始数据可导出EDF、RIFF、EXE文件，同时可将所需要的原始和分析数据的波形及趋势直接导出为图片格式。</w:t>
            </w:r>
          </w:p>
        </w:tc>
      </w:tr>
      <w:tr w14:paraId="6B9EE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650" w:type="pct"/>
            <w:shd w:val="clear" w:color="auto" w:fill="auto"/>
            <w:vAlign w:val="top"/>
          </w:tcPr>
          <w:p w14:paraId="64154CC8">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2.3.25</w:t>
            </w:r>
          </w:p>
        </w:tc>
        <w:tc>
          <w:tcPr>
            <w:tcW w:w="4349" w:type="pct"/>
            <w:shd w:val="clear" w:color="auto" w:fill="auto"/>
            <w:vAlign w:val="top"/>
          </w:tcPr>
          <w:p w14:paraId="44445459">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软件具备教学模式，可保存多个操作者的判定结果，并可直观的进行数据对比，适用于科室教学，同时在出现不同分析结果屏时软件自动用颜色编辑方便临床对比，并可双击该颜色标记快速跳转到当前帧，并在分析结束可打印对比报告。</w:t>
            </w:r>
          </w:p>
        </w:tc>
      </w:tr>
      <w:tr w14:paraId="0A5AD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32BE35FA">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2.3.26</w:t>
            </w:r>
          </w:p>
        </w:tc>
        <w:tc>
          <w:tcPr>
            <w:tcW w:w="4349" w:type="pct"/>
            <w:shd w:val="clear" w:color="auto" w:fill="auto"/>
            <w:vAlign w:val="top"/>
          </w:tcPr>
          <w:p w14:paraId="611AF336">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软件</w:t>
            </w:r>
            <w:r>
              <w:rPr>
                <w:rFonts w:hint="eastAsia" w:ascii="新宋体" w:hAnsi="新宋体" w:eastAsia="新宋体" w:cs="新宋体"/>
                <w:color w:val="auto"/>
                <w:sz w:val="22"/>
                <w:szCs w:val="22"/>
                <w:highlight w:val="none"/>
                <w:lang w:eastAsia="zh-CN"/>
              </w:rPr>
              <w:t>具备</w:t>
            </w:r>
            <w:r>
              <w:rPr>
                <w:rFonts w:hint="eastAsia" w:ascii="新宋体" w:hAnsi="新宋体" w:eastAsia="新宋体" w:cs="新宋体"/>
                <w:color w:val="auto"/>
                <w:sz w:val="22"/>
                <w:szCs w:val="22"/>
                <w:highlight w:val="none"/>
              </w:rPr>
              <w:t>全中文操作界面</w:t>
            </w:r>
          </w:p>
        </w:tc>
      </w:tr>
      <w:tr w14:paraId="74B12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7144BB03">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2.3.27</w:t>
            </w:r>
          </w:p>
        </w:tc>
        <w:tc>
          <w:tcPr>
            <w:tcW w:w="4349" w:type="pct"/>
            <w:shd w:val="clear" w:color="auto" w:fill="auto"/>
            <w:vAlign w:val="top"/>
          </w:tcPr>
          <w:p w14:paraId="11D1DFF6">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软件可直接将患者原始数据和分析数据导出为</w:t>
            </w:r>
            <w:r>
              <w:rPr>
                <w:rFonts w:hint="eastAsia" w:ascii="新宋体" w:hAnsi="新宋体" w:eastAsia="新宋体" w:cs="新宋体"/>
                <w:color w:val="auto"/>
                <w:sz w:val="22"/>
                <w:szCs w:val="22"/>
                <w:highlight w:val="none"/>
                <w:lang w:val="en-US" w:eastAsia="zh-CN"/>
              </w:rPr>
              <w:t>EXE等</w:t>
            </w:r>
            <w:r>
              <w:rPr>
                <w:rFonts w:hint="eastAsia" w:ascii="新宋体" w:hAnsi="新宋体" w:eastAsia="新宋体" w:cs="新宋体"/>
                <w:color w:val="auto"/>
                <w:sz w:val="22"/>
                <w:szCs w:val="22"/>
                <w:highlight w:val="none"/>
              </w:rPr>
              <w:t>可执行文件，无需安装专门或设备自带睡眠分析软件，即可在任意电脑上打开患者数据进行数据查看和报告打印 。</w:t>
            </w:r>
          </w:p>
        </w:tc>
      </w:tr>
      <w:tr w14:paraId="11A5D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2D4A794B">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2.3.28</w:t>
            </w:r>
          </w:p>
        </w:tc>
        <w:tc>
          <w:tcPr>
            <w:tcW w:w="4349" w:type="pct"/>
            <w:shd w:val="clear" w:color="auto" w:fill="auto"/>
            <w:vAlign w:val="top"/>
          </w:tcPr>
          <w:p w14:paraId="71D4197E">
            <w:pPr>
              <w:keepLines w:val="0"/>
              <w:pageBreakBefore w:val="0"/>
              <w:kinsoku/>
              <w:wordWrap/>
              <w:overflowPunct/>
              <w:topLinePunct w:val="0"/>
              <w:autoSpaceDE/>
              <w:autoSpaceDN/>
              <w:bidi w:val="0"/>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软件支持定义</w:t>
            </w:r>
            <w:r>
              <w:rPr>
                <w:rFonts w:hint="eastAsia" w:ascii="新宋体" w:hAnsi="新宋体" w:eastAsia="新宋体" w:cs="新宋体"/>
                <w:color w:val="auto"/>
                <w:sz w:val="22"/>
                <w:szCs w:val="22"/>
                <w:highlight w:val="none"/>
                <w:lang w:eastAsia="zh-CN"/>
              </w:rPr>
              <w:t>多</w:t>
            </w:r>
            <w:r>
              <w:rPr>
                <w:rFonts w:hint="eastAsia" w:ascii="新宋体" w:hAnsi="新宋体" w:eastAsia="新宋体" w:cs="新宋体"/>
                <w:color w:val="auto"/>
                <w:sz w:val="22"/>
                <w:szCs w:val="22"/>
                <w:highlight w:val="none"/>
              </w:rPr>
              <w:t>个标签页以及标语，并可在实时监测过程中编辑新的定标事件。</w:t>
            </w:r>
          </w:p>
        </w:tc>
      </w:tr>
      <w:tr w14:paraId="24121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top"/>
          </w:tcPr>
          <w:p w14:paraId="248F8FFA">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2.4</w:t>
            </w:r>
          </w:p>
        </w:tc>
        <w:tc>
          <w:tcPr>
            <w:tcW w:w="4349" w:type="pct"/>
            <w:shd w:val="clear" w:color="auto" w:fill="auto"/>
            <w:vAlign w:val="top"/>
          </w:tcPr>
          <w:p w14:paraId="207192FA">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配置要求</w:t>
            </w:r>
          </w:p>
        </w:tc>
      </w:tr>
      <w:tr w14:paraId="2ABB8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0B88F23E">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2.4.1</w:t>
            </w:r>
          </w:p>
        </w:tc>
        <w:tc>
          <w:tcPr>
            <w:tcW w:w="4349" w:type="pct"/>
            <w:shd w:val="clear" w:color="auto" w:fill="auto"/>
            <w:vAlign w:val="top"/>
          </w:tcPr>
          <w:p w14:paraId="5507A976">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便携睡眠监测仪-主机 2台</w:t>
            </w:r>
          </w:p>
        </w:tc>
      </w:tr>
      <w:tr w14:paraId="2D144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2BC0B6C0">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2.4.2</w:t>
            </w:r>
          </w:p>
        </w:tc>
        <w:tc>
          <w:tcPr>
            <w:tcW w:w="4349" w:type="pct"/>
            <w:shd w:val="clear" w:color="auto" w:fill="auto"/>
            <w:vAlign w:val="top"/>
          </w:tcPr>
          <w:p w14:paraId="4C8CF4F6">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 xml:space="preserve">放大器-脑电头盒 2个  </w:t>
            </w:r>
          </w:p>
        </w:tc>
      </w:tr>
      <w:tr w14:paraId="33BF4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38E29602">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2.4.3</w:t>
            </w:r>
          </w:p>
        </w:tc>
        <w:tc>
          <w:tcPr>
            <w:tcW w:w="4349" w:type="pct"/>
            <w:shd w:val="clear" w:color="auto" w:fill="auto"/>
            <w:vAlign w:val="top"/>
          </w:tcPr>
          <w:p w14:paraId="2526B5C7">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心电模块2套</w:t>
            </w:r>
          </w:p>
        </w:tc>
      </w:tr>
      <w:tr w14:paraId="45F8B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0E718591">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2.4.4</w:t>
            </w:r>
          </w:p>
        </w:tc>
        <w:tc>
          <w:tcPr>
            <w:tcW w:w="4349" w:type="pct"/>
            <w:shd w:val="clear" w:color="auto" w:fill="auto"/>
            <w:vAlign w:val="top"/>
          </w:tcPr>
          <w:p w14:paraId="72563F5F">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胸腹呼吸模块2套</w:t>
            </w:r>
          </w:p>
        </w:tc>
      </w:tr>
      <w:tr w14:paraId="713E7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5F524048">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2.4.5</w:t>
            </w:r>
          </w:p>
        </w:tc>
        <w:tc>
          <w:tcPr>
            <w:tcW w:w="4349" w:type="pct"/>
            <w:shd w:val="clear" w:color="auto" w:fill="auto"/>
            <w:vAlign w:val="top"/>
          </w:tcPr>
          <w:p w14:paraId="33CD5F1E">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血氧探头2个</w:t>
            </w:r>
          </w:p>
        </w:tc>
      </w:tr>
      <w:tr w14:paraId="3DCAC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747A0EB0">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2.4.6</w:t>
            </w:r>
          </w:p>
        </w:tc>
        <w:tc>
          <w:tcPr>
            <w:tcW w:w="4349" w:type="pct"/>
            <w:shd w:val="clear" w:color="auto" w:fill="auto"/>
            <w:vAlign w:val="top"/>
          </w:tcPr>
          <w:p w14:paraId="363F3E90">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数据下载底座2套</w:t>
            </w:r>
          </w:p>
        </w:tc>
      </w:tr>
      <w:tr w14:paraId="20D2A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203DC6FA">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2.4.7</w:t>
            </w:r>
          </w:p>
        </w:tc>
        <w:tc>
          <w:tcPr>
            <w:tcW w:w="4349" w:type="pct"/>
            <w:shd w:val="clear" w:color="auto" w:fill="auto"/>
            <w:vAlign w:val="top"/>
          </w:tcPr>
          <w:p w14:paraId="1F41AF25">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充电器2个</w:t>
            </w:r>
          </w:p>
        </w:tc>
      </w:tr>
      <w:tr w14:paraId="52B4D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04A96E82">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2.4.8</w:t>
            </w:r>
          </w:p>
        </w:tc>
        <w:tc>
          <w:tcPr>
            <w:tcW w:w="4349" w:type="pct"/>
            <w:shd w:val="clear" w:color="auto" w:fill="auto"/>
            <w:vAlign w:val="top"/>
          </w:tcPr>
          <w:p w14:paraId="5B2101C7">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腿动探头4个</w:t>
            </w:r>
          </w:p>
        </w:tc>
      </w:tr>
      <w:tr w14:paraId="6C8B9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4E93694A">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2.4.9</w:t>
            </w:r>
          </w:p>
        </w:tc>
        <w:tc>
          <w:tcPr>
            <w:tcW w:w="4349" w:type="pct"/>
            <w:shd w:val="clear" w:color="auto" w:fill="auto"/>
            <w:vAlign w:val="top"/>
          </w:tcPr>
          <w:p w14:paraId="55D2CF02">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电脑（i5，硬盘1tb，内存16gb，显示器21.5寸）一套</w:t>
            </w:r>
          </w:p>
        </w:tc>
      </w:tr>
      <w:tr w14:paraId="788B5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63DE5749">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2.4.10</w:t>
            </w:r>
          </w:p>
        </w:tc>
        <w:tc>
          <w:tcPr>
            <w:tcW w:w="4349" w:type="pct"/>
            <w:shd w:val="clear" w:color="auto" w:fill="auto"/>
            <w:vAlign w:val="top"/>
          </w:tcPr>
          <w:p w14:paraId="69832612">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电脑（Windows10）端睡眠分析软件一套</w:t>
            </w:r>
          </w:p>
        </w:tc>
      </w:tr>
      <w:tr w14:paraId="0BBE2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5B8E26A7">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2.4.11</w:t>
            </w:r>
          </w:p>
        </w:tc>
        <w:tc>
          <w:tcPr>
            <w:tcW w:w="4349" w:type="pct"/>
            <w:shd w:val="clear" w:color="auto" w:fill="auto"/>
            <w:vAlign w:val="top"/>
          </w:tcPr>
          <w:p w14:paraId="068132CF">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彩色激光打印机一台</w:t>
            </w:r>
          </w:p>
        </w:tc>
      </w:tr>
      <w:tr w14:paraId="59393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top"/>
          </w:tcPr>
          <w:p w14:paraId="4C769788">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2.4.12</w:t>
            </w:r>
          </w:p>
        </w:tc>
        <w:tc>
          <w:tcPr>
            <w:tcW w:w="4349" w:type="pct"/>
            <w:shd w:val="clear" w:color="auto" w:fill="auto"/>
            <w:vAlign w:val="top"/>
          </w:tcPr>
          <w:p w14:paraId="0C561FD1">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若设备有其余相关信息系统接口，则全部免费开放，并配合医院方或院方采购系统的接入,所有费用包含在投标总价内。</w:t>
            </w:r>
          </w:p>
        </w:tc>
      </w:tr>
      <w:tr w14:paraId="103F3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center"/>
          </w:tcPr>
          <w:p w14:paraId="54155659">
            <w:pPr>
              <w:keepLines w:val="0"/>
              <w:pageBreakBefore w:val="0"/>
              <w:kinsoku/>
              <w:wordWrap/>
              <w:overflowPunct/>
              <w:topLinePunct w:val="0"/>
              <w:autoSpaceDE/>
              <w:autoSpaceDN/>
              <w:bidi w:val="0"/>
              <w:spacing w:line="460" w:lineRule="exact"/>
              <w:ind w:right="250" w:rightChars="0"/>
              <w:jc w:val="left"/>
              <w:rPr>
                <w:rFonts w:hint="eastAsia" w:ascii="新宋体" w:hAnsi="新宋体" w:eastAsia="新宋体" w:cs="新宋体"/>
                <w:b/>
                <w:bCs/>
                <w:color w:val="auto"/>
                <w:kern w:val="0"/>
                <w:sz w:val="22"/>
                <w:szCs w:val="22"/>
                <w:highlight w:val="none"/>
                <w:lang w:val="en-US" w:eastAsia="zh-CN" w:bidi="ar-SA"/>
              </w:rPr>
            </w:pPr>
            <w:r>
              <w:rPr>
                <w:rFonts w:hint="eastAsia" w:ascii="新宋体" w:hAnsi="新宋体" w:eastAsia="新宋体" w:cs="新宋体"/>
                <w:b/>
                <w:bCs/>
                <w:color w:val="auto"/>
                <w:kern w:val="0"/>
                <w:sz w:val="22"/>
                <w:szCs w:val="22"/>
                <w:highlight w:val="none"/>
                <w:lang w:val="en-US" w:eastAsia="zh-CN" w:bidi="ar-SA"/>
              </w:rPr>
              <w:t>三</w:t>
            </w:r>
          </w:p>
        </w:tc>
        <w:tc>
          <w:tcPr>
            <w:tcW w:w="4349" w:type="pct"/>
            <w:shd w:val="clear" w:color="auto" w:fill="auto"/>
            <w:vAlign w:val="center"/>
          </w:tcPr>
          <w:p w14:paraId="27CA17FF">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b/>
                <w:bCs/>
                <w:color w:val="auto"/>
                <w:kern w:val="0"/>
                <w:sz w:val="22"/>
                <w:szCs w:val="22"/>
                <w:highlight w:val="none"/>
                <w:lang w:val="en-US" w:eastAsia="zh-CN" w:bidi="ar-SA"/>
              </w:rPr>
            </w:pPr>
            <w:r>
              <w:rPr>
                <w:rFonts w:hint="eastAsia" w:ascii="新宋体" w:hAnsi="新宋体" w:eastAsia="新宋体" w:cs="新宋体"/>
                <w:b/>
                <w:bCs/>
                <w:color w:val="auto"/>
                <w:kern w:val="0"/>
                <w:sz w:val="22"/>
                <w:szCs w:val="22"/>
                <w:highlight w:val="none"/>
                <w:lang w:val="en-US" w:eastAsia="zh-CN" w:bidi="ar-SA"/>
              </w:rPr>
              <w:t>产品名称：压力滴定呼吸机1台</w:t>
            </w:r>
          </w:p>
        </w:tc>
      </w:tr>
      <w:tr w14:paraId="5DB4F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center"/>
          </w:tcPr>
          <w:p w14:paraId="5D6D386C">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3.1</w:t>
            </w:r>
          </w:p>
        </w:tc>
        <w:tc>
          <w:tcPr>
            <w:tcW w:w="4349" w:type="pct"/>
            <w:shd w:val="clear" w:color="auto" w:fill="auto"/>
            <w:vAlign w:val="center"/>
          </w:tcPr>
          <w:p w14:paraId="50B95B32">
            <w:pPr>
              <w:keepLines w:val="0"/>
              <w:pageBreakBefore w:val="0"/>
              <w:widowControl w:val="0"/>
              <w:kinsoku/>
              <w:wordWrap/>
              <w:overflowPunct/>
              <w:topLinePunct w:val="0"/>
              <w:autoSpaceDE/>
              <w:autoSpaceDN/>
              <w:bidi w:val="0"/>
              <w:snapToGrid/>
              <w:spacing w:line="460" w:lineRule="exact"/>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设备数量：压力滴定呼吸机1台</w:t>
            </w:r>
          </w:p>
        </w:tc>
      </w:tr>
      <w:tr w14:paraId="63602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center"/>
          </w:tcPr>
          <w:p w14:paraId="20774C03">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3.2</w:t>
            </w:r>
          </w:p>
        </w:tc>
        <w:tc>
          <w:tcPr>
            <w:tcW w:w="4349" w:type="pct"/>
            <w:shd w:val="clear" w:color="auto" w:fill="auto"/>
            <w:vAlign w:val="center"/>
          </w:tcPr>
          <w:p w14:paraId="710D6E71">
            <w:pPr>
              <w:keepLines w:val="0"/>
              <w:pageBreakBefore w:val="0"/>
              <w:widowControl w:val="0"/>
              <w:kinsoku/>
              <w:wordWrap/>
              <w:overflowPunct/>
              <w:topLinePunct w:val="0"/>
              <w:autoSpaceDE/>
              <w:autoSpaceDN/>
              <w:bidi w:val="0"/>
              <w:snapToGrid/>
              <w:spacing w:line="460" w:lineRule="exact"/>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适应症：用于睡眠呼吸暂停低通气综合征、心衰；慢性阻塞性肺疾病病人急性加重，出现Ⅱ型呼吸衰竭等可以选择无创呼吸机进行辅助通气，纠正患者呼衰的状态。</w:t>
            </w:r>
          </w:p>
        </w:tc>
      </w:tr>
      <w:tr w14:paraId="0D0B4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center"/>
          </w:tcPr>
          <w:p w14:paraId="3D91DDBF">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3.3</w:t>
            </w:r>
          </w:p>
        </w:tc>
        <w:tc>
          <w:tcPr>
            <w:tcW w:w="4349" w:type="pct"/>
            <w:shd w:val="clear" w:color="auto" w:fill="auto"/>
            <w:vAlign w:val="center"/>
          </w:tcPr>
          <w:p w14:paraId="74282A6C">
            <w:pPr>
              <w:keepLines w:val="0"/>
              <w:pageBreakBefore w:val="0"/>
              <w:widowControl/>
              <w:kinsoku/>
              <w:wordWrap/>
              <w:overflowPunct/>
              <w:topLinePunct w:val="0"/>
              <w:autoSpaceDE/>
              <w:autoSpaceDN/>
              <w:bidi w:val="0"/>
              <w:spacing w:line="460" w:lineRule="exact"/>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压力滴定呼吸机</w:t>
            </w:r>
            <w:r>
              <w:rPr>
                <w:rFonts w:hint="eastAsia" w:ascii="新宋体" w:hAnsi="新宋体" w:eastAsia="新宋体" w:cs="新宋体"/>
                <w:b/>
                <w:color w:val="auto"/>
                <w:kern w:val="0"/>
                <w:sz w:val="22"/>
                <w:szCs w:val="22"/>
                <w:highlight w:val="none"/>
              </w:rPr>
              <w:t>技术参数</w:t>
            </w:r>
          </w:p>
        </w:tc>
      </w:tr>
      <w:tr w14:paraId="2B6AE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center"/>
          </w:tcPr>
          <w:p w14:paraId="28B9527B">
            <w:pPr>
              <w:keepLines w:val="0"/>
              <w:pageBreakBefore w:val="0"/>
              <w:widowControl/>
              <w:kinsoku/>
              <w:wordWrap/>
              <w:overflowPunct/>
              <w:topLinePunct w:val="0"/>
              <w:autoSpaceDE/>
              <w:autoSpaceDN/>
              <w:bidi w:val="0"/>
              <w:spacing w:line="460" w:lineRule="exact"/>
              <w:jc w:val="left"/>
              <w:rPr>
                <w:rFonts w:hint="eastAsia" w:ascii="新宋体" w:hAnsi="新宋体" w:eastAsia="新宋体" w:cs="新宋体"/>
                <w:b/>
                <w:color w:val="auto"/>
                <w:kern w:val="0"/>
                <w:sz w:val="22"/>
                <w:szCs w:val="22"/>
                <w:highlight w:val="none"/>
                <w:lang w:val="en-US" w:eastAsia="zh-CN" w:bidi="ar-SA"/>
              </w:rPr>
            </w:pPr>
            <w:r>
              <w:rPr>
                <w:rFonts w:hint="eastAsia" w:ascii="新宋体" w:hAnsi="新宋体" w:eastAsia="新宋体" w:cs="新宋体"/>
                <w:color w:val="auto"/>
                <w:sz w:val="22"/>
                <w:szCs w:val="22"/>
                <w:highlight w:val="none"/>
              </w:rPr>
              <w:t>▲</w:t>
            </w:r>
            <w:r>
              <w:rPr>
                <w:rFonts w:hint="eastAsia" w:ascii="新宋体" w:hAnsi="新宋体" w:eastAsia="新宋体" w:cs="新宋体"/>
                <w:b w:val="0"/>
                <w:bCs/>
                <w:color w:val="auto"/>
                <w:kern w:val="0"/>
                <w:sz w:val="22"/>
                <w:szCs w:val="22"/>
                <w:highlight w:val="none"/>
                <w:lang w:val="en-US" w:eastAsia="zh-CN" w:bidi="ar-SA"/>
              </w:rPr>
              <w:t>3.3.1</w:t>
            </w:r>
          </w:p>
        </w:tc>
        <w:tc>
          <w:tcPr>
            <w:tcW w:w="4349" w:type="pct"/>
            <w:shd w:val="clear" w:color="auto" w:fill="auto"/>
            <w:vAlign w:val="center"/>
          </w:tcPr>
          <w:p w14:paraId="7CF740DF">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通气模式BiPAP, AutoSet</w:t>
            </w:r>
          </w:p>
        </w:tc>
      </w:tr>
      <w:tr w14:paraId="274B6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center"/>
          </w:tcPr>
          <w:p w14:paraId="1C2F6251">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3.3.2</w:t>
            </w:r>
          </w:p>
        </w:tc>
        <w:tc>
          <w:tcPr>
            <w:tcW w:w="4349" w:type="pct"/>
            <w:shd w:val="clear" w:color="auto" w:fill="auto"/>
            <w:vAlign w:val="center"/>
          </w:tcPr>
          <w:p w14:paraId="241DE6B5">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最大压力≥20cmH2O,最小压力≤4cmH2O,CPAP:4-20cmH2O</w:t>
            </w:r>
          </w:p>
        </w:tc>
      </w:tr>
      <w:tr w14:paraId="24D15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center"/>
          </w:tcPr>
          <w:p w14:paraId="64DA534D">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3.3.3</w:t>
            </w:r>
          </w:p>
        </w:tc>
        <w:tc>
          <w:tcPr>
            <w:tcW w:w="4349" w:type="pct"/>
            <w:shd w:val="clear" w:color="auto" w:fill="auto"/>
            <w:vAlign w:val="center"/>
          </w:tcPr>
          <w:p w14:paraId="1A7F338D">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呼气末压力释放≥3档</w:t>
            </w:r>
          </w:p>
        </w:tc>
      </w:tr>
      <w:tr w14:paraId="0A896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50" w:type="pct"/>
            <w:shd w:val="clear" w:color="auto" w:fill="auto"/>
            <w:vAlign w:val="center"/>
          </w:tcPr>
          <w:p w14:paraId="5768B60D">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3.3.4</w:t>
            </w:r>
          </w:p>
        </w:tc>
        <w:tc>
          <w:tcPr>
            <w:tcW w:w="4349" w:type="pct"/>
            <w:shd w:val="clear" w:color="auto" w:fill="auto"/>
            <w:vAlign w:val="center"/>
          </w:tcPr>
          <w:p w14:paraId="7D57260F">
            <w:pPr>
              <w:keepLines w:val="0"/>
              <w:pageBreakBefore w:val="0"/>
              <w:kinsoku/>
              <w:wordWrap/>
              <w:overflowPunct/>
              <w:topLinePunct w:val="0"/>
              <w:autoSpaceDE/>
              <w:autoSpaceDN/>
              <w:bidi w:val="0"/>
              <w:spacing w:line="460" w:lineRule="exact"/>
              <w:ind w:right="250" w:right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湿度水平≥5档,温度水平：15-30度</w:t>
            </w:r>
          </w:p>
        </w:tc>
      </w:tr>
      <w:tr w14:paraId="58AA0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center"/>
          </w:tcPr>
          <w:p w14:paraId="6C615581">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3.4</w:t>
            </w:r>
          </w:p>
        </w:tc>
        <w:tc>
          <w:tcPr>
            <w:tcW w:w="4349" w:type="pct"/>
            <w:shd w:val="clear" w:color="auto" w:fill="auto"/>
            <w:vAlign w:val="center"/>
          </w:tcPr>
          <w:p w14:paraId="41F234E3">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配置清单</w:t>
            </w:r>
          </w:p>
        </w:tc>
      </w:tr>
      <w:tr w14:paraId="23F95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center"/>
          </w:tcPr>
          <w:p w14:paraId="7897CB35">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3.4.1</w:t>
            </w:r>
          </w:p>
        </w:tc>
        <w:tc>
          <w:tcPr>
            <w:tcW w:w="4349" w:type="pct"/>
            <w:shd w:val="clear" w:color="auto" w:fill="auto"/>
            <w:vAlign w:val="center"/>
          </w:tcPr>
          <w:p w14:paraId="4242AAD7">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lang w:val="en-US" w:eastAsia="zh-CN"/>
              </w:rPr>
              <w:t>呼吸机-主机1套</w:t>
            </w:r>
          </w:p>
        </w:tc>
      </w:tr>
      <w:tr w14:paraId="50F03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center"/>
          </w:tcPr>
          <w:p w14:paraId="2004CE9E">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3</w:t>
            </w:r>
            <w:r>
              <w:rPr>
                <w:rFonts w:hint="eastAsia" w:ascii="新宋体" w:hAnsi="新宋体" w:eastAsia="新宋体" w:cs="新宋体"/>
                <w:color w:val="auto"/>
                <w:kern w:val="0"/>
                <w:sz w:val="22"/>
                <w:szCs w:val="22"/>
                <w:highlight w:val="none"/>
              </w:rPr>
              <w:t>.4.2</w:t>
            </w:r>
          </w:p>
        </w:tc>
        <w:tc>
          <w:tcPr>
            <w:tcW w:w="4349" w:type="pct"/>
            <w:shd w:val="clear" w:color="auto" w:fill="auto"/>
            <w:vAlign w:val="center"/>
          </w:tcPr>
          <w:p w14:paraId="39D94D8F">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lang w:val="en-US" w:eastAsia="zh-CN"/>
              </w:rPr>
              <w:t>一次性面罩及管路 5套</w:t>
            </w:r>
          </w:p>
        </w:tc>
      </w:tr>
      <w:tr w14:paraId="1FA24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shd w:val="clear" w:color="auto" w:fill="auto"/>
            <w:vAlign w:val="center"/>
          </w:tcPr>
          <w:p w14:paraId="0D32C245">
            <w:pPr>
              <w:keepLines w:val="0"/>
              <w:pageBreakBefore w:val="0"/>
              <w:kinsoku/>
              <w:wordWrap/>
              <w:overflowPunct/>
              <w:topLinePunct w:val="0"/>
              <w:autoSpaceDE/>
              <w:autoSpaceDN/>
              <w:bidi w:val="0"/>
              <w:adjustRightInd w:val="0"/>
              <w:spacing w:line="460" w:lineRule="exact"/>
              <w:ind w:right="250" w:rightChars="0"/>
              <w:jc w:val="left"/>
              <w:textAlignment w:val="baseline"/>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3</w:t>
            </w:r>
            <w:r>
              <w:rPr>
                <w:rFonts w:hint="eastAsia" w:ascii="新宋体" w:hAnsi="新宋体" w:eastAsia="新宋体" w:cs="新宋体"/>
                <w:color w:val="auto"/>
                <w:kern w:val="0"/>
                <w:sz w:val="22"/>
                <w:szCs w:val="22"/>
                <w:highlight w:val="none"/>
              </w:rPr>
              <w:t>.4.3</w:t>
            </w:r>
          </w:p>
        </w:tc>
        <w:tc>
          <w:tcPr>
            <w:tcW w:w="4349" w:type="pct"/>
            <w:shd w:val="clear" w:color="auto" w:fill="auto"/>
            <w:vAlign w:val="center"/>
          </w:tcPr>
          <w:p w14:paraId="4FA53ACE">
            <w:pPr>
              <w:keepLines w:val="0"/>
              <w:pageBreakBefore w:val="0"/>
              <w:kinsoku/>
              <w:wordWrap/>
              <w:overflowPunct/>
              <w:topLinePunct w:val="0"/>
              <w:autoSpaceDE/>
              <w:autoSpaceDN/>
              <w:bidi w:val="0"/>
              <w:adjustRightInd w:val="0"/>
              <w:spacing w:line="460" w:lineRule="exact"/>
              <w:ind w:right="250" w:rightChars="0"/>
              <w:jc w:val="both"/>
              <w:textAlignment w:val="baseline"/>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lang w:val="en-US" w:eastAsia="zh-CN"/>
              </w:rPr>
              <w:t>电源及便携包1套</w:t>
            </w:r>
          </w:p>
        </w:tc>
      </w:tr>
    </w:tbl>
    <w:p w14:paraId="1EA7DB72">
      <w:pPr>
        <w:keepNext w:val="0"/>
        <w:keepLines w:val="0"/>
        <w:pageBreakBefore w:val="0"/>
        <w:kinsoku/>
        <w:wordWrap/>
        <w:overflowPunct/>
        <w:topLinePunct w:val="0"/>
        <w:autoSpaceDE/>
        <w:autoSpaceDN/>
        <w:bidi w:val="0"/>
        <w:adjustRightInd/>
        <w:snapToGrid w:val="0"/>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注：</w:t>
      </w:r>
      <w:r>
        <w:rPr>
          <w:rFonts w:eastAsia="新宋体"/>
          <w:b/>
          <w:bCs/>
          <w:color w:val="auto"/>
          <w:sz w:val="22"/>
          <w:szCs w:val="22"/>
          <w:highlight w:val="none"/>
        </w:rPr>
        <w:t>以上设备功能及技术参数要求如无特别注明的均为制造出厂的标准配置。</w:t>
      </w:r>
      <w:r>
        <w:rPr>
          <w:rFonts w:eastAsia="新宋体"/>
          <w:b/>
          <w:bCs/>
          <w:color w:val="auto"/>
          <w:sz w:val="22"/>
          <w:szCs w:val="22"/>
          <w:highlight w:val="none"/>
          <w:lang w:val="zh-CN"/>
        </w:rPr>
        <w:t>投标人可根据以上所列的技术配置及技术性能要求</w:t>
      </w:r>
      <w:r>
        <w:rPr>
          <w:rFonts w:eastAsia="新宋体"/>
          <w:b/>
          <w:bCs/>
          <w:color w:val="auto"/>
          <w:sz w:val="22"/>
          <w:szCs w:val="22"/>
          <w:highlight w:val="none"/>
        </w:rPr>
        <w:t>作为</w:t>
      </w:r>
      <w:r>
        <w:rPr>
          <w:rFonts w:eastAsia="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14:paraId="57E8A1D3">
      <w:pPr>
        <w:keepNext w:val="0"/>
        <w:keepLines w:val="0"/>
        <w:pageBreakBefore w:val="0"/>
        <w:kinsoku/>
        <w:wordWrap/>
        <w:overflowPunct/>
        <w:topLinePunct w:val="0"/>
        <w:autoSpaceDE/>
        <w:autoSpaceDN/>
        <w:bidi w:val="0"/>
        <w:adjustRightInd/>
        <w:snapToGrid w:val="0"/>
        <w:spacing w:line="460" w:lineRule="exact"/>
        <w:textAlignment w:val="auto"/>
        <w:outlineLvl w:val="1"/>
        <w:rPr>
          <w:rFonts w:hint="eastAsia" w:ascii="新宋体" w:hAnsi="新宋体" w:eastAsia="新宋体" w:cs="新宋体"/>
          <w:b/>
          <w:color w:val="auto"/>
          <w:sz w:val="22"/>
          <w:szCs w:val="22"/>
          <w:highlight w:val="none"/>
        </w:rPr>
      </w:pPr>
      <w:bookmarkStart w:id="51" w:name="_Toc15834"/>
      <w:r>
        <w:rPr>
          <w:rFonts w:hint="eastAsia" w:ascii="新宋体" w:hAnsi="新宋体" w:eastAsia="新宋体" w:cs="新宋体"/>
          <w:b/>
          <w:color w:val="auto"/>
          <w:sz w:val="22"/>
          <w:szCs w:val="22"/>
          <w:highlight w:val="none"/>
        </w:rPr>
        <w:t>四、商务要求（技术要求里另有注明的以技术要求为准）</w:t>
      </w:r>
      <w:bookmarkEnd w:id="51"/>
    </w:p>
    <w:tbl>
      <w:tblPr>
        <w:tblStyle w:val="52"/>
        <w:tblW w:w="9603" w:type="dxa"/>
        <w:tblInd w:w="14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50"/>
        <w:gridCol w:w="8353"/>
      </w:tblGrid>
      <w:tr w14:paraId="6349C0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7" w:hRule="atLeast"/>
        </w:trPr>
        <w:tc>
          <w:tcPr>
            <w:tcW w:w="1250" w:type="dxa"/>
            <w:tcBorders>
              <w:top w:val="single" w:color="auto" w:sz="12" w:space="0"/>
            </w:tcBorders>
            <w:noWrap w:val="0"/>
            <w:vAlign w:val="center"/>
          </w:tcPr>
          <w:p w14:paraId="4AF110BB">
            <w:pPr>
              <w:keepNext w:val="0"/>
              <w:keepLines w:val="0"/>
              <w:pageBreakBefore w:val="0"/>
              <w:kinsoku/>
              <w:wordWrap/>
              <w:overflowPunct/>
              <w:topLinePunct w:val="0"/>
              <w:autoSpaceDE/>
              <w:autoSpaceDN/>
              <w:bidi w:val="0"/>
              <w:adjustRightInd/>
              <w:snapToGrid/>
              <w:spacing w:line="460" w:lineRule="exact"/>
              <w:ind w:right="-21" w:rightChars="-10"/>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8353" w:type="dxa"/>
            <w:tcBorders>
              <w:top w:val="single" w:color="auto" w:sz="12" w:space="0"/>
            </w:tcBorders>
            <w:noWrap w:val="0"/>
            <w:vAlign w:val="top"/>
          </w:tcPr>
          <w:p w14:paraId="13017AF3">
            <w:pPr>
              <w:keepNext w:val="0"/>
              <w:keepLines w:val="0"/>
              <w:pageBreakBefore w:val="0"/>
              <w:kinsoku/>
              <w:wordWrap/>
              <w:overflowPunct/>
              <w:topLinePunct w:val="0"/>
              <w:autoSpaceDE/>
              <w:autoSpaceDN/>
              <w:bidi w:val="0"/>
              <w:adjustRightInd/>
              <w:snapToGrid/>
              <w:spacing w:line="460" w:lineRule="exact"/>
              <w:ind w:right="-21" w:rightChars="-10"/>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招标要求</w:t>
            </w:r>
          </w:p>
        </w:tc>
      </w:tr>
      <w:tr w14:paraId="62D267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4A5C4211">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w:t>
            </w:r>
          </w:p>
        </w:tc>
        <w:tc>
          <w:tcPr>
            <w:tcW w:w="8353" w:type="dxa"/>
            <w:noWrap w:val="0"/>
            <w:vAlign w:val="center"/>
          </w:tcPr>
          <w:p w14:paraId="34231CD0">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交货期</w:t>
            </w:r>
            <w:r>
              <w:rPr>
                <w:rFonts w:hint="eastAsia" w:ascii="新宋体" w:hAnsi="新宋体" w:eastAsia="新宋体" w:cs="新宋体"/>
                <w:color w:val="auto"/>
                <w:sz w:val="22"/>
                <w:szCs w:val="22"/>
                <w:highlight w:val="none"/>
              </w:rPr>
              <w:t>：合同签订后1个月内可到货</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具体根据</w:t>
            </w:r>
            <w:r>
              <w:rPr>
                <w:rFonts w:hint="eastAsia" w:ascii="新宋体" w:hAnsi="新宋体" w:eastAsia="新宋体" w:cs="新宋体"/>
                <w:color w:val="auto"/>
                <w:sz w:val="22"/>
                <w:szCs w:val="22"/>
                <w:highlight w:val="none"/>
                <w:lang w:val="en-US" w:eastAsia="zh-CN"/>
              </w:rPr>
              <w:t>招标人</w:t>
            </w:r>
            <w:r>
              <w:rPr>
                <w:rFonts w:hint="eastAsia" w:ascii="新宋体" w:hAnsi="新宋体" w:eastAsia="新宋体" w:cs="新宋体"/>
                <w:color w:val="auto"/>
                <w:sz w:val="22"/>
                <w:szCs w:val="22"/>
                <w:highlight w:val="none"/>
              </w:rPr>
              <w:t>通知</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kern w:val="0"/>
                <w:sz w:val="22"/>
                <w:szCs w:val="22"/>
                <w:highlight w:val="none"/>
                <w:lang w:val="zh-CN" w:bidi="ar"/>
              </w:rPr>
              <w:t>。</w:t>
            </w:r>
          </w:p>
        </w:tc>
      </w:tr>
      <w:tr w14:paraId="06C4B2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250" w:type="dxa"/>
            <w:noWrap w:val="0"/>
            <w:vAlign w:val="center"/>
          </w:tcPr>
          <w:p w14:paraId="00DEE0B9">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p>
        </w:tc>
        <w:tc>
          <w:tcPr>
            <w:tcW w:w="8353" w:type="dxa"/>
            <w:noWrap w:val="0"/>
            <w:vAlign w:val="center"/>
          </w:tcPr>
          <w:p w14:paraId="7915B83C">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到货地点</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kern w:val="0"/>
                <w:sz w:val="22"/>
                <w:szCs w:val="22"/>
                <w:highlight w:val="none"/>
                <w:lang w:eastAsia="zh-CN" w:bidi="ar"/>
              </w:rPr>
              <w:t>温州市</w:t>
            </w:r>
            <w:r>
              <w:rPr>
                <w:rFonts w:hint="eastAsia" w:ascii="新宋体" w:hAnsi="新宋体" w:eastAsia="新宋体" w:cs="新宋体"/>
                <w:color w:val="auto"/>
                <w:kern w:val="0"/>
                <w:sz w:val="22"/>
                <w:szCs w:val="22"/>
                <w:highlight w:val="none"/>
                <w:lang w:val="en-US" w:eastAsia="zh-CN" w:bidi="ar"/>
              </w:rPr>
              <w:t>第七人民</w:t>
            </w:r>
            <w:r>
              <w:rPr>
                <w:rFonts w:hint="eastAsia" w:ascii="新宋体" w:hAnsi="新宋体" w:eastAsia="新宋体" w:cs="新宋体"/>
                <w:color w:val="auto"/>
                <w:kern w:val="0"/>
                <w:sz w:val="22"/>
                <w:szCs w:val="22"/>
                <w:highlight w:val="none"/>
                <w:lang w:eastAsia="zh-CN" w:bidi="ar"/>
              </w:rPr>
              <w:t>医院</w:t>
            </w:r>
            <w:r>
              <w:rPr>
                <w:rFonts w:hint="eastAsia" w:ascii="新宋体" w:hAnsi="新宋体" w:eastAsia="新宋体" w:cs="新宋体"/>
                <w:color w:val="auto"/>
                <w:kern w:val="0"/>
                <w:sz w:val="22"/>
                <w:szCs w:val="22"/>
                <w:highlight w:val="none"/>
                <w:lang w:bidi="ar"/>
              </w:rPr>
              <w:t>指定位置</w:t>
            </w:r>
          </w:p>
        </w:tc>
      </w:tr>
      <w:tr w14:paraId="036106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75BC3EEF">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w:t>
            </w:r>
          </w:p>
        </w:tc>
        <w:tc>
          <w:tcPr>
            <w:tcW w:w="8353" w:type="dxa"/>
            <w:noWrap w:val="0"/>
            <w:vAlign w:val="center"/>
          </w:tcPr>
          <w:p w14:paraId="3387221F">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kern w:val="0"/>
                <w:sz w:val="22"/>
                <w:szCs w:val="22"/>
                <w:highlight w:val="none"/>
              </w:rPr>
              <w:t>报价要求</w:t>
            </w:r>
          </w:p>
        </w:tc>
      </w:tr>
      <w:tr w14:paraId="7584A7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71253D07">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3.1</w:t>
            </w:r>
          </w:p>
        </w:tc>
        <w:tc>
          <w:tcPr>
            <w:tcW w:w="8353" w:type="dxa"/>
            <w:noWrap w:val="0"/>
            <w:vAlign w:val="center"/>
          </w:tcPr>
          <w:p w14:paraId="4DFAD940">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报价方式：DDP医院。</w:t>
            </w:r>
          </w:p>
          <w:p w14:paraId="12B1F0AA">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该价格包含货物价格、运费（医院指定地点）、保险费、税收、随机工具、随机附件、安装验收服务费、招标代理服务费、技术培训费、保修、</w:t>
            </w:r>
            <w:r>
              <w:rPr>
                <w:rFonts w:hint="eastAsia" w:ascii="新宋体" w:hAnsi="新宋体" w:eastAsia="新宋体" w:cs="新宋体"/>
                <w:color w:val="auto"/>
                <w:kern w:val="0"/>
                <w:sz w:val="22"/>
                <w:szCs w:val="22"/>
                <w:highlight w:val="none"/>
                <w:lang w:bidi="ar"/>
              </w:rPr>
              <w:t>检验检疫、</w:t>
            </w:r>
            <w:r>
              <w:rPr>
                <w:rFonts w:hint="eastAsia" w:ascii="新宋体" w:hAnsi="新宋体" w:eastAsia="新宋体" w:cs="新宋体"/>
                <w:b/>
                <w:bCs/>
                <w:color w:val="auto"/>
                <w:kern w:val="0"/>
                <w:sz w:val="22"/>
                <w:szCs w:val="22"/>
                <w:highlight w:val="none"/>
                <w:lang w:bidi="ar"/>
              </w:rPr>
              <w:t>计量</w:t>
            </w:r>
            <w:r>
              <w:rPr>
                <w:rFonts w:hint="eastAsia" w:ascii="新宋体" w:hAnsi="新宋体" w:eastAsia="新宋体" w:cs="新宋体"/>
                <w:color w:val="auto"/>
                <w:sz w:val="22"/>
                <w:szCs w:val="22"/>
                <w:highlight w:val="none"/>
              </w:rPr>
              <w:t>等所有费用。</w:t>
            </w:r>
          </w:p>
        </w:tc>
      </w:tr>
      <w:tr w14:paraId="2A3042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79D9F55E">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3.2</w:t>
            </w:r>
          </w:p>
        </w:tc>
        <w:tc>
          <w:tcPr>
            <w:tcW w:w="8353" w:type="dxa"/>
            <w:noWrap w:val="0"/>
            <w:vAlign w:val="center"/>
          </w:tcPr>
          <w:p w14:paraId="7060FA2F">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kern w:val="0"/>
                <w:sz w:val="22"/>
                <w:szCs w:val="22"/>
                <w:highlight w:val="none"/>
              </w:rPr>
              <w:t>提供投标产品分项价格清单</w:t>
            </w:r>
          </w:p>
        </w:tc>
      </w:tr>
      <w:tr w14:paraId="732FCA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7813FAE5">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3.3</w:t>
            </w:r>
          </w:p>
        </w:tc>
        <w:tc>
          <w:tcPr>
            <w:tcW w:w="8353" w:type="dxa"/>
            <w:noWrap w:val="0"/>
            <w:vAlign w:val="center"/>
          </w:tcPr>
          <w:p w14:paraId="17E505B3">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投标及合同货币：人民币。</w:t>
            </w:r>
          </w:p>
        </w:tc>
      </w:tr>
      <w:tr w14:paraId="58693D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14C3A2D8">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3.4</w:t>
            </w:r>
          </w:p>
        </w:tc>
        <w:tc>
          <w:tcPr>
            <w:tcW w:w="8353" w:type="dxa"/>
            <w:noWrap w:val="0"/>
            <w:vAlign w:val="center"/>
          </w:tcPr>
          <w:p w14:paraId="2649C80B">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投标时标明所有的易耗品及1000元以上维修备件的清单和供货价。提供不高于同期温州市其他市级医院相同产品的采购价格的最优惠报价，并承诺使用期限内售价不得高于此价格。</w:t>
            </w:r>
            <w:r>
              <w:rPr>
                <w:rFonts w:hint="eastAsia" w:ascii="新宋体" w:hAnsi="新宋体" w:eastAsia="新宋体" w:cs="新宋体"/>
                <w:b/>
                <w:bCs/>
                <w:color w:val="auto"/>
                <w:sz w:val="22"/>
                <w:szCs w:val="22"/>
                <w:highlight w:val="none"/>
              </w:rPr>
              <w:t>如未列明，则默认为日后日常使用中易耗品或1000元以上的维修备件免费提供。</w:t>
            </w:r>
          </w:p>
        </w:tc>
      </w:tr>
      <w:tr w14:paraId="5759F1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250" w:type="dxa"/>
            <w:noWrap w:val="0"/>
            <w:vAlign w:val="center"/>
          </w:tcPr>
          <w:p w14:paraId="7CF9B872">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3.5</w:t>
            </w:r>
          </w:p>
        </w:tc>
        <w:tc>
          <w:tcPr>
            <w:tcW w:w="8353" w:type="dxa"/>
            <w:noWrap w:val="0"/>
            <w:vAlign w:val="center"/>
          </w:tcPr>
          <w:p w14:paraId="3D924F92">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bCs/>
                <w:color w:val="auto"/>
                <w:kern w:val="0"/>
                <w:sz w:val="22"/>
                <w:szCs w:val="22"/>
                <w:highlight w:val="none"/>
              </w:rPr>
            </w:pPr>
            <w:r>
              <w:rPr>
                <w:rFonts w:hint="eastAsia" w:ascii="新宋体" w:hAnsi="新宋体" w:eastAsia="新宋体" w:cs="新宋体"/>
                <w:color w:val="auto"/>
                <w:sz w:val="22"/>
                <w:szCs w:val="22"/>
                <w:highlight w:val="none"/>
              </w:rPr>
              <w:t>报专用耗材/试剂价格，其供货价不高于同期温州市其他市级医院相同产品的采购价格；且承诺该耗材（试剂）可通过浙江省医用耗材采购系统（浙江省药械采购平台）进行供货，并</w:t>
            </w:r>
            <w:r>
              <w:rPr>
                <w:rFonts w:hint="eastAsia" w:ascii="新宋体" w:hAnsi="新宋体" w:eastAsia="新宋体" w:cs="新宋体"/>
                <w:bCs/>
                <w:color w:val="auto"/>
                <w:kern w:val="0"/>
                <w:sz w:val="22"/>
                <w:szCs w:val="22"/>
                <w:highlight w:val="none"/>
              </w:rPr>
              <w:t>提供该平台上的相应产品代码（最迟合同签订前提供）。</w:t>
            </w:r>
          </w:p>
        </w:tc>
      </w:tr>
      <w:tr w14:paraId="3F1F51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021FEAA1">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4</w:t>
            </w:r>
          </w:p>
        </w:tc>
        <w:tc>
          <w:tcPr>
            <w:tcW w:w="8353" w:type="dxa"/>
            <w:noWrap w:val="0"/>
            <w:vAlign w:val="center"/>
          </w:tcPr>
          <w:p w14:paraId="2A6B5643">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kern w:val="0"/>
                <w:sz w:val="22"/>
                <w:szCs w:val="22"/>
                <w:highlight w:val="none"/>
              </w:rPr>
              <w:t>投标范围的货物，应由</w:t>
            </w:r>
            <w:r>
              <w:rPr>
                <w:rFonts w:hint="eastAsia" w:ascii="新宋体" w:hAnsi="新宋体" w:eastAsia="新宋体" w:cs="新宋体"/>
                <w:color w:val="auto"/>
                <w:sz w:val="22"/>
                <w:szCs w:val="22"/>
                <w:highlight w:val="none"/>
              </w:rPr>
              <w:t>中标商</w:t>
            </w:r>
            <w:r>
              <w:rPr>
                <w:rFonts w:hint="eastAsia" w:ascii="新宋体" w:hAnsi="新宋体" w:eastAsia="新宋体" w:cs="新宋体"/>
                <w:bCs/>
                <w:color w:val="auto"/>
                <w:kern w:val="0"/>
                <w:sz w:val="22"/>
                <w:szCs w:val="22"/>
                <w:highlight w:val="none"/>
              </w:rPr>
              <w:t>直接供应，不得转让他人供应。</w:t>
            </w:r>
          </w:p>
        </w:tc>
      </w:tr>
      <w:tr w14:paraId="5F5431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447576AB">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5</w:t>
            </w:r>
          </w:p>
        </w:tc>
        <w:tc>
          <w:tcPr>
            <w:tcW w:w="8353" w:type="dxa"/>
            <w:noWrap w:val="0"/>
            <w:vAlign w:val="center"/>
          </w:tcPr>
          <w:p w14:paraId="31D23262">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质保及售后</w:t>
            </w:r>
          </w:p>
        </w:tc>
      </w:tr>
      <w:tr w14:paraId="244E1A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40F531A0">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5.1</w:t>
            </w:r>
          </w:p>
        </w:tc>
        <w:tc>
          <w:tcPr>
            <w:tcW w:w="8353" w:type="dxa"/>
            <w:noWrap w:val="0"/>
            <w:vAlign w:val="center"/>
          </w:tcPr>
          <w:p w14:paraId="0147793B">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kern w:val="0"/>
                <w:sz w:val="22"/>
                <w:szCs w:val="22"/>
                <w:highlight w:val="none"/>
                <w:lang w:bidi="ar"/>
              </w:rPr>
              <w:t>质保≥五年，为该套设备的免费保修期（含所有附件），</w:t>
            </w:r>
            <w:r>
              <w:rPr>
                <w:rFonts w:hint="eastAsia" w:ascii="新宋体" w:hAnsi="新宋体" w:eastAsia="新宋体" w:cs="新宋体"/>
                <w:color w:val="auto"/>
                <w:kern w:val="0"/>
                <w:sz w:val="22"/>
                <w:szCs w:val="22"/>
                <w:highlight w:val="none"/>
                <w:lang w:val="en-US" w:eastAsia="zh-CN" w:bidi="ar"/>
              </w:rPr>
              <w:t>须出具原厂保修承诺函。</w:t>
            </w:r>
            <w:r>
              <w:rPr>
                <w:rFonts w:hint="eastAsia" w:ascii="新宋体" w:hAnsi="新宋体" w:eastAsia="新宋体" w:cs="新宋体"/>
                <w:color w:val="auto"/>
                <w:kern w:val="0"/>
                <w:sz w:val="22"/>
                <w:szCs w:val="22"/>
                <w:highlight w:val="none"/>
                <w:lang w:bidi="ar"/>
              </w:rPr>
              <w:t>所有在保修期内损坏的配件一概包换，不接受对此配件进行维修。设备终生维修，软件升级终生免费</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rPr>
              <w:t>保修期自验收签字之日起计算</w:t>
            </w:r>
            <w:r>
              <w:rPr>
                <w:rFonts w:hint="eastAsia" w:ascii="新宋体" w:hAnsi="新宋体" w:eastAsia="新宋体" w:cs="新宋体"/>
                <w:color w:val="auto"/>
                <w:kern w:val="0"/>
                <w:sz w:val="22"/>
                <w:szCs w:val="22"/>
                <w:highlight w:val="none"/>
                <w:lang w:eastAsia="zh-CN"/>
              </w:rPr>
              <w:t>。</w:t>
            </w:r>
          </w:p>
        </w:tc>
      </w:tr>
      <w:tr w14:paraId="6A7154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185E0235">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5.2</w:t>
            </w:r>
          </w:p>
        </w:tc>
        <w:tc>
          <w:tcPr>
            <w:tcW w:w="8353" w:type="dxa"/>
            <w:noWrap w:val="0"/>
            <w:vAlign w:val="center"/>
          </w:tcPr>
          <w:p w14:paraId="4957A139">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rPr>
              <w:t>保修期内免费提供至少每年2次的上门保养服务（或根据设备说明书要求）</w:t>
            </w:r>
          </w:p>
        </w:tc>
      </w:tr>
      <w:tr w14:paraId="72B398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532514EB">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5.3</w:t>
            </w:r>
          </w:p>
        </w:tc>
        <w:tc>
          <w:tcPr>
            <w:tcW w:w="8353" w:type="dxa"/>
            <w:noWrap w:val="0"/>
            <w:vAlign w:val="center"/>
          </w:tcPr>
          <w:p w14:paraId="51AD9251">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使用期限≥5年，需响应具体使用期限数据并提供证明文件</w:t>
            </w:r>
            <w:r>
              <w:rPr>
                <w:rFonts w:hint="eastAsia" w:ascii="新宋体" w:hAnsi="新宋体" w:eastAsia="新宋体" w:cs="新宋体"/>
                <w:bCs/>
                <w:color w:val="auto"/>
                <w:sz w:val="22"/>
                <w:szCs w:val="22"/>
                <w:highlight w:val="none"/>
              </w:rPr>
              <w:t>（本条款适用于医疗设备）</w:t>
            </w:r>
          </w:p>
        </w:tc>
      </w:tr>
      <w:tr w14:paraId="663E9B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5D6BE5C7">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5.4</w:t>
            </w:r>
          </w:p>
        </w:tc>
        <w:tc>
          <w:tcPr>
            <w:tcW w:w="8353" w:type="dxa"/>
            <w:noWrap w:val="0"/>
            <w:vAlign w:val="center"/>
          </w:tcPr>
          <w:p w14:paraId="01C3AA75">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提供保修期外，整机购买一年保修服务的价格（</w:t>
            </w:r>
            <w:r>
              <w:rPr>
                <w:rFonts w:hint="eastAsia" w:ascii="新宋体" w:hAnsi="新宋体" w:eastAsia="新宋体" w:cs="新宋体"/>
                <w:b/>
                <w:bCs/>
                <w:color w:val="auto"/>
                <w:kern w:val="0"/>
                <w:sz w:val="22"/>
                <w:szCs w:val="22"/>
                <w:highlight w:val="none"/>
                <w:lang w:bidi="ar"/>
              </w:rPr>
              <w:t>非连保价格，允许带病入保，</w:t>
            </w:r>
            <w:r>
              <w:rPr>
                <w:rFonts w:hint="eastAsia" w:ascii="新宋体" w:hAnsi="新宋体" w:eastAsia="新宋体" w:cs="新宋体"/>
                <w:b/>
                <w:bCs/>
                <w:color w:val="auto"/>
                <w:kern w:val="0"/>
                <w:sz w:val="22"/>
                <w:szCs w:val="22"/>
                <w:highlight w:val="none"/>
              </w:rPr>
              <w:t>运行成本的重要评分依据之一</w:t>
            </w:r>
            <w:r>
              <w:rPr>
                <w:rFonts w:hint="eastAsia" w:ascii="新宋体" w:hAnsi="新宋体" w:eastAsia="新宋体" w:cs="新宋体"/>
                <w:b/>
                <w:bCs/>
                <w:color w:val="auto"/>
                <w:kern w:val="0"/>
                <w:sz w:val="22"/>
                <w:szCs w:val="22"/>
                <w:highlight w:val="none"/>
                <w:lang w:bidi="ar"/>
              </w:rPr>
              <w:t>），提供原厂保修价格证明，今后医院购买保修，制造商承诺不得高于此价格，</w:t>
            </w:r>
            <w:r>
              <w:rPr>
                <w:rFonts w:hint="eastAsia" w:ascii="新宋体" w:hAnsi="新宋体" w:eastAsia="新宋体" w:cs="新宋体"/>
                <w:b/>
                <w:bCs/>
                <w:color w:val="auto"/>
                <w:kern w:val="0"/>
                <w:sz w:val="22"/>
                <w:szCs w:val="22"/>
                <w:highlight w:val="none"/>
              </w:rPr>
              <w:t>且不能超过设备报价8%。</w:t>
            </w:r>
          </w:p>
        </w:tc>
      </w:tr>
      <w:tr w14:paraId="1EBCAD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15DDA833">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5.5</w:t>
            </w:r>
          </w:p>
        </w:tc>
        <w:tc>
          <w:tcPr>
            <w:tcW w:w="8353" w:type="dxa"/>
            <w:noWrap w:val="0"/>
            <w:vAlign w:val="center"/>
          </w:tcPr>
          <w:p w14:paraId="4B674374">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供应商应保证设备维修所需的所有零配件供应期限≥10年。在设备整个使用期内，卖方应确保设备正常使用。保修期后只收取配件或易损件的优惠费用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免收任何人工费用</w:t>
            </w:r>
            <w:r>
              <w:rPr>
                <w:rFonts w:hint="eastAsia" w:ascii="新宋体" w:hAnsi="新宋体" w:eastAsia="新宋体" w:cs="新宋体"/>
                <w:color w:val="auto"/>
                <w:sz w:val="22"/>
                <w:szCs w:val="22"/>
                <w:highlight w:val="none"/>
              </w:rPr>
              <w:t>。投标方应在投标文件中详细说明其服务计划并列明收费标准（买保修合同的方式及相应的价格、按次计费的价格、维修点的分布等）。</w:t>
            </w:r>
          </w:p>
        </w:tc>
      </w:tr>
      <w:tr w14:paraId="10A4DA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39B54ABB">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5.6</w:t>
            </w:r>
          </w:p>
        </w:tc>
        <w:tc>
          <w:tcPr>
            <w:tcW w:w="8353" w:type="dxa"/>
            <w:noWrap w:val="0"/>
            <w:vAlign w:val="center"/>
          </w:tcPr>
          <w:p w14:paraId="746B5D3F">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质保期内每年总故障</w:t>
            </w:r>
            <w:r>
              <w:rPr>
                <w:rFonts w:hint="eastAsia" w:ascii="新宋体" w:hAnsi="新宋体" w:eastAsia="新宋体" w:cs="新宋体"/>
                <w:color w:val="auto"/>
                <w:sz w:val="22"/>
                <w:szCs w:val="22"/>
                <w:highlight w:val="none"/>
                <w:lang w:val="en-US" w:eastAsia="zh-CN"/>
              </w:rPr>
              <w:t>天数</w:t>
            </w:r>
            <w:r>
              <w:rPr>
                <w:rFonts w:hint="eastAsia" w:ascii="新宋体" w:hAnsi="新宋体" w:eastAsia="新宋体" w:cs="新宋体"/>
                <w:color w:val="auto"/>
                <w:sz w:val="22"/>
                <w:szCs w:val="22"/>
                <w:highlight w:val="none"/>
              </w:rPr>
              <w:t>不得超过14天，如开机率达不到要求，总故障时间每超过1天，质保期相应延长10天。质保期外因设备本身缺陷造成各种故障应由卖方免费提供技术服务和维修。</w:t>
            </w:r>
          </w:p>
        </w:tc>
      </w:tr>
      <w:tr w14:paraId="0EA8A6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369589E0">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5.7</w:t>
            </w:r>
          </w:p>
        </w:tc>
        <w:tc>
          <w:tcPr>
            <w:tcW w:w="8353" w:type="dxa"/>
            <w:noWrap w:val="0"/>
            <w:vAlign w:val="center"/>
          </w:tcPr>
          <w:p w14:paraId="51503B9B">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在设备使用期内，卖方应确保设备的正常使用，在接到用户维修要求后应立即作出回应，通过电话联系无法解决的，须24小时赶赴现场处理，72小时内无法修复的，须提供性能相当的产品供用户使用；</w:t>
            </w:r>
            <w:r>
              <w:rPr>
                <w:rFonts w:hint="eastAsia" w:ascii="新宋体" w:hAnsi="新宋体" w:eastAsia="新宋体" w:cs="新宋体"/>
                <w:color w:val="auto"/>
                <w:kern w:val="0"/>
                <w:sz w:val="22"/>
                <w:szCs w:val="22"/>
                <w:highlight w:val="none"/>
                <w:lang w:bidi="ar"/>
              </w:rPr>
              <w:t>在中国境内有相应的零配件保税库及相应的维修机构，并出具证明文件</w:t>
            </w:r>
          </w:p>
        </w:tc>
      </w:tr>
      <w:tr w14:paraId="347DFE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74B6E7FD">
            <w:pPr>
              <w:keepNext w:val="0"/>
              <w:keepLines w:val="0"/>
              <w:pageBreakBefore w:val="0"/>
              <w:widowControl/>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5.8</w:t>
            </w:r>
          </w:p>
        </w:tc>
        <w:tc>
          <w:tcPr>
            <w:tcW w:w="8353" w:type="dxa"/>
            <w:noWrap w:val="0"/>
            <w:vAlign w:val="center"/>
          </w:tcPr>
          <w:p w14:paraId="1ACA8BF2">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
                <w:sz w:val="22"/>
                <w:szCs w:val="22"/>
                <w:highlight w:val="none"/>
              </w:rPr>
              <w:t>设备生命周期内（需满足国家法定要求），因配件无法供应、耗材无法供应、国家法律法规或地方法规、政策原因等等（包括但不限于上述原因的非院方因素）导致设备无法正常使用的，</w:t>
            </w:r>
            <w:r>
              <w:rPr>
                <w:rFonts w:hint="eastAsia" w:ascii="新宋体" w:hAnsi="新宋体" w:eastAsia="新宋体" w:cs="新宋体"/>
                <w:color w:val="auto"/>
                <w:sz w:val="22"/>
                <w:szCs w:val="22"/>
                <w:highlight w:val="none"/>
              </w:rPr>
              <w:t>中标商</w:t>
            </w:r>
            <w:r>
              <w:rPr>
                <w:rFonts w:hint="eastAsia" w:ascii="新宋体" w:hAnsi="新宋体" w:eastAsia="新宋体" w:cs="新宋体"/>
                <w:color w:val="auto"/>
                <w:spacing w:val="2"/>
                <w:sz w:val="22"/>
                <w:szCs w:val="22"/>
                <w:highlight w:val="none"/>
              </w:rPr>
              <w:t>承担设备后续折旧费。设备验收后导致生命周期无法满足国家规定报废最低年限要求的，</w:t>
            </w:r>
            <w:r>
              <w:rPr>
                <w:rFonts w:hint="eastAsia" w:ascii="新宋体" w:hAnsi="新宋体" w:eastAsia="新宋体" w:cs="新宋体"/>
                <w:color w:val="auto"/>
                <w:sz w:val="22"/>
                <w:szCs w:val="22"/>
                <w:highlight w:val="none"/>
              </w:rPr>
              <w:t>中标商</w:t>
            </w:r>
            <w:r>
              <w:rPr>
                <w:rFonts w:hint="eastAsia" w:ascii="新宋体" w:hAnsi="新宋体" w:eastAsia="新宋体" w:cs="新宋体"/>
                <w:color w:val="auto"/>
                <w:spacing w:val="2"/>
                <w:sz w:val="22"/>
                <w:szCs w:val="22"/>
                <w:highlight w:val="none"/>
              </w:rPr>
              <w:t>承担设备不足部分年限折旧费。</w:t>
            </w:r>
          </w:p>
        </w:tc>
      </w:tr>
      <w:tr w14:paraId="1621A7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16613BB2">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6</w:t>
            </w:r>
          </w:p>
        </w:tc>
        <w:tc>
          <w:tcPr>
            <w:tcW w:w="8353" w:type="dxa"/>
            <w:noWrap w:val="0"/>
            <w:vAlign w:val="center"/>
          </w:tcPr>
          <w:p w14:paraId="773D3022">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技术支持：</w:t>
            </w:r>
          </w:p>
        </w:tc>
      </w:tr>
      <w:tr w14:paraId="7FF4E4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6CD46449">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6.1</w:t>
            </w:r>
          </w:p>
        </w:tc>
        <w:tc>
          <w:tcPr>
            <w:tcW w:w="8353" w:type="dxa"/>
            <w:noWrap w:val="0"/>
            <w:vAlign w:val="center"/>
          </w:tcPr>
          <w:p w14:paraId="3F7BD14B">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整机终生免费提供软件功能升级服务</w:t>
            </w:r>
            <w:r>
              <w:rPr>
                <w:rFonts w:hint="eastAsia" w:ascii="新宋体" w:hAnsi="新宋体" w:eastAsia="新宋体" w:cs="新宋体"/>
                <w:color w:val="auto"/>
                <w:sz w:val="22"/>
                <w:szCs w:val="22"/>
                <w:highlight w:val="none"/>
              </w:rPr>
              <w:t>，并及时提供设备新功能和临床应用的资料。</w:t>
            </w:r>
          </w:p>
        </w:tc>
      </w:tr>
      <w:tr w14:paraId="239D6D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64915730">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6.2</w:t>
            </w:r>
          </w:p>
        </w:tc>
        <w:tc>
          <w:tcPr>
            <w:tcW w:w="8353" w:type="dxa"/>
            <w:noWrap w:val="0"/>
            <w:vAlign w:val="center"/>
          </w:tcPr>
          <w:p w14:paraId="0348FC47">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中标商</w:t>
            </w:r>
            <w:r>
              <w:rPr>
                <w:rFonts w:hint="eastAsia" w:ascii="新宋体" w:hAnsi="新宋体" w:eastAsia="新宋体" w:cs="新宋体"/>
                <w:bCs/>
                <w:color w:val="auto"/>
                <w:kern w:val="0"/>
                <w:sz w:val="22"/>
                <w:szCs w:val="22"/>
                <w:highlight w:val="none"/>
              </w:rPr>
              <w:t>提供所有软件的备份光盘、license及所有口令信息，同时提供这些软件安装、调试及相关维护所需要的所有硬件和软件工具。不能提供上述内容的，则现场提供所有软件终生免费安装（含硬件更换后软件重新安装调试）、调试、维护服务。</w:t>
            </w:r>
          </w:p>
        </w:tc>
      </w:tr>
      <w:tr w14:paraId="0C4F35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383BB62E">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6.3</w:t>
            </w:r>
          </w:p>
        </w:tc>
        <w:tc>
          <w:tcPr>
            <w:tcW w:w="8353" w:type="dxa"/>
            <w:noWrap w:val="0"/>
            <w:vAlign w:val="center"/>
          </w:tcPr>
          <w:p w14:paraId="156C6662">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中标商</w:t>
            </w:r>
            <w:r>
              <w:rPr>
                <w:rFonts w:hint="eastAsia" w:ascii="新宋体" w:hAnsi="新宋体" w:eastAsia="新宋体" w:cs="新宋体"/>
                <w:bCs/>
                <w:color w:val="auto"/>
                <w:kern w:val="0"/>
                <w:sz w:val="22"/>
                <w:szCs w:val="22"/>
                <w:highlight w:val="none"/>
              </w:rPr>
              <w:t>提供完整的中英文技术资料，包括使用说明手册2套、维修手册1套、软件手册1套和附件使用手册1套等（包括详细的维修技术资料、维修线路图、软件、永久有效的维修密码、PM具体内容及周期等），同时应提供设备出厂检验报告和质量合格证书及电子版的操作规程等。</w:t>
            </w:r>
          </w:p>
        </w:tc>
      </w:tr>
      <w:tr w14:paraId="0284CE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5909DBFC">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6.4</w:t>
            </w:r>
          </w:p>
        </w:tc>
        <w:tc>
          <w:tcPr>
            <w:tcW w:w="8353" w:type="dxa"/>
            <w:noWrap w:val="0"/>
            <w:vAlign w:val="center"/>
          </w:tcPr>
          <w:p w14:paraId="540CADF7">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若设备有信息系统接口（如DICOM、HL7等），则全部免费开放</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rPr>
              <w:t>并配合医院方或院方采购系统的接入</w:t>
            </w:r>
            <w:r>
              <w:rPr>
                <w:rFonts w:hint="eastAsia" w:ascii="新宋体" w:hAnsi="新宋体" w:eastAsia="新宋体" w:cs="新宋体"/>
                <w:color w:val="auto"/>
                <w:sz w:val="22"/>
                <w:szCs w:val="22"/>
                <w:highlight w:val="none"/>
                <w:lang w:val="en-US" w:eastAsia="zh-CN"/>
              </w:rPr>
              <w:t>，所有费用包含在投标总价内。</w:t>
            </w:r>
          </w:p>
        </w:tc>
      </w:tr>
      <w:tr w14:paraId="76ADED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31844624">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6.5</w:t>
            </w:r>
          </w:p>
        </w:tc>
        <w:tc>
          <w:tcPr>
            <w:tcW w:w="8353" w:type="dxa"/>
            <w:noWrap w:val="0"/>
            <w:vAlign w:val="center"/>
          </w:tcPr>
          <w:p w14:paraId="7F5B410E">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kern w:val="0"/>
                <w:sz w:val="22"/>
                <w:szCs w:val="22"/>
                <w:highlight w:val="none"/>
              </w:rPr>
              <w:t>提供原厂DATASHEET</w:t>
            </w:r>
          </w:p>
        </w:tc>
      </w:tr>
      <w:tr w14:paraId="2FC4CA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24F05E18">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7</w:t>
            </w:r>
          </w:p>
        </w:tc>
        <w:tc>
          <w:tcPr>
            <w:tcW w:w="8353" w:type="dxa"/>
            <w:noWrap w:val="0"/>
            <w:vAlign w:val="center"/>
          </w:tcPr>
          <w:p w14:paraId="01610291">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设备安装、调试</w:t>
            </w:r>
          </w:p>
        </w:tc>
      </w:tr>
      <w:tr w14:paraId="552FC0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59DA83C3">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7.1</w:t>
            </w:r>
          </w:p>
        </w:tc>
        <w:tc>
          <w:tcPr>
            <w:tcW w:w="8353" w:type="dxa"/>
            <w:noWrap w:val="0"/>
            <w:vAlign w:val="center"/>
          </w:tcPr>
          <w:p w14:paraId="70830465">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安装地点：采购单位指定位置。</w:t>
            </w:r>
          </w:p>
        </w:tc>
      </w:tr>
      <w:tr w14:paraId="04C294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7DE52F6F">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7.2</w:t>
            </w:r>
          </w:p>
        </w:tc>
        <w:tc>
          <w:tcPr>
            <w:tcW w:w="8353" w:type="dxa"/>
            <w:noWrap w:val="0"/>
            <w:vAlign w:val="center"/>
          </w:tcPr>
          <w:p w14:paraId="1C552182">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安装完成时间：投标方应在投标文件中明确正常完成安装调试的时间期限，并提供超出期限情况下投标方对因此给买方造成损失的赔偿计划。</w:t>
            </w:r>
          </w:p>
        </w:tc>
      </w:tr>
      <w:tr w14:paraId="043820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5FBC3AB3">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7.3</w:t>
            </w:r>
          </w:p>
        </w:tc>
        <w:tc>
          <w:tcPr>
            <w:tcW w:w="8353" w:type="dxa"/>
            <w:noWrap w:val="0"/>
            <w:vAlign w:val="center"/>
          </w:tcPr>
          <w:p w14:paraId="302D4981">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安装标准：符合中华人民共和国国家有关技术规范要求和技术标准。所有的软件和硬件必须保证同时安装到位。</w:t>
            </w:r>
          </w:p>
        </w:tc>
      </w:tr>
      <w:tr w14:paraId="710F56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40591B02">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7.4</w:t>
            </w:r>
          </w:p>
        </w:tc>
        <w:tc>
          <w:tcPr>
            <w:tcW w:w="8353" w:type="dxa"/>
            <w:noWrap w:val="0"/>
            <w:vAlign w:val="center"/>
          </w:tcPr>
          <w:p w14:paraId="75BF6AE9">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安装费用：安装过程中发生的费用</w:t>
            </w:r>
            <w:r>
              <w:rPr>
                <w:rFonts w:hint="eastAsia" w:ascii="新宋体" w:hAnsi="新宋体" w:eastAsia="新宋体" w:cs="新宋体"/>
                <w:bCs/>
                <w:color w:val="auto"/>
                <w:kern w:val="0"/>
                <w:sz w:val="22"/>
                <w:szCs w:val="22"/>
                <w:highlight w:val="none"/>
              </w:rPr>
              <w:t>（含检测、耗材等）</w:t>
            </w:r>
            <w:r>
              <w:rPr>
                <w:rFonts w:hint="eastAsia" w:ascii="新宋体" w:hAnsi="新宋体" w:eastAsia="新宋体" w:cs="新宋体"/>
                <w:color w:val="auto"/>
                <w:sz w:val="22"/>
                <w:szCs w:val="22"/>
                <w:highlight w:val="none"/>
              </w:rPr>
              <w:t>由卖方负责。投标方应在投标文件中提供其安装调试计划和对安装场地和环境的要求。</w:t>
            </w:r>
          </w:p>
        </w:tc>
      </w:tr>
      <w:tr w14:paraId="49034E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0CA4B223">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7.5</w:t>
            </w:r>
          </w:p>
        </w:tc>
        <w:tc>
          <w:tcPr>
            <w:tcW w:w="8353" w:type="dxa"/>
            <w:noWrap w:val="0"/>
            <w:vAlign w:val="center"/>
          </w:tcPr>
          <w:p w14:paraId="2A29955F">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安装人员：应由中标方有三台以上（含）同类型设备安装经验的原厂工程师负责安装。</w:t>
            </w:r>
          </w:p>
        </w:tc>
      </w:tr>
      <w:tr w14:paraId="75441C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67203823">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8</w:t>
            </w:r>
          </w:p>
        </w:tc>
        <w:tc>
          <w:tcPr>
            <w:tcW w:w="8353" w:type="dxa"/>
            <w:noWrap w:val="0"/>
            <w:vAlign w:val="center"/>
          </w:tcPr>
          <w:p w14:paraId="39E502A1">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培训</w:t>
            </w:r>
          </w:p>
        </w:tc>
      </w:tr>
      <w:tr w14:paraId="5BDE7C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2573A579">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8.1</w:t>
            </w:r>
          </w:p>
        </w:tc>
        <w:tc>
          <w:tcPr>
            <w:tcW w:w="8353" w:type="dxa"/>
            <w:noWrap w:val="0"/>
            <w:vAlign w:val="center"/>
          </w:tcPr>
          <w:p w14:paraId="6AC9F2ED">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中标方应对买方的维修人员进行培训并承担所有费用，使其能对设备进行日常的维护保养并能对一般故障及时进行维修。所有的维修图纸、维修手册及维修调试软件的密码及专用的维修工具应全部免费提供。</w:t>
            </w:r>
          </w:p>
        </w:tc>
      </w:tr>
      <w:tr w14:paraId="355B4B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50EC32C9">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8.2</w:t>
            </w:r>
          </w:p>
        </w:tc>
        <w:tc>
          <w:tcPr>
            <w:tcW w:w="8353" w:type="dxa"/>
            <w:noWrap w:val="0"/>
            <w:vAlign w:val="center"/>
          </w:tcPr>
          <w:p w14:paraId="76BD67DD">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中标方应对买方的操作人员/医生进行培训并承担所有费用，请提供培训方案。</w:t>
            </w:r>
          </w:p>
        </w:tc>
      </w:tr>
      <w:tr w14:paraId="24EAC4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716E7844">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8.3</w:t>
            </w:r>
          </w:p>
        </w:tc>
        <w:tc>
          <w:tcPr>
            <w:tcW w:w="8353" w:type="dxa"/>
            <w:noWrap w:val="0"/>
            <w:vAlign w:val="center"/>
          </w:tcPr>
          <w:p w14:paraId="53911B67">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kern w:val="0"/>
                <w:sz w:val="22"/>
                <w:szCs w:val="22"/>
                <w:highlight w:val="none"/>
              </w:rPr>
              <w:t>培训完成后，</w:t>
            </w:r>
            <w:r>
              <w:rPr>
                <w:rFonts w:hint="eastAsia" w:ascii="新宋体" w:hAnsi="新宋体" w:eastAsia="新宋体" w:cs="新宋体"/>
                <w:color w:val="auto"/>
                <w:sz w:val="22"/>
                <w:szCs w:val="22"/>
                <w:highlight w:val="none"/>
              </w:rPr>
              <w:t>中标</w:t>
            </w:r>
            <w:r>
              <w:rPr>
                <w:rFonts w:hint="eastAsia" w:ascii="新宋体" w:hAnsi="新宋体" w:eastAsia="新宋体" w:cs="新宋体"/>
                <w:bCs/>
                <w:color w:val="auto"/>
                <w:kern w:val="0"/>
                <w:sz w:val="22"/>
                <w:szCs w:val="22"/>
                <w:highlight w:val="none"/>
              </w:rPr>
              <w:t>方须提供详细培训记录，培训记录应有培训内容、参加人员（签字）、培训地点、培训时间以及操作人员考核情况。</w:t>
            </w:r>
          </w:p>
        </w:tc>
      </w:tr>
      <w:tr w14:paraId="50BB67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2E544BCA">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8.4</w:t>
            </w:r>
          </w:p>
        </w:tc>
        <w:tc>
          <w:tcPr>
            <w:tcW w:w="8353" w:type="dxa"/>
            <w:noWrap w:val="0"/>
            <w:vAlign w:val="center"/>
          </w:tcPr>
          <w:p w14:paraId="63D3AA92">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投标方应对上述培训内容的实现方式、地点、人数、时间及培训费用在投标文件中应列表详细说明。</w:t>
            </w:r>
          </w:p>
        </w:tc>
      </w:tr>
      <w:tr w14:paraId="5B3412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76D25E6C">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9</w:t>
            </w:r>
          </w:p>
        </w:tc>
        <w:tc>
          <w:tcPr>
            <w:tcW w:w="8353" w:type="dxa"/>
            <w:noWrap w:val="0"/>
            <w:vAlign w:val="center"/>
          </w:tcPr>
          <w:p w14:paraId="122E4C12">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验收</w:t>
            </w:r>
          </w:p>
        </w:tc>
      </w:tr>
      <w:tr w14:paraId="474B71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1DE07613">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9.1</w:t>
            </w:r>
          </w:p>
        </w:tc>
        <w:tc>
          <w:tcPr>
            <w:tcW w:w="8353" w:type="dxa"/>
            <w:noWrap w:val="0"/>
            <w:vAlign w:val="center"/>
          </w:tcPr>
          <w:p w14:paraId="7827FC57">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投标方在投标时应提供设备的验收标准、安装技术规范，供买方参考。</w:t>
            </w:r>
          </w:p>
        </w:tc>
      </w:tr>
      <w:tr w14:paraId="711DB0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730B9EFD">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9.2</w:t>
            </w:r>
          </w:p>
        </w:tc>
        <w:tc>
          <w:tcPr>
            <w:tcW w:w="8353" w:type="dxa"/>
            <w:noWrap w:val="0"/>
            <w:vAlign w:val="center"/>
          </w:tcPr>
          <w:p w14:paraId="6C68F199">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验收依据：按投标文件、招标文件及国家标准验收。</w:t>
            </w:r>
          </w:p>
        </w:tc>
      </w:tr>
      <w:tr w14:paraId="5FFE9F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1F6FCD68">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9.3</w:t>
            </w:r>
          </w:p>
        </w:tc>
        <w:tc>
          <w:tcPr>
            <w:tcW w:w="8353" w:type="dxa"/>
            <w:noWrap w:val="0"/>
            <w:vAlign w:val="center"/>
          </w:tcPr>
          <w:p w14:paraId="135B9AC3">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投标人须如实响应投标参数，若采购人发现交货实际参数与响应不符，则采购人有权无条件退货并追究投标人的经济赔偿及法律责任</w:t>
            </w:r>
          </w:p>
        </w:tc>
      </w:tr>
      <w:tr w14:paraId="1E44B9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78C86466">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9.4</w:t>
            </w:r>
          </w:p>
        </w:tc>
        <w:tc>
          <w:tcPr>
            <w:tcW w:w="8353" w:type="dxa"/>
            <w:noWrap w:val="0"/>
            <w:vAlign w:val="center"/>
          </w:tcPr>
          <w:p w14:paraId="16E909F0">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验收时，投标人提供下列资料：</w:t>
            </w:r>
          </w:p>
          <w:p w14:paraId="60F9FB06">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提供三证，完整的</w:t>
            </w:r>
            <w:r>
              <w:rPr>
                <w:rFonts w:hint="eastAsia" w:ascii="新宋体" w:hAnsi="新宋体" w:eastAsia="新宋体" w:cs="新宋体"/>
                <w:bCs/>
                <w:color w:val="auto"/>
                <w:kern w:val="0"/>
                <w:sz w:val="22"/>
                <w:szCs w:val="22"/>
                <w:highlight w:val="none"/>
              </w:rPr>
              <w:t>技术资料</w:t>
            </w:r>
            <w:r>
              <w:rPr>
                <w:rFonts w:hint="eastAsia" w:ascii="新宋体" w:hAnsi="新宋体" w:eastAsia="新宋体" w:cs="新宋体"/>
                <w:color w:val="auto"/>
                <w:sz w:val="22"/>
                <w:szCs w:val="22"/>
                <w:highlight w:val="none"/>
              </w:rPr>
              <w:t>。同时应提供原厂的出厂配置清单、设备出厂检验报告和质量合格证书等，如系进口产品，还应提供报关证明、</w:t>
            </w:r>
            <w:r>
              <w:rPr>
                <w:rFonts w:hint="eastAsia" w:ascii="新宋体" w:hAnsi="新宋体" w:eastAsia="新宋体" w:cs="新宋体"/>
                <w:color w:val="auto"/>
                <w:kern w:val="0"/>
                <w:sz w:val="22"/>
                <w:szCs w:val="22"/>
                <w:highlight w:val="none"/>
                <w:lang w:bidi="ar"/>
              </w:rPr>
              <w:t>检验检疫合格证明（如需）。计量产品，还需提供计量检定报告。</w:t>
            </w:r>
          </w:p>
        </w:tc>
      </w:tr>
      <w:tr w14:paraId="64333D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250" w:type="dxa"/>
            <w:noWrap w:val="0"/>
            <w:vAlign w:val="center"/>
          </w:tcPr>
          <w:p w14:paraId="1CEBF000">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9.5</w:t>
            </w:r>
          </w:p>
        </w:tc>
        <w:tc>
          <w:tcPr>
            <w:tcW w:w="8353" w:type="dxa"/>
            <w:noWrap w:val="0"/>
            <w:vAlign w:val="center"/>
          </w:tcPr>
          <w:p w14:paraId="079753EF">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设备到达最终用户后，要求卖方及安装人员会同买方共同参与设备验收。设备安装调试后，卖方负责安装质量，并经验收合格后，买卖双方共同签署设备验收合格证书。</w:t>
            </w:r>
          </w:p>
        </w:tc>
      </w:tr>
      <w:tr w14:paraId="5B247D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041BDCAB">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9.6</w:t>
            </w:r>
          </w:p>
        </w:tc>
        <w:tc>
          <w:tcPr>
            <w:tcW w:w="8353" w:type="dxa"/>
            <w:noWrap w:val="0"/>
            <w:vAlign w:val="center"/>
          </w:tcPr>
          <w:p w14:paraId="712DADD3">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交货</w:t>
            </w:r>
            <w:r>
              <w:rPr>
                <w:rFonts w:hint="eastAsia" w:ascii="新宋体" w:hAnsi="新宋体" w:eastAsia="新宋体" w:cs="新宋体"/>
                <w:color w:val="auto"/>
                <w:kern w:val="0"/>
                <w:sz w:val="22"/>
                <w:szCs w:val="22"/>
                <w:highlight w:val="none"/>
              </w:rPr>
              <w:t>设备必须为最近</w:t>
            </w:r>
            <w:r>
              <w:rPr>
                <w:rFonts w:hint="eastAsia" w:ascii="新宋体" w:hAnsi="新宋体" w:eastAsia="新宋体" w:cs="新宋体"/>
                <w:color w:val="auto"/>
                <w:kern w:val="0"/>
                <w:sz w:val="22"/>
                <w:szCs w:val="22"/>
                <w:highlight w:val="none"/>
                <w:lang w:eastAsia="zh-CN"/>
              </w:rPr>
              <w:t>半年</w:t>
            </w:r>
            <w:r>
              <w:rPr>
                <w:rFonts w:hint="eastAsia" w:ascii="新宋体" w:hAnsi="新宋体" w:eastAsia="新宋体" w:cs="新宋体"/>
                <w:color w:val="auto"/>
                <w:kern w:val="0"/>
                <w:sz w:val="22"/>
                <w:szCs w:val="22"/>
                <w:highlight w:val="none"/>
              </w:rPr>
              <w:t>内生产的全新设备。</w:t>
            </w:r>
          </w:p>
        </w:tc>
      </w:tr>
      <w:tr w14:paraId="0F0FF8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4BC10958">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9.7</w:t>
            </w:r>
          </w:p>
        </w:tc>
        <w:tc>
          <w:tcPr>
            <w:tcW w:w="8353" w:type="dxa"/>
            <w:noWrap w:val="0"/>
            <w:vAlign w:val="center"/>
          </w:tcPr>
          <w:p w14:paraId="6D020D65">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验收过程中发现货物性能或功能达不到要求，卖方必须更换有关部件，使货物最终达到规定的性能指标和功能要求，但必须在发现问题后15个工作日内完成。货物安装完毕试运行30个工作日，正常的1周内双方签订验收报告。</w:t>
            </w:r>
          </w:p>
        </w:tc>
      </w:tr>
      <w:tr w14:paraId="418BA3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250" w:type="dxa"/>
            <w:noWrap w:val="0"/>
            <w:vAlign w:val="center"/>
          </w:tcPr>
          <w:p w14:paraId="445A4EDA">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9.8</w:t>
            </w:r>
          </w:p>
        </w:tc>
        <w:tc>
          <w:tcPr>
            <w:tcW w:w="8353" w:type="dxa"/>
            <w:noWrap w:val="0"/>
            <w:vAlign w:val="center"/>
          </w:tcPr>
          <w:p w14:paraId="2B747422">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所有验收相关费用由中标方负担</w:t>
            </w:r>
          </w:p>
        </w:tc>
      </w:tr>
      <w:tr w14:paraId="2FED73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0F5CA9E3">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10</w:t>
            </w:r>
          </w:p>
        </w:tc>
        <w:tc>
          <w:tcPr>
            <w:tcW w:w="8353" w:type="dxa"/>
            <w:noWrap w:val="0"/>
            <w:vAlign w:val="center"/>
          </w:tcPr>
          <w:p w14:paraId="2427E8DC">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付款方式和条件</w:t>
            </w:r>
          </w:p>
        </w:tc>
      </w:tr>
      <w:tr w14:paraId="135E78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54D69A9D">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10.1</w:t>
            </w:r>
          </w:p>
        </w:tc>
        <w:tc>
          <w:tcPr>
            <w:tcW w:w="8353" w:type="dxa"/>
            <w:noWrap w:val="0"/>
            <w:vAlign w:val="center"/>
          </w:tcPr>
          <w:p w14:paraId="1E2DA392">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标人若为中小微企业，采购人在合同生效以及具备实施条件后7个工作日内，向中标人支付合同金额的40%作为预付款，预付款在后续货款中作相应抵扣。其余合同款项在安装验收合格后支付，采购人自收到发票后7个工作日内将货款支付给中标人。</w:t>
            </w:r>
          </w:p>
          <w:p w14:paraId="1C54B546">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在签订合同时，中标人明确表示无需预付款的，可不提供预付款保函，合同款项在安装验收合格收到发票后支付。</w:t>
            </w:r>
          </w:p>
          <w:p w14:paraId="247ECACB">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非中小微企业，合同款项在安装验收合格后支付，采购人收到发票后将货款支付给中标人。</w:t>
            </w:r>
          </w:p>
        </w:tc>
      </w:tr>
      <w:tr w14:paraId="7E3148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2DE24195">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10.2</w:t>
            </w:r>
          </w:p>
        </w:tc>
        <w:tc>
          <w:tcPr>
            <w:tcW w:w="8353" w:type="dxa"/>
            <w:noWrap w:val="0"/>
            <w:vAlign w:val="center"/>
          </w:tcPr>
          <w:p w14:paraId="4A677168">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投标商是否能开具该项目合同单张发票。（若响应否，请提供投标方能开具单张发票的最高限额）。</w:t>
            </w:r>
          </w:p>
        </w:tc>
      </w:tr>
      <w:tr w14:paraId="3CE036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04EA85F0">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11</w:t>
            </w:r>
          </w:p>
        </w:tc>
        <w:tc>
          <w:tcPr>
            <w:tcW w:w="8353" w:type="dxa"/>
            <w:noWrap w:val="0"/>
            <w:vAlign w:val="center"/>
          </w:tcPr>
          <w:p w14:paraId="3F9A21D9">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延期交货罚款：延期交货每7天，按合同总价的0.5%支付迟交违约金，不足7天按7天计，依次累计，最高金额为合同总价的5%。供方逾期交货超过20日，需方有权解除合同。如造成损失超过违约金的，超出部分由中标方继续承担赔偿责任。</w:t>
            </w:r>
          </w:p>
        </w:tc>
      </w:tr>
      <w:tr w14:paraId="158090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250" w:type="dxa"/>
            <w:noWrap w:val="0"/>
            <w:vAlign w:val="center"/>
          </w:tcPr>
          <w:p w14:paraId="707993FD">
            <w:pPr>
              <w:keepNext w:val="0"/>
              <w:keepLines w:val="0"/>
              <w:pageBreakBefore w:val="0"/>
              <w:numPr>
                <w:ilvl w:val="0"/>
                <w:numId w:val="0"/>
              </w:numPr>
              <w:kinsoku/>
              <w:wordWrap/>
              <w:overflowPunct/>
              <w:topLinePunct w:val="0"/>
              <w:autoSpaceDE/>
              <w:autoSpaceDN/>
              <w:bidi w:val="0"/>
              <w:adjustRightInd/>
              <w:snapToGrid/>
              <w:spacing w:line="460" w:lineRule="exact"/>
              <w:ind w:leftChars="0" w:right="-21" w:rightChars="-1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12</w:t>
            </w:r>
          </w:p>
        </w:tc>
        <w:tc>
          <w:tcPr>
            <w:tcW w:w="8353" w:type="dxa"/>
            <w:noWrap w:val="0"/>
            <w:vAlign w:val="center"/>
          </w:tcPr>
          <w:p w14:paraId="454B8CB4">
            <w:pPr>
              <w:keepNext w:val="0"/>
              <w:keepLines w:val="0"/>
              <w:pageBreakBefore w:val="0"/>
              <w:kinsoku/>
              <w:wordWrap/>
              <w:overflowPunct/>
              <w:topLinePunct w:val="0"/>
              <w:autoSpaceDE/>
              <w:autoSpaceDN/>
              <w:bidi w:val="0"/>
              <w:adjustRightInd/>
              <w:snapToGrid/>
              <w:spacing w:line="460" w:lineRule="exact"/>
              <w:ind w:right="-21" w:rightChars="-1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保密：招投标及合同中凡涉及买方项目的有关信息，不得透露给第三方。</w:t>
            </w:r>
          </w:p>
        </w:tc>
      </w:tr>
    </w:tbl>
    <w:p w14:paraId="14051D32">
      <w:pPr>
        <w:bidi w:val="0"/>
        <w:rPr>
          <w:rFonts w:hint="eastAsia"/>
          <w:color w:val="auto"/>
          <w:highlight w:val="none"/>
        </w:rPr>
      </w:pPr>
    </w:p>
    <w:p w14:paraId="00CC1C72">
      <w:pPr>
        <w:bidi w:val="0"/>
        <w:rPr>
          <w:rFonts w:hint="eastAsia"/>
          <w:color w:val="auto"/>
          <w:highlight w:val="none"/>
        </w:rPr>
      </w:pPr>
    </w:p>
    <w:p w14:paraId="1667D57D">
      <w:pPr>
        <w:pStyle w:val="9"/>
        <w:rPr>
          <w:rFonts w:ascii="新宋体" w:hAnsi="新宋体" w:eastAsia="新宋体" w:cs="新宋体"/>
          <w:bCs/>
          <w:color w:val="auto"/>
          <w:sz w:val="22"/>
          <w:szCs w:val="22"/>
          <w:highlight w:val="none"/>
        </w:rPr>
      </w:pPr>
    </w:p>
    <w:p w14:paraId="5ADBF9E6">
      <w:pPr>
        <w:rPr>
          <w:rFonts w:ascii="新宋体" w:hAnsi="新宋体" w:eastAsia="新宋体" w:cs="新宋体"/>
          <w:bCs/>
          <w:color w:val="auto"/>
          <w:sz w:val="22"/>
          <w:highlight w:val="none"/>
        </w:rPr>
      </w:pPr>
    </w:p>
    <w:p w14:paraId="460D2C79">
      <w:pPr>
        <w:pStyle w:val="9"/>
        <w:rPr>
          <w:rFonts w:ascii="新宋体" w:hAnsi="新宋体" w:eastAsia="新宋体" w:cs="新宋体"/>
          <w:bCs/>
          <w:color w:val="auto"/>
          <w:sz w:val="22"/>
          <w:szCs w:val="22"/>
          <w:highlight w:val="none"/>
        </w:rPr>
      </w:pPr>
    </w:p>
    <w:p w14:paraId="7C706847">
      <w:pPr>
        <w:pStyle w:val="9"/>
        <w:spacing w:line="460" w:lineRule="exact"/>
        <w:ind w:firstLine="0"/>
        <w:rPr>
          <w:rFonts w:ascii="新宋体" w:hAnsi="新宋体" w:eastAsia="新宋体" w:cs="新宋体"/>
          <w:b w:val="0"/>
          <w:bCs/>
          <w:color w:val="auto"/>
          <w:kern w:val="2"/>
          <w:szCs w:val="21"/>
          <w:highlight w:val="none"/>
        </w:rPr>
      </w:pPr>
    </w:p>
    <w:p w14:paraId="50CE0EAA">
      <w:pPr>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br w:type="page"/>
      </w:r>
    </w:p>
    <w:p w14:paraId="0E1CBA5A">
      <w:pPr>
        <w:pStyle w:val="3"/>
        <w:rPr>
          <w:rFonts w:ascii="新宋体" w:hAnsi="新宋体" w:eastAsia="新宋体" w:cs="新宋体"/>
          <w:color w:val="auto"/>
          <w:highlight w:val="none"/>
        </w:rPr>
      </w:pPr>
      <w:bookmarkStart w:id="52" w:name="_Toc30323"/>
      <w:bookmarkStart w:id="53" w:name="_Toc20786"/>
      <w:r>
        <w:rPr>
          <w:rFonts w:hint="eastAsia" w:ascii="新宋体" w:hAnsi="新宋体" w:eastAsia="新宋体" w:cs="新宋体"/>
          <w:color w:val="auto"/>
          <w:highlight w:val="none"/>
        </w:rPr>
        <w:t>第五部分   评标原则及方法</w:t>
      </w:r>
      <w:bookmarkEnd w:id="52"/>
      <w:bookmarkEnd w:id="53"/>
    </w:p>
    <w:p w14:paraId="3CD55185">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根据《中华人民共和国政府采购法》、《政府采购货物和服务招标投标管理办法》、《中华人民共和国政府采购法实施条例》和《关于进一步规范政府采购活动的若干意见》等相关法规特制定以下评标办法。</w:t>
      </w:r>
    </w:p>
    <w:p w14:paraId="57F309D5">
      <w:pPr>
        <w:spacing w:line="460" w:lineRule="exact"/>
        <w:ind w:firstLine="442" w:firstLineChars="200"/>
        <w:outlineLvl w:val="1"/>
        <w:rPr>
          <w:rFonts w:ascii="新宋体" w:hAnsi="新宋体" w:eastAsia="新宋体" w:cs="新宋体"/>
          <w:b/>
          <w:color w:val="auto"/>
          <w:sz w:val="22"/>
          <w:szCs w:val="22"/>
          <w:highlight w:val="none"/>
        </w:rPr>
      </w:pPr>
      <w:bookmarkStart w:id="54" w:name="_Toc5455"/>
      <w:bookmarkStart w:id="55" w:name="_Toc4407"/>
      <w:r>
        <w:rPr>
          <w:rFonts w:hint="eastAsia" w:ascii="新宋体" w:hAnsi="新宋体" w:eastAsia="新宋体" w:cs="新宋体"/>
          <w:b/>
          <w:color w:val="auto"/>
          <w:sz w:val="22"/>
          <w:szCs w:val="22"/>
          <w:highlight w:val="none"/>
        </w:rPr>
        <w:t>一、总 则</w:t>
      </w:r>
      <w:bookmarkEnd w:id="54"/>
      <w:bookmarkEnd w:id="55"/>
    </w:p>
    <w:p w14:paraId="11C34F75">
      <w:pPr>
        <w:spacing w:line="460" w:lineRule="exact"/>
        <w:ind w:firstLine="440" w:firstLineChars="200"/>
        <w:rPr>
          <w:rFonts w:ascii="新宋体" w:hAnsi="新宋体" w:eastAsia="新宋体" w:cs="新宋体"/>
          <w:b/>
          <w:color w:val="auto"/>
          <w:sz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67511234">
      <w:pPr>
        <w:spacing w:line="460" w:lineRule="exact"/>
        <w:ind w:firstLine="442" w:firstLineChars="200"/>
        <w:outlineLvl w:val="1"/>
        <w:rPr>
          <w:rFonts w:ascii="新宋体" w:hAnsi="新宋体" w:eastAsia="新宋体" w:cs="新宋体"/>
          <w:b/>
          <w:color w:val="auto"/>
          <w:sz w:val="22"/>
          <w:szCs w:val="22"/>
          <w:highlight w:val="none"/>
        </w:rPr>
      </w:pPr>
      <w:bookmarkStart w:id="56" w:name="_Toc24468"/>
      <w:bookmarkStart w:id="57" w:name="_Toc4155"/>
      <w:r>
        <w:rPr>
          <w:rFonts w:hint="eastAsia" w:ascii="新宋体" w:hAnsi="新宋体" w:eastAsia="新宋体" w:cs="新宋体"/>
          <w:b/>
          <w:color w:val="auto"/>
          <w:sz w:val="22"/>
          <w:szCs w:val="22"/>
          <w:highlight w:val="none"/>
        </w:rPr>
        <w:t>二、评标组织</w:t>
      </w:r>
      <w:bookmarkEnd w:id="56"/>
      <w:bookmarkEnd w:id="57"/>
    </w:p>
    <w:p w14:paraId="27D6D6F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组建的评标委员会负责，评标全过程由有关部门指导监督。</w:t>
      </w:r>
    </w:p>
    <w:p w14:paraId="2F9A90B8">
      <w:pPr>
        <w:spacing w:line="460" w:lineRule="exact"/>
        <w:ind w:firstLine="442" w:firstLineChars="200"/>
        <w:outlineLvl w:val="1"/>
        <w:rPr>
          <w:rFonts w:ascii="新宋体" w:hAnsi="新宋体" w:eastAsia="新宋体" w:cs="新宋体"/>
          <w:b/>
          <w:color w:val="auto"/>
          <w:sz w:val="22"/>
          <w:szCs w:val="22"/>
          <w:highlight w:val="none"/>
        </w:rPr>
      </w:pPr>
      <w:bookmarkStart w:id="58" w:name="_Toc15153"/>
      <w:bookmarkStart w:id="59" w:name="_Toc17568"/>
      <w:r>
        <w:rPr>
          <w:rFonts w:hint="eastAsia" w:ascii="新宋体" w:hAnsi="新宋体" w:eastAsia="新宋体" w:cs="新宋体"/>
          <w:b/>
          <w:color w:val="auto"/>
          <w:sz w:val="22"/>
          <w:szCs w:val="22"/>
          <w:highlight w:val="none"/>
        </w:rPr>
        <w:t>三、评标程序</w:t>
      </w:r>
      <w:bookmarkEnd w:id="58"/>
      <w:bookmarkEnd w:id="59"/>
    </w:p>
    <w:p w14:paraId="57608B6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1、评标委员按照招标文件中规定的评标方法和标准，对投标文件进行商务和技术评估，综合比较与评价</w:t>
      </w:r>
      <w:r>
        <w:rPr>
          <w:rFonts w:hint="eastAsia" w:ascii="新宋体" w:hAnsi="新宋体" w:eastAsia="新宋体" w:cs="新宋体"/>
          <w:color w:val="auto"/>
          <w:sz w:val="22"/>
          <w:szCs w:val="22"/>
          <w:highlight w:val="none"/>
        </w:rPr>
        <w:t>，根据综合评审结果，提交评审报告。</w:t>
      </w:r>
    </w:p>
    <w:p w14:paraId="60A20C3D">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2、提供相同品牌产品且通过资格审查、符合性审查的不同投标人参加同一合同项下投标的，按一家投标人计算，评审后综合得分最高的同品牌投标人获得中标人推荐资格；综合得分相同的，报价最低一家供应商获得中标人推荐资格；均相同时采取随机抽取方式确认一个投标人获得中标人推荐资格，其他同品牌投标人不作为中标候选人。</w:t>
      </w:r>
    </w:p>
    <w:p w14:paraId="19A9FDA0">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14:paraId="33CC406F">
      <w:pPr>
        <w:spacing w:line="460" w:lineRule="exact"/>
        <w:ind w:firstLine="442" w:firstLineChars="200"/>
        <w:outlineLvl w:val="1"/>
        <w:rPr>
          <w:rFonts w:ascii="新宋体" w:hAnsi="新宋体" w:eastAsia="新宋体" w:cs="新宋体"/>
          <w:b/>
          <w:color w:val="auto"/>
          <w:sz w:val="22"/>
          <w:szCs w:val="22"/>
          <w:highlight w:val="none"/>
        </w:rPr>
      </w:pPr>
      <w:bookmarkStart w:id="60" w:name="_Toc1827"/>
      <w:bookmarkStart w:id="61" w:name="_Toc11306"/>
      <w:r>
        <w:rPr>
          <w:rFonts w:hint="eastAsia" w:ascii="新宋体" w:hAnsi="新宋体" w:eastAsia="新宋体" w:cs="新宋体"/>
          <w:b/>
          <w:color w:val="auto"/>
          <w:sz w:val="22"/>
          <w:szCs w:val="22"/>
          <w:highlight w:val="none"/>
        </w:rPr>
        <w:t>四、评标办法</w:t>
      </w:r>
      <w:bookmarkEnd w:id="60"/>
      <w:bookmarkEnd w:id="61"/>
    </w:p>
    <w:p w14:paraId="411B9F39">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本次采购采用百分制综合评分法，即投标人最大限度地满足招标文件实质性要求的基础上，按照招标文件的各项因素进行综合评审后，以评标总得分最高的投标人和次高的投标人作为第一和第二排序的中标候选人的评标方法。根据采购要求，</w:t>
      </w:r>
      <w:r>
        <w:rPr>
          <w:rFonts w:hint="eastAsia" w:ascii="新宋体" w:hAnsi="新宋体" w:eastAsia="新宋体" w:cs="新宋体"/>
          <w:b/>
          <w:color w:val="auto"/>
          <w:sz w:val="22"/>
          <w:szCs w:val="22"/>
          <w:highlight w:val="none"/>
        </w:rPr>
        <w:t>总分设定为100分：技术标70分（权值70%），商务标（报价）30分（权值30%）。</w:t>
      </w:r>
    </w:p>
    <w:p w14:paraId="5B38BD13">
      <w:pPr>
        <w:spacing w:line="460" w:lineRule="exact"/>
        <w:ind w:firstLine="442" w:firstLineChars="200"/>
        <w:outlineLvl w:val="1"/>
        <w:rPr>
          <w:rFonts w:ascii="新宋体" w:hAnsi="新宋体" w:eastAsia="新宋体" w:cs="新宋体"/>
          <w:b/>
          <w:color w:val="auto"/>
          <w:sz w:val="22"/>
          <w:szCs w:val="22"/>
          <w:highlight w:val="none"/>
        </w:rPr>
      </w:pPr>
      <w:bookmarkStart w:id="62" w:name="_Toc29430"/>
      <w:bookmarkStart w:id="63" w:name="_Toc1535"/>
      <w:r>
        <w:rPr>
          <w:rFonts w:hint="eastAsia" w:ascii="新宋体" w:hAnsi="新宋体" w:eastAsia="新宋体" w:cs="新宋体"/>
          <w:b/>
          <w:color w:val="auto"/>
          <w:sz w:val="22"/>
          <w:szCs w:val="22"/>
          <w:highlight w:val="none"/>
        </w:rPr>
        <w:t>五、评分细则</w:t>
      </w:r>
      <w:bookmarkEnd w:id="62"/>
      <w:bookmarkEnd w:id="63"/>
    </w:p>
    <w:p w14:paraId="5A64748A">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1、技术分的评定：技术标70分（权值70%）</w:t>
      </w:r>
    </w:p>
    <w:p w14:paraId="0E99043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w:t>
      </w:r>
      <w:r>
        <w:rPr>
          <w:rFonts w:hint="eastAsia" w:ascii="新宋体" w:hAnsi="新宋体" w:eastAsia="新宋体" w:cs="新宋体"/>
          <w:color w:val="auto"/>
          <w:sz w:val="22"/>
          <w:highlight w:val="none"/>
        </w:rPr>
        <w:t>各评标委员会成员对各投标人的各项评分内容评分的算术平均值为各投标人技术分得分</w:t>
      </w:r>
      <w:r>
        <w:rPr>
          <w:rFonts w:hint="eastAsia" w:ascii="新宋体" w:hAnsi="新宋体" w:eastAsia="新宋体" w:cs="新宋体"/>
          <w:color w:val="auto"/>
          <w:sz w:val="22"/>
          <w:szCs w:val="22"/>
          <w:highlight w:val="none"/>
        </w:rPr>
        <w:t>（小数点后按四舍五入保留2位）。</w:t>
      </w:r>
    </w:p>
    <w:tbl>
      <w:tblPr>
        <w:tblStyle w:val="52"/>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14:paraId="39ACE51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27FDFB7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831" w:type="dxa"/>
            <w:vAlign w:val="center"/>
          </w:tcPr>
          <w:p w14:paraId="0B7CC34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评定项目</w:t>
            </w:r>
          </w:p>
        </w:tc>
        <w:tc>
          <w:tcPr>
            <w:tcW w:w="805" w:type="dxa"/>
            <w:vAlign w:val="center"/>
          </w:tcPr>
          <w:p w14:paraId="085C2C18">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分值</w:t>
            </w:r>
          </w:p>
        </w:tc>
        <w:tc>
          <w:tcPr>
            <w:tcW w:w="5105" w:type="dxa"/>
            <w:vAlign w:val="center"/>
          </w:tcPr>
          <w:p w14:paraId="477186A8">
            <w:pPr>
              <w:spacing w:line="460" w:lineRule="exact"/>
              <w:ind w:left="105" w:leftChars="50" w:right="10" w:rightChars="5"/>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评分细则</w:t>
            </w:r>
          </w:p>
        </w:tc>
      </w:tr>
      <w:tr w14:paraId="616D53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852" w:hRule="atLeast"/>
          <w:jc w:val="center"/>
        </w:trPr>
        <w:tc>
          <w:tcPr>
            <w:tcW w:w="788" w:type="dxa"/>
            <w:vAlign w:val="center"/>
          </w:tcPr>
          <w:p w14:paraId="1BD3BABB">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831" w:type="dxa"/>
            <w:vAlign w:val="center"/>
          </w:tcPr>
          <w:p w14:paraId="5ACCB092">
            <w:pPr>
              <w:spacing w:line="460" w:lineRule="exact"/>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设备技术规格及配置对应于招标文件的偏离情况</w:t>
            </w:r>
          </w:p>
        </w:tc>
        <w:tc>
          <w:tcPr>
            <w:tcW w:w="805" w:type="dxa"/>
            <w:vAlign w:val="center"/>
          </w:tcPr>
          <w:p w14:paraId="384F091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45</w:t>
            </w:r>
            <w:r>
              <w:rPr>
                <w:rFonts w:hint="eastAsia" w:ascii="新宋体" w:hAnsi="新宋体" w:eastAsia="新宋体" w:cs="新宋体"/>
                <w:color w:val="auto"/>
                <w:sz w:val="22"/>
                <w:szCs w:val="22"/>
                <w:highlight w:val="none"/>
              </w:rPr>
              <w:t>分</w:t>
            </w:r>
          </w:p>
        </w:tc>
        <w:tc>
          <w:tcPr>
            <w:tcW w:w="5105" w:type="dxa"/>
            <w:vAlign w:val="center"/>
          </w:tcPr>
          <w:p w14:paraId="67AF4B90">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与招标文件第四部分的项目技术规范和服务要求对比，一项技术指标</w:t>
            </w:r>
            <w:r>
              <w:rPr>
                <w:rFonts w:hint="eastAsia" w:ascii="新宋体" w:hAnsi="新宋体" w:eastAsia="新宋体" w:cs="新宋体"/>
                <w:color w:val="auto"/>
                <w:sz w:val="22"/>
                <w:szCs w:val="22"/>
                <w:highlight w:val="none"/>
              </w:rPr>
              <w:t>（条款、参数</w:t>
            </w:r>
            <w:r>
              <w:rPr>
                <w:rFonts w:hint="eastAsia" w:ascii="新宋体" w:hAnsi="新宋体" w:eastAsia="新宋体" w:cs="新宋体"/>
                <w:color w:val="auto"/>
                <w:sz w:val="22"/>
                <w:szCs w:val="22"/>
                <w:highlight w:val="none"/>
                <w:lang w:val="en-US" w:eastAsia="zh-CN"/>
              </w:rPr>
              <w:t>共55</w:t>
            </w:r>
            <w:r>
              <w:rPr>
                <w:rFonts w:hint="eastAsia" w:ascii="新宋体" w:hAnsi="新宋体" w:eastAsia="新宋体" w:cs="新宋体"/>
                <w:color w:val="auto"/>
                <w:sz w:val="22"/>
                <w:szCs w:val="22"/>
                <w:highlight w:val="none"/>
                <w:lang w:val="en-US" w:eastAsia="zh-CN"/>
              </w:rPr>
              <w:t>条</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无</w:t>
            </w:r>
            <w:r>
              <w:rPr>
                <w:rFonts w:hint="eastAsia" w:ascii="新宋体" w:hAnsi="新宋体" w:eastAsia="新宋体" w:cs="新宋体"/>
                <w:color w:val="auto"/>
                <w:sz w:val="22"/>
                <w:szCs w:val="22"/>
                <w:highlight w:val="none"/>
              </w:rPr>
              <w:t>偏离</w:t>
            </w:r>
            <w:r>
              <w:rPr>
                <w:rFonts w:hint="eastAsia" w:ascii="新宋体" w:hAnsi="新宋体" w:eastAsia="新宋体" w:cs="新宋体"/>
                <w:color w:val="auto"/>
                <w:sz w:val="22"/>
                <w:szCs w:val="22"/>
                <w:highlight w:val="none"/>
                <w:lang w:val="en-US" w:eastAsia="zh-CN"/>
              </w:rPr>
              <w:t>或正偏离</w:t>
            </w:r>
            <w:r>
              <w:rPr>
                <w:rFonts w:hint="eastAsia" w:ascii="新宋体" w:hAnsi="新宋体" w:eastAsia="新宋体" w:cs="新宋体"/>
                <w:color w:val="auto"/>
                <w:sz w:val="22"/>
                <w:szCs w:val="22"/>
                <w:highlight w:val="none"/>
              </w:rPr>
              <w:t>，每</w:t>
            </w:r>
            <w:r>
              <w:rPr>
                <w:rFonts w:hint="eastAsia" w:ascii="新宋体" w:hAnsi="新宋体" w:eastAsia="新宋体" w:cs="新宋体"/>
                <w:color w:val="auto"/>
                <w:sz w:val="22"/>
                <w:szCs w:val="22"/>
                <w:highlight w:val="none"/>
                <w:lang w:val="en-US" w:eastAsia="zh-CN"/>
              </w:rPr>
              <w:t>条得0.4</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vertAlign w:val="baseline"/>
              </w:rPr>
              <w:t>一项★指标或商务</w:t>
            </w:r>
            <w:r>
              <w:rPr>
                <w:rFonts w:hint="eastAsia" w:ascii="新宋体" w:hAnsi="新宋体" w:eastAsia="新宋体" w:cs="新宋体"/>
                <w:color w:val="auto"/>
                <w:sz w:val="22"/>
                <w:szCs w:val="22"/>
                <w:highlight w:val="none"/>
                <w:vertAlign w:val="baseline"/>
                <w:lang w:val="en-US" w:eastAsia="zh-CN"/>
              </w:rPr>
              <w:t>条款</w:t>
            </w:r>
            <w:r>
              <w:rPr>
                <w:rFonts w:hint="eastAsia" w:ascii="新宋体" w:hAnsi="新宋体" w:eastAsia="新宋体" w:cs="新宋体"/>
                <w:color w:val="auto"/>
                <w:sz w:val="22"/>
                <w:szCs w:val="22"/>
                <w:highlight w:val="none"/>
              </w:rPr>
              <w:t>（条款、参数</w:t>
            </w:r>
            <w:r>
              <w:rPr>
                <w:rFonts w:hint="eastAsia" w:ascii="新宋体" w:hAnsi="新宋体" w:eastAsia="新宋体" w:cs="新宋体"/>
                <w:color w:val="auto"/>
                <w:sz w:val="22"/>
                <w:szCs w:val="22"/>
                <w:highlight w:val="none"/>
                <w:lang w:val="en-US" w:eastAsia="zh-CN"/>
              </w:rPr>
              <w:t>共45条</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无</w:t>
            </w:r>
            <w:r>
              <w:rPr>
                <w:rFonts w:hint="eastAsia" w:ascii="新宋体" w:hAnsi="新宋体" w:eastAsia="新宋体" w:cs="新宋体"/>
                <w:color w:val="auto"/>
                <w:sz w:val="22"/>
                <w:szCs w:val="22"/>
                <w:highlight w:val="none"/>
              </w:rPr>
              <w:t>偏离</w:t>
            </w:r>
            <w:r>
              <w:rPr>
                <w:rFonts w:hint="eastAsia" w:ascii="新宋体" w:hAnsi="新宋体" w:eastAsia="新宋体" w:cs="新宋体"/>
                <w:color w:val="auto"/>
                <w:sz w:val="22"/>
                <w:szCs w:val="22"/>
                <w:highlight w:val="none"/>
                <w:lang w:val="en-US" w:eastAsia="zh-CN"/>
              </w:rPr>
              <w:t>或正偏离</w:t>
            </w:r>
            <w:r>
              <w:rPr>
                <w:rFonts w:hint="eastAsia" w:ascii="新宋体" w:hAnsi="新宋体" w:eastAsia="新宋体" w:cs="新宋体"/>
                <w:color w:val="auto"/>
                <w:sz w:val="22"/>
                <w:szCs w:val="22"/>
                <w:highlight w:val="none"/>
              </w:rPr>
              <w:t>，每</w:t>
            </w:r>
            <w:r>
              <w:rPr>
                <w:rFonts w:hint="eastAsia" w:ascii="新宋体" w:hAnsi="新宋体" w:eastAsia="新宋体" w:cs="新宋体"/>
                <w:color w:val="auto"/>
                <w:sz w:val="22"/>
                <w:szCs w:val="22"/>
                <w:highlight w:val="none"/>
                <w:lang w:val="en-US" w:eastAsia="zh-CN"/>
              </w:rPr>
              <w:t>条得0.6</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vertAlign w:val="baseline"/>
              </w:rPr>
              <w:t>，</w:t>
            </w:r>
            <w:r>
              <w:rPr>
                <w:rFonts w:hint="eastAsia" w:ascii="新宋体" w:hAnsi="新宋体" w:eastAsia="新宋体" w:cs="新宋体"/>
                <w:color w:val="auto"/>
                <w:sz w:val="22"/>
                <w:szCs w:val="22"/>
                <w:highlight w:val="none"/>
                <w:lang w:val="en-US" w:eastAsia="zh-CN"/>
              </w:rPr>
              <w:t>最多得45分</w:t>
            </w:r>
            <w:r>
              <w:rPr>
                <w:rFonts w:hint="eastAsia" w:ascii="新宋体" w:hAnsi="新宋体" w:eastAsia="新宋体" w:cs="新宋体"/>
                <w:color w:val="auto"/>
                <w:sz w:val="22"/>
                <w:szCs w:val="22"/>
                <w:highlight w:val="none"/>
              </w:rPr>
              <w:t>。</w:t>
            </w:r>
          </w:p>
        </w:tc>
      </w:tr>
      <w:tr w14:paraId="20FC1C1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88" w:hRule="atLeast"/>
          <w:jc w:val="center"/>
        </w:trPr>
        <w:tc>
          <w:tcPr>
            <w:tcW w:w="788" w:type="dxa"/>
            <w:vAlign w:val="center"/>
          </w:tcPr>
          <w:p w14:paraId="57831E1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2831" w:type="dxa"/>
            <w:vAlign w:val="center"/>
          </w:tcPr>
          <w:p w14:paraId="0E210FAE">
            <w:pPr>
              <w:spacing w:line="460" w:lineRule="exact"/>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投标设备配套的合理性</w:t>
            </w:r>
          </w:p>
        </w:tc>
        <w:tc>
          <w:tcPr>
            <w:tcW w:w="805" w:type="dxa"/>
            <w:vAlign w:val="center"/>
          </w:tcPr>
          <w:p w14:paraId="082D150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413A6F1C">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评委对投标设备配套的合理性、功能实现程度进行评价：投标设备配套合理、功能实现程度高的，得3分；配套较合理、功能实现程度较高的，得2分；配套合理性一般、不能完全达到临床要求功能的，得1分。</w:t>
            </w:r>
          </w:p>
        </w:tc>
      </w:tr>
      <w:tr w14:paraId="46E940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3" w:hRule="atLeast"/>
          <w:jc w:val="center"/>
        </w:trPr>
        <w:tc>
          <w:tcPr>
            <w:tcW w:w="788" w:type="dxa"/>
            <w:vAlign w:val="center"/>
          </w:tcPr>
          <w:p w14:paraId="3CB07A5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2831" w:type="dxa"/>
            <w:vAlign w:val="center"/>
          </w:tcPr>
          <w:p w14:paraId="43EAFE11">
            <w:pPr>
              <w:spacing w:line="460" w:lineRule="exact"/>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投标设备技术指标的先进性</w:t>
            </w:r>
          </w:p>
        </w:tc>
        <w:tc>
          <w:tcPr>
            <w:tcW w:w="805" w:type="dxa"/>
            <w:vAlign w:val="center"/>
          </w:tcPr>
          <w:p w14:paraId="03455D04">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77D6AB59">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评委对投标设备技术指标的先进性进行评价：技术指标高于招标要求且具有较高临床实用价值的，每项得1分；最高得3分。</w:t>
            </w:r>
          </w:p>
        </w:tc>
      </w:tr>
      <w:tr w14:paraId="18ED46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4229A3C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2831" w:type="dxa"/>
            <w:vAlign w:val="center"/>
          </w:tcPr>
          <w:p w14:paraId="589306C0">
            <w:pPr>
              <w:spacing w:line="460" w:lineRule="exact"/>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投标机型的档次</w:t>
            </w:r>
          </w:p>
        </w:tc>
        <w:tc>
          <w:tcPr>
            <w:tcW w:w="805" w:type="dxa"/>
            <w:vAlign w:val="center"/>
          </w:tcPr>
          <w:p w14:paraId="581A0426">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23CB9AC5">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投标机型在产品系列中属高档产品的，得3分；属中等档次产品的，得2分；属低档产品的，得1分。</w:t>
            </w:r>
          </w:p>
        </w:tc>
      </w:tr>
      <w:tr w14:paraId="47985FF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779A3EB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2831" w:type="dxa"/>
            <w:vAlign w:val="center"/>
          </w:tcPr>
          <w:p w14:paraId="4E913969">
            <w:pPr>
              <w:spacing w:line="460" w:lineRule="exact"/>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运行成本</w:t>
            </w:r>
          </w:p>
        </w:tc>
        <w:tc>
          <w:tcPr>
            <w:tcW w:w="805" w:type="dxa"/>
            <w:vAlign w:val="center"/>
          </w:tcPr>
          <w:p w14:paraId="0248AE9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tc>
        <w:tc>
          <w:tcPr>
            <w:tcW w:w="5105" w:type="dxa"/>
            <w:vAlign w:val="center"/>
          </w:tcPr>
          <w:p w14:paraId="15C9B93A">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包括保修价格、售后服务方案、年运行费用和消耗品或易耗品价格等综合运行成本进行评价。</w:t>
            </w:r>
          </w:p>
          <w:p w14:paraId="09A423E7">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报价合理</w:t>
            </w:r>
            <w:r>
              <w:rPr>
                <w:rFonts w:hint="eastAsia" w:ascii="新宋体" w:hAnsi="新宋体" w:eastAsia="新宋体" w:cs="新宋体"/>
                <w:color w:val="auto"/>
                <w:sz w:val="22"/>
                <w:szCs w:val="22"/>
                <w:highlight w:val="none"/>
                <w:lang w:val="en-US" w:eastAsia="zh-CN"/>
              </w:rPr>
              <w:t>且</w:t>
            </w:r>
            <w:r>
              <w:rPr>
                <w:rFonts w:hint="eastAsia" w:ascii="新宋体" w:hAnsi="新宋体" w:eastAsia="新宋体" w:cs="新宋体"/>
                <w:color w:val="auto"/>
                <w:sz w:val="22"/>
                <w:szCs w:val="22"/>
                <w:highlight w:val="none"/>
              </w:rPr>
              <w:t>成本低得</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p w14:paraId="3A45A15F">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报价和成本较合理得</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p w14:paraId="07438D68">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报价不合理运行成本高1分；</w:t>
            </w:r>
          </w:p>
          <w:p w14:paraId="49E45B2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无报价</w:t>
            </w:r>
            <w:r>
              <w:rPr>
                <w:rFonts w:hint="eastAsia" w:ascii="新宋体" w:hAnsi="新宋体" w:eastAsia="新宋体" w:cs="新宋体"/>
                <w:color w:val="auto"/>
                <w:sz w:val="22"/>
                <w:szCs w:val="22"/>
                <w:highlight w:val="none"/>
                <w:lang w:val="en-US" w:eastAsia="zh-CN"/>
              </w:rPr>
              <w:t>不得分</w:t>
            </w:r>
            <w:r>
              <w:rPr>
                <w:rFonts w:hint="eastAsia" w:ascii="新宋体" w:hAnsi="新宋体" w:eastAsia="新宋体" w:cs="新宋体"/>
                <w:color w:val="auto"/>
                <w:sz w:val="22"/>
                <w:szCs w:val="22"/>
                <w:highlight w:val="none"/>
              </w:rPr>
              <w:t>。</w:t>
            </w:r>
          </w:p>
        </w:tc>
      </w:tr>
      <w:tr w14:paraId="4A19AC0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53" w:hRule="atLeast"/>
          <w:jc w:val="center"/>
        </w:trPr>
        <w:tc>
          <w:tcPr>
            <w:tcW w:w="788" w:type="dxa"/>
            <w:vAlign w:val="center"/>
          </w:tcPr>
          <w:p w14:paraId="34C80B8B">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2831" w:type="dxa"/>
            <w:vAlign w:val="center"/>
          </w:tcPr>
          <w:p w14:paraId="729E5C39">
            <w:pPr>
              <w:spacing w:line="460" w:lineRule="exact"/>
              <w:jc w:val="both"/>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vertAlign w:val="baseline"/>
              </w:rPr>
              <w:t>维修成本</w:t>
            </w:r>
          </w:p>
        </w:tc>
        <w:tc>
          <w:tcPr>
            <w:tcW w:w="805" w:type="dxa"/>
            <w:vAlign w:val="center"/>
          </w:tcPr>
          <w:p w14:paraId="2C4EE52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vertAlign w:val="baseline"/>
                <w:lang w:val="en-US" w:eastAsia="zh-CN"/>
              </w:rPr>
              <w:t>4</w:t>
            </w:r>
            <w:r>
              <w:rPr>
                <w:rFonts w:hint="eastAsia" w:ascii="新宋体" w:hAnsi="新宋体" w:eastAsia="新宋体" w:cs="新宋体"/>
                <w:color w:val="auto"/>
                <w:sz w:val="22"/>
                <w:szCs w:val="22"/>
                <w:highlight w:val="none"/>
                <w:vertAlign w:val="baseline"/>
              </w:rPr>
              <w:t>分</w:t>
            </w:r>
          </w:p>
        </w:tc>
        <w:tc>
          <w:tcPr>
            <w:tcW w:w="5105" w:type="dxa"/>
            <w:vAlign w:val="center"/>
          </w:tcPr>
          <w:p w14:paraId="7218821F">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vertAlign w:val="baseline"/>
              </w:rPr>
              <w:t>根</w:t>
            </w:r>
            <w:r>
              <w:rPr>
                <w:rFonts w:hint="eastAsia" w:ascii="新宋体" w:hAnsi="新宋体" w:eastAsia="新宋体" w:cs="新宋体"/>
                <w:color w:val="auto"/>
                <w:sz w:val="22"/>
                <w:szCs w:val="22"/>
                <w:highlight w:val="none"/>
              </w:rPr>
              <w:t>据设备保修价格、设备零配件价格、维修服务费用等维修成本进行评价。</w:t>
            </w:r>
          </w:p>
          <w:p w14:paraId="6935F147">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维修成本较低的得</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p>
          <w:p w14:paraId="1C4CB947">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维修成本一般的得2分；</w:t>
            </w:r>
          </w:p>
          <w:p w14:paraId="40CD3811">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维修成本较高</w:t>
            </w:r>
            <w:r>
              <w:rPr>
                <w:rFonts w:hint="eastAsia" w:ascii="新宋体" w:hAnsi="新宋体" w:eastAsia="新宋体" w:cs="新宋体"/>
                <w:color w:val="auto"/>
                <w:sz w:val="22"/>
                <w:szCs w:val="22"/>
                <w:highlight w:val="none"/>
                <w:vertAlign w:val="baseline"/>
              </w:rPr>
              <w:t>的得1分。</w:t>
            </w:r>
          </w:p>
        </w:tc>
      </w:tr>
      <w:tr w14:paraId="09DCCA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293" w:hRule="atLeast"/>
          <w:jc w:val="center"/>
        </w:trPr>
        <w:tc>
          <w:tcPr>
            <w:tcW w:w="788" w:type="dxa"/>
            <w:vAlign w:val="center"/>
          </w:tcPr>
          <w:p w14:paraId="745706D4">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2831" w:type="dxa"/>
            <w:vAlign w:val="center"/>
          </w:tcPr>
          <w:p w14:paraId="08D222AE">
            <w:pPr>
              <w:spacing w:line="460" w:lineRule="exact"/>
              <w:jc w:val="lef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业绩</w:t>
            </w:r>
          </w:p>
        </w:tc>
        <w:tc>
          <w:tcPr>
            <w:tcW w:w="805" w:type="dxa"/>
            <w:vAlign w:val="center"/>
          </w:tcPr>
          <w:p w14:paraId="0BB5034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10266E0F">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提供20</w:t>
            </w:r>
            <w:r>
              <w:rPr>
                <w:rFonts w:hint="eastAsia" w:ascii="新宋体" w:hAnsi="新宋体" w:eastAsia="新宋体" w:cs="新宋体"/>
                <w:color w:val="auto"/>
                <w:sz w:val="22"/>
                <w:szCs w:val="22"/>
                <w:highlight w:val="none"/>
                <w:lang w:val="en-US" w:eastAsia="zh-CN"/>
              </w:rPr>
              <w:t>22</w:t>
            </w:r>
            <w:r>
              <w:rPr>
                <w:rFonts w:hint="eastAsia" w:ascii="新宋体" w:hAnsi="新宋体" w:eastAsia="新宋体" w:cs="新宋体"/>
                <w:color w:val="auto"/>
                <w:sz w:val="22"/>
                <w:szCs w:val="22"/>
                <w:highlight w:val="none"/>
              </w:rPr>
              <w:t>年1月1日</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以合同签订时间为准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起至今与最终不同用户签订的投标</w:t>
            </w:r>
            <w:r>
              <w:rPr>
                <w:rFonts w:hint="eastAsia" w:ascii="新宋体" w:hAnsi="新宋体" w:eastAsia="新宋体" w:cs="新宋体"/>
                <w:color w:val="auto"/>
                <w:sz w:val="22"/>
                <w:szCs w:val="22"/>
                <w:highlight w:val="none"/>
                <w:lang w:val="en-US" w:eastAsia="zh-CN"/>
              </w:rPr>
              <w:t>核心产品</w:t>
            </w:r>
            <w:r>
              <w:rPr>
                <w:rFonts w:hint="eastAsia" w:ascii="新宋体" w:hAnsi="新宋体" w:eastAsia="新宋体" w:cs="新宋体"/>
                <w:color w:val="auto"/>
                <w:sz w:val="22"/>
                <w:szCs w:val="22"/>
                <w:highlight w:val="none"/>
              </w:rPr>
              <w:t>机型合同复印件</w:t>
            </w:r>
            <w:r>
              <w:rPr>
                <w:rFonts w:hint="eastAsia" w:ascii="新宋体" w:hAnsi="新宋体" w:eastAsia="新宋体" w:cs="新宋体"/>
                <w:color w:val="auto"/>
                <w:sz w:val="22"/>
                <w:szCs w:val="22"/>
                <w:highlight w:val="none"/>
                <w:lang w:val="en-US" w:eastAsia="zh-CN"/>
              </w:rPr>
              <w:t>并加盖公章</w:t>
            </w:r>
            <w:r>
              <w:rPr>
                <w:rFonts w:hint="eastAsia" w:ascii="新宋体" w:hAnsi="新宋体" w:eastAsia="新宋体" w:cs="新宋体"/>
                <w:color w:val="auto"/>
                <w:sz w:val="22"/>
                <w:szCs w:val="22"/>
                <w:highlight w:val="none"/>
              </w:rPr>
              <w:t>，每份有效合同得1分，最多3分。</w:t>
            </w:r>
          </w:p>
        </w:tc>
      </w:tr>
      <w:tr w14:paraId="477434E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676" w:hRule="atLeast"/>
          <w:jc w:val="center"/>
        </w:trPr>
        <w:tc>
          <w:tcPr>
            <w:tcW w:w="788" w:type="dxa"/>
            <w:vAlign w:val="center"/>
          </w:tcPr>
          <w:p w14:paraId="0629CF7A">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2831" w:type="dxa"/>
            <w:vAlign w:val="center"/>
          </w:tcPr>
          <w:p w14:paraId="0E8DC911">
            <w:pPr>
              <w:spacing w:line="460" w:lineRule="exact"/>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制造商或代理商售后服务能力</w:t>
            </w:r>
          </w:p>
        </w:tc>
        <w:tc>
          <w:tcPr>
            <w:tcW w:w="805" w:type="dxa"/>
            <w:vAlign w:val="center"/>
          </w:tcPr>
          <w:p w14:paraId="1C96BBBD">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tc>
        <w:tc>
          <w:tcPr>
            <w:tcW w:w="5105" w:type="dxa"/>
            <w:vAlign w:val="center"/>
          </w:tcPr>
          <w:p w14:paraId="235D1101">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制造商或代理商售后服务能力，服务响应速度、服务人员</w:t>
            </w:r>
            <w:r>
              <w:rPr>
                <w:rFonts w:hint="eastAsia" w:ascii="新宋体" w:hAnsi="新宋体" w:eastAsia="新宋体" w:cs="新宋体"/>
                <w:color w:val="auto"/>
                <w:sz w:val="22"/>
                <w:szCs w:val="22"/>
                <w:highlight w:val="none"/>
                <w:lang w:val="en-US" w:eastAsia="zh-CN"/>
              </w:rPr>
              <w:t>配置完整性</w:t>
            </w:r>
            <w:r>
              <w:rPr>
                <w:rFonts w:hint="eastAsia" w:ascii="新宋体" w:hAnsi="新宋体" w:eastAsia="新宋体" w:cs="新宋体"/>
                <w:color w:val="auto"/>
                <w:sz w:val="22"/>
                <w:szCs w:val="22"/>
                <w:highlight w:val="none"/>
              </w:rPr>
              <w:t>、备品备件等综合评价。</w:t>
            </w:r>
          </w:p>
          <w:p w14:paraId="2CED3791">
            <w:pPr>
              <w:spacing w:line="460" w:lineRule="exact"/>
              <w:ind w:left="105" w:leftChars="50" w:right="10" w:rightChars="5"/>
              <w:rPr>
                <w:rFonts w:hint="eastAsia" w:ascii="新宋体" w:hAnsi="新宋体" w:eastAsia="新宋体" w:cs="新宋体"/>
                <w:color w:val="auto"/>
                <w:sz w:val="22"/>
                <w:szCs w:val="22"/>
                <w:highlight w:val="none"/>
                <w:vertAlign w:val="baseline"/>
              </w:rPr>
            </w:pPr>
            <w:r>
              <w:rPr>
                <w:rFonts w:hint="eastAsia" w:ascii="新宋体" w:hAnsi="新宋体" w:eastAsia="新宋体" w:cs="新宋体"/>
                <w:color w:val="auto"/>
                <w:sz w:val="22"/>
                <w:szCs w:val="22"/>
                <w:highlight w:val="none"/>
                <w:vertAlign w:val="baseline"/>
              </w:rPr>
              <w:t>售后服务标准高、</w:t>
            </w:r>
            <w:r>
              <w:rPr>
                <w:rFonts w:hint="eastAsia" w:ascii="新宋体" w:hAnsi="新宋体" w:eastAsia="新宋体" w:cs="新宋体"/>
                <w:color w:val="auto"/>
                <w:sz w:val="22"/>
                <w:szCs w:val="22"/>
                <w:highlight w:val="none"/>
              </w:rPr>
              <w:t>服务响应速度</w:t>
            </w:r>
            <w:r>
              <w:rPr>
                <w:rFonts w:hint="eastAsia" w:ascii="新宋体" w:hAnsi="新宋体" w:eastAsia="新宋体" w:cs="新宋体"/>
                <w:color w:val="auto"/>
                <w:sz w:val="22"/>
                <w:szCs w:val="22"/>
                <w:highlight w:val="none"/>
                <w:lang w:val="en-US" w:eastAsia="zh-CN"/>
              </w:rPr>
              <w:t>快，</w:t>
            </w:r>
            <w:r>
              <w:rPr>
                <w:rFonts w:hint="eastAsia" w:ascii="新宋体" w:hAnsi="新宋体" w:eastAsia="新宋体" w:cs="新宋体"/>
                <w:color w:val="auto"/>
                <w:sz w:val="22"/>
                <w:szCs w:val="22"/>
                <w:highlight w:val="none"/>
                <w:vertAlign w:val="baseline"/>
              </w:rPr>
              <w:t>服务人员配备完整</w:t>
            </w:r>
            <w:r>
              <w:rPr>
                <w:rFonts w:hint="eastAsia" w:ascii="新宋体" w:hAnsi="新宋体" w:eastAsia="新宋体" w:cs="新宋体"/>
                <w:color w:val="auto"/>
                <w:sz w:val="22"/>
                <w:szCs w:val="22"/>
                <w:highlight w:val="none"/>
                <w:vertAlign w:val="baseline"/>
                <w:lang w:eastAsia="zh-CN"/>
              </w:rPr>
              <w:t>，</w:t>
            </w:r>
            <w:r>
              <w:rPr>
                <w:rFonts w:hint="eastAsia" w:ascii="新宋体" w:hAnsi="新宋体" w:eastAsia="新宋体" w:cs="新宋体"/>
                <w:color w:val="auto"/>
                <w:sz w:val="22"/>
                <w:szCs w:val="22"/>
                <w:highlight w:val="none"/>
                <w:vertAlign w:val="baseline"/>
              </w:rPr>
              <w:t>备品</w:t>
            </w:r>
            <w:r>
              <w:rPr>
                <w:rFonts w:hint="eastAsia" w:ascii="新宋体" w:hAnsi="新宋体" w:eastAsia="新宋体" w:cs="新宋体"/>
                <w:color w:val="auto"/>
                <w:sz w:val="22"/>
                <w:szCs w:val="22"/>
                <w:highlight w:val="none"/>
                <w:vertAlign w:val="baseline"/>
                <w:lang w:val="en-US" w:eastAsia="zh-CN"/>
              </w:rPr>
              <w:t>备件</w:t>
            </w:r>
            <w:r>
              <w:rPr>
                <w:rFonts w:hint="eastAsia" w:ascii="新宋体" w:hAnsi="新宋体" w:eastAsia="新宋体" w:cs="新宋体"/>
                <w:color w:val="auto"/>
                <w:sz w:val="22"/>
                <w:szCs w:val="22"/>
                <w:highlight w:val="none"/>
                <w:vertAlign w:val="baseline"/>
              </w:rPr>
              <w:t>情况好</w:t>
            </w:r>
            <w:r>
              <w:rPr>
                <w:rFonts w:hint="eastAsia" w:ascii="新宋体" w:hAnsi="新宋体" w:eastAsia="新宋体" w:cs="新宋体"/>
                <w:color w:val="auto"/>
                <w:sz w:val="22"/>
                <w:szCs w:val="22"/>
                <w:highlight w:val="none"/>
                <w:vertAlign w:val="baseline"/>
                <w:lang w:val="en-US" w:eastAsia="zh-CN"/>
              </w:rPr>
              <w:t>得3分，</w:t>
            </w:r>
          </w:p>
          <w:p w14:paraId="687179BB">
            <w:pPr>
              <w:spacing w:line="460" w:lineRule="exact"/>
              <w:ind w:left="105" w:leftChars="50" w:right="10" w:rightChars="5"/>
              <w:rPr>
                <w:rFonts w:hint="eastAsia" w:ascii="新宋体" w:hAnsi="新宋体" w:eastAsia="新宋体" w:cs="新宋体"/>
                <w:color w:val="auto"/>
                <w:sz w:val="22"/>
                <w:szCs w:val="22"/>
                <w:highlight w:val="none"/>
                <w:vertAlign w:val="baseline"/>
              </w:rPr>
            </w:pPr>
            <w:r>
              <w:rPr>
                <w:rFonts w:hint="eastAsia" w:ascii="新宋体" w:hAnsi="新宋体" w:eastAsia="新宋体" w:cs="新宋体"/>
                <w:color w:val="auto"/>
                <w:sz w:val="22"/>
                <w:szCs w:val="22"/>
                <w:highlight w:val="none"/>
                <w:vertAlign w:val="baseline"/>
              </w:rPr>
              <w:t>售后服务标准、</w:t>
            </w:r>
            <w:r>
              <w:rPr>
                <w:rFonts w:hint="eastAsia" w:ascii="新宋体" w:hAnsi="新宋体" w:eastAsia="新宋体" w:cs="新宋体"/>
                <w:color w:val="auto"/>
                <w:sz w:val="22"/>
                <w:szCs w:val="22"/>
                <w:highlight w:val="none"/>
              </w:rPr>
              <w:t>服务响应速度</w:t>
            </w: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vertAlign w:val="baseline"/>
              </w:rPr>
              <w:t>服务人员配备完整</w:t>
            </w:r>
            <w:r>
              <w:rPr>
                <w:rFonts w:hint="eastAsia" w:ascii="新宋体" w:hAnsi="新宋体" w:eastAsia="新宋体" w:cs="新宋体"/>
                <w:color w:val="auto"/>
                <w:sz w:val="22"/>
                <w:szCs w:val="22"/>
                <w:highlight w:val="none"/>
                <w:vertAlign w:val="baseline"/>
                <w:lang w:val="en-US" w:eastAsia="zh-CN"/>
              </w:rPr>
              <w:t>性</w:t>
            </w:r>
            <w:r>
              <w:rPr>
                <w:rFonts w:hint="eastAsia" w:ascii="新宋体" w:hAnsi="新宋体" w:eastAsia="新宋体" w:cs="新宋体"/>
                <w:color w:val="auto"/>
                <w:sz w:val="22"/>
                <w:szCs w:val="22"/>
                <w:highlight w:val="none"/>
                <w:vertAlign w:val="baseline"/>
                <w:lang w:eastAsia="zh-CN"/>
              </w:rPr>
              <w:t>，</w:t>
            </w:r>
            <w:r>
              <w:rPr>
                <w:rFonts w:hint="eastAsia" w:ascii="新宋体" w:hAnsi="新宋体" w:eastAsia="新宋体" w:cs="新宋体"/>
                <w:color w:val="auto"/>
                <w:sz w:val="22"/>
                <w:szCs w:val="22"/>
                <w:highlight w:val="none"/>
                <w:vertAlign w:val="baseline"/>
              </w:rPr>
              <w:t>备品</w:t>
            </w:r>
            <w:r>
              <w:rPr>
                <w:rFonts w:hint="eastAsia" w:ascii="新宋体" w:hAnsi="新宋体" w:eastAsia="新宋体" w:cs="新宋体"/>
                <w:color w:val="auto"/>
                <w:sz w:val="22"/>
                <w:szCs w:val="22"/>
                <w:highlight w:val="none"/>
                <w:vertAlign w:val="baseline"/>
                <w:lang w:val="en-US" w:eastAsia="zh-CN"/>
              </w:rPr>
              <w:t>备件等</w:t>
            </w:r>
            <w:r>
              <w:rPr>
                <w:rFonts w:hint="eastAsia" w:ascii="新宋体" w:hAnsi="新宋体" w:eastAsia="新宋体" w:cs="新宋体"/>
                <w:color w:val="auto"/>
                <w:sz w:val="22"/>
                <w:szCs w:val="22"/>
                <w:highlight w:val="none"/>
                <w:vertAlign w:val="baseline"/>
              </w:rPr>
              <w:t>情况</w:t>
            </w:r>
            <w:r>
              <w:rPr>
                <w:rFonts w:hint="eastAsia" w:ascii="新宋体" w:hAnsi="新宋体" w:eastAsia="新宋体" w:cs="新宋体"/>
                <w:color w:val="auto"/>
                <w:sz w:val="22"/>
                <w:szCs w:val="22"/>
                <w:highlight w:val="none"/>
                <w:vertAlign w:val="baseline"/>
                <w:lang w:val="en-US" w:eastAsia="zh-CN"/>
              </w:rPr>
              <w:t>一般的得2分，</w:t>
            </w:r>
          </w:p>
          <w:p w14:paraId="4300E5C3">
            <w:pPr>
              <w:spacing w:line="460" w:lineRule="exact"/>
              <w:ind w:left="105" w:leftChars="50" w:right="10" w:rightChars="5"/>
              <w:rPr>
                <w:rFonts w:hint="eastAsia"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color w:val="auto"/>
                <w:sz w:val="22"/>
                <w:szCs w:val="22"/>
                <w:highlight w:val="none"/>
                <w:vertAlign w:val="baseline"/>
              </w:rPr>
              <w:t>售后服务标准</w:t>
            </w:r>
            <w:r>
              <w:rPr>
                <w:rFonts w:hint="eastAsia" w:ascii="新宋体" w:hAnsi="新宋体" w:eastAsia="新宋体" w:cs="新宋体"/>
                <w:color w:val="auto"/>
                <w:sz w:val="22"/>
                <w:szCs w:val="22"/>
                <w:highlight w:val="none"/>
                <w:vertAlign w:val="baseline"/>
                <w:lang w:val="en-US" w:eastAsia="zh-CN"/>
              </w:rPr>
              <w:t>低</w:t>
            </w:r>
            <w:r>
              <w:rPr>
                <w:rFonts w:hint="eastAsia" w:ascii="新宋体" w:hAnsi="新宋体" w:eastAsia="新宋体" w:cs="新宋体"/>
                <w:color w:val="auto"/>
                <w:sz w:val="22"/>
                <w:szCs w:val="22"/>
                <w:highlight w:val="none"/>
                <w:vertAlign w:val="baseline"/>
              </w:rPr>
              <w:t>、</w:t>
            </w:r>
            <w:r>
              <w:rPr>
                <w:rFonts w:hint="eastAsia" w:ascii="新宋体" w:hAnsi="新宋体" w:eastAsia="新宋体" w:cs="新宋体"/>
                <w:color w:val="auto"/>
                <w:sz w:val="22"/>
                <w:szCs w:val="22"/>
                <w:highlight w:val="none"/>
              </w:rPr>
              <w:t>服务响应速度</w:t>
            </w:r>
            <w:r>
              <w:rPr>
                <w:rFonts w:hint="eastAsia" w:ascii="新宋体" w:hAnsi="新宋体" w:eastAsia="新宋体" w:cs="新宋体"/>
                <w:color w:val="auto"/>
                <w:sz w:val="22"/>
                <w:szCs w:val="22"/>
                <w:highlight w:val="none"/>
                <w:lang w:val="en-US" w:eastAsia="zh-CN"/>
              </w:rPr>
              <w:t>慢，</w:t>
            </w:r>
            <w:r>
              <w:rPr>
                <w:rFonts w:hint="eastAsia" w:ascii="新宋体" w:hAnsi="新宋体" w:eastAsia="新宋体" w:cs="新宋体"/>
                <w:color w:val="auto"/>
                <w:sz w:val="22"/>
                <w:szCs w:val="22"/>
                <w:highlight w:val="none"/>
                <w:vertAlign w:val="baseline"/>
              </w:rPr>
              <w:t>服务人员配备</w:t>
            </w:r>
            <w:r>
              <w:rPr>
                <w:rFonts w:hint="eastAsia" w:ascii="新宋体" w:hAnsi="新宋体" w:eastAsia="新宋体" w:cs="新宋体"/>
                <w:color w:val="auto"/>
                <w:sz w:val="22"/>
                <w:szCs w:val="22"/>
                <w:highlight w:val="none"/>
                <w:vertAlign w:val="baseline"/>
                <w:lang w:val="en-US" w:eastAsia="zh-CN"/>
              </w:rPr>
              <w:t>不完整</w:t>
            </w:r>
            <w:r>
              <w:rPr>
                <w:rFonts w:hint="eastAsia" w:ascii="新宋体" w:hAnsi="新宋体" w:eastAsia="新宋体" w:cs="新宋体"/>
                <w:color w:val="auto"/>
                <w:sz w:val="22"/>
                <w:szCs w:val="22"/>
                <w:highlight w:val="none"/>
                <w:vertAlign w:val="baseline"/>
                <w:lang w:eastAsia="zh-CN"/>
              </w:rPr>
              <w:t>，</w:t>
            </w:r>
            <w:r>
              <w:rPr>
                <w:rFonts w:hint="eastAsia" w:ascii="新宋体" w:hAnsi="新宋体" w:eastAsia="新宋体" w:cs="新宋体"/>
                <w:color w:val="auto"/>
                <w:sz w:val="22"/>
                <w:szCs w:val="22"/>
                <w:highlight w:val="none"/>
                <w:vertAlign w:val="baseline"/>
              </w:rPr>
              <w:t>备品</w:t>
            </w:r>
            <w:r>
              <w:rPr>
                <w:rFonts w:hint="eastAsia" w:ascii="新宋体" w:hAnsi="新宋体" w:eastAsia="新宋体" w:cs="新宋体"/>
                <w:color w:val="auto"/>
                <w:sz w:val="22"/>
                <w:szCs w:val="22"/>
                <w:highlight w:val="none"/>
                <w:vertAlign w:val="baseline"/>
                <w:lang w:val="en-US" w:eastAsia="zh-CN"/>
              </w:rPr>
              <w:t>备件</w:t>
            </w:r>
            <w:r>
              <w:rPr>
                <w:rFonts w:hint="eastAsia" w:ascii="新宋体" w:hAnsi="新宋体" w:eastAsia="新宋体" w:cs="新宋体"/>
                <w:color w:val="auto"/>
                <w:sz w:val="22"/>
                <w:szCs w:val="22"/>
                <w:highlight w:val="none"/>
                <w:vertAlign w:val="baseline"/>
              </w:rPr>
              <w:t>情况</w:t>
            </w:r>
            <w:r>
              <w:rPr>
                <w:rFonts w:hint="eastAsia" w:ascii="新宋体" w:hAnsi="新宋体" w:eastAsia="新宋体" w:cs="新宋体"/>
                <w:color w:val="auto"/>
                <w:sz w:val="22"/>
                <w:szCs w:val="22"/>
                <w:highlight w:val="none"/>
                <w:vertAlign w:val="baseline"/>
                <w:lang w:val="en-US" w:eastAsia="zh-CN"/>
              </w:rPr>
              <w:t>差的得1分</w:t>
            </w:r>
          </w:p>
          <w:p w14:paraId="3FC46F2D">
            <w:pPr>
              <w:spacing w:line="460" w:lineRule="exact"/>
              <w:ind w:left="105" w:leftChars="50" w:right="10" w:rightChars="5"/>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未提供不得分。</w:t>
            </w:r>
          </w:p>
        </w:tc>
      </w:tr>
      <w:tr w14:paraId="3E60025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14:paraId="2F5EB540">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2831" w:type="dxa"/>
            <w:vAlign w:val="center"/>
          </w:tcPr>
          <w:p w14:paraId="0FA21511">
            <w:pPr>
              <w:spacing w:line="460" w:lineRule="exact"/>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环境标志产品、节能产品评审</w:t>
            </w:r>
          </w:p>
        </w:tc>
        <w:tc>
          <w:tcPr>
            <w:tcW w:w="805" w:type="dxa"/>
            <w:vAlign w:val="center"/>
          </w:tcPr>
          <w:p w14:paraId="2F7118A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w:t>
            </w:r>
          </w:p>
        </w:tc>
        <w:tc>
          <w:tcPr>
            <w:tcW w:w="5105" w:type="dxa"/>
            <w:vAlign w:val="center"/>
          </w:tcPr>
          <w:p w14:paraId="6B463342">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14:paraId="03434BB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14:paraId="49FEF2B5">
      <w:pPr>
        <w:pStyle w:val="23"/>
        <w:spacing w:line="460" w:lineRule="exact"/>
        <w:ind w:left="439" w:leftChars="209" w:firstLine="0" w:firstLineChars="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2、报价评分（30分）（权值30%）：</w:t>
      </w:r>
    </w:p>
    <w:p w14:paraId="1A117AF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满足招标文件要求且投标报价最低的投标报价为评标基准价，其余投标人投标报价与该基准价对比，计算出商务报价评分值（保留小数2位）：</w:t>
      </w:r>
    </w:p>
    <w:p w14:paraId="69A500D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1）有效投标人的投标报价等于评标基准价时其报价分为满分30分；</w:t>
      </w:r>
    </w:p>
    <w:p w14:paraId="1CF6D6F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2）其他投标人的价格分按以下公式计算：</w:t>
      </w:r>
    </w:p>
    <w:p w14:paraId="6E9F791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投标报价得分=（评分基准价/投标人投标报价）× 价格权值 ×100（保留小数2位）</w:t>
      </w:r>
    </w:p>
    <w:p w14:paraId="0AC65A4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3、有效投标人的综合得分为技术分和商务（报价）分的总和。</w:t>
      </w:r>
    </w:p>
    <w:p w14:paraId="7951596F">
      <w:pPr>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245D2757">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监狱企业、</w:t>
      </w:r>
      <w:r>
        <w:rPr>
          <w:rFonts w:hint="eastAsia" w:ascii="新宋体" w:hAnsi="新宋体" w:eastAsia="新宋体" w:cs="新宋体"/>
          <w:b/>
          <w:color w:val="auto"/>
          <w:sz w:val="22"/>
          <w:szCs w:val="22"/>
          <w:highlight w:val="none"/>
        </w:rPr>
        <w:t>残疾人福利性单位</w:t>
      </w:r>
      <w:r>
        <w:rPr>
          <w:rFonts w:hint="eastAsia" w:ascii="新宋体" w:hAnsi="新宋体" w:eastAsia="新宋体" w:cs="新宋体"/>
          <w:b/>
          <w:bCs/>
          <w:color w:val="auto"/>
          <w:sz w:val="22"/>
          <w:szCs w:val="22"/>
          <w:highlight w:val="none"/>
          <w:lang w:val="zh-CN"/>
        </w:rPr>
        <w:t>视同小微企业，其产品参加本项目投标的，享受小微企业同等的价格扣除。</w:t>
      </w:r>
    </w:p>
    <w:p w14:paraId="45B76F7A">
      <w:pPr>
        <w:spacing w:line="460" w:lineRule="exact"/>
        <w:ind w:firstLine="440" w:firstLineChars="200"/>
        <w:rPr>
          <w:rFonts w:hint="eastAsia" w:ascii="新宋体" w:hAnsi="新宋体" w:eastAsia="新宋体" w:cs="新宋体"/>
          <w:color w:val="auto"/>
          <w:sz w:val="22"/>
          <w:szCs w:val="22"/>
          <w:highlight w:val="none"/>
        </w:rPr>
      </w:pPr>
      <w:r>
        <w:rPr>
          <w:rFonts w:hint="eastAsia" w:ascii="宋体" w:hAnsi="宋体" w:cs="黑体"/>
          <w:color w:val="auto"/>
          <w:sz w:val="22"/>
          <w:szCs w:val="22"/>
          <w:highlight w:val="none"/>
        </w:rPr>
        <w:t>满足</w:t>
      </w:r>
      <w:r>
        <w:rPr>
          <w:rFonts w:hint="eastAsia" w:ascii="宋体" w:hAnsi="宋体" w:cs="黑体"/>
          <w:color w:val="auto"/>
          <w:sz w:val="22"/>
          <w:szCs w:val="22"/>
          <w:highlight w:val="none"/>
          <w:lang w:val="en-US" w:eastAsia="zh-CN"/>
        </w:rPr>
        <w:t>小微企业</w:t>
      </w:r>
      <w:r>
        <w:rPr>
          <w:rFonts w:hint="eastAsia" w:ascii="宋体" w:hAnsi="宋体" w:cs="黑体"/>
          <w:color w:val="auto"/>
          <w:sz w:val="22"/>
          <w:szCs w:val="22"/>
          <w:highlight w:val="none"/>
        </w:rPr>
        <w:t>折扣条件的商务（报价）分=[评标基准价/(投标报价*</w:t>
      </w:r>
      <w:r>
        <w:rPr>
          <w:rFonts w:hint="eastAsia" w:ascii="宋体" w:hAnsi="宋体" w:cs="黑体"/>
          <w:color w:val="auto"/>
          <w:sz w:val="22"/>
          <w:szCs w:val="22"/>
          <w:highlight w:val="none"/>
          <w:lang w:val="en-US" w:eastAsia="zh-CN"/>
        </w:rPr>
        <w:t>9</w:t>
      </w:r>
      <w:r>
        <w:rPr>
          <w:rFonts w:hint="eastAsia" w:ascii="宋体" w:hAnsi="宋体" w:cs="黑体"/>
          <w:color w:val="auto"/>
          <w:sz w:val="22"/>
          <w:szCs w:val="22"/>
          <w:highlight w:val="none"/>
        </w:rPr>
        <w:t>0%)]×3</w:t>
      </w:r>
      <w:r>
        <w:rPr>
          <w:rFonts w:hint="eastAsia" w:ascii="宋体" w:hAnsi="宋体" w:cs="黑体"/>
          <w:color w:val="auto"/>
          <w:sz w:val="22"/>
          <w:szCs w:val="22"/>
          <w:highlight w:val="none"/>
          <w:lang w:val="en-US" w:eastAsia="zh-CN"/>
        </w:rPr>
        <w:t>0</w:t>
      </w:r>
      <w:r>
        <w:rPr>
          <w:rFonts w:hint="eastAsia" w:ascii="宋体" w:hAnsi="宋体" w:cs="黑体"/>
          <w:color w:val="auto"/>
          <w:sz w:val="22"/>
          <w:szCs w:val="22"/>
          <w:highlight w:val="none"/>
        </w:rPr>
        <w:t>。</w:t>
      </w:r>
    </w:p>
    <w:p w14:paraId="676F4551">
      <w:pPr>
        <w:spacing w:line="460" w:lineRule="exact"/>
        <w:ind w:firstLine="440" w:firstLineChars="200"/>
        <w:rPr>
          <w:rFonts w:ascii="新宋体" w:hAnsi="新宋体" w:eastAsia="新宋体" w:cs="新宋体"/>
          <w:color w:val="auto"/>
          <w:sz w:val="22"/>
          <w:szCs w:val="22"/>
          <w:highlight w:val="none"/>
          <w:lang w:val="zh-CN"/>
        </w:rPr>
      </w:pPr>
      <w:r>
        <w:rPr>
          <w:rFonts w:hint="eastAsia" w:ascii="宋体" w:hAnsi="宋体" w:cs="黑体"/>
          <w:color w:val="auto"/>
          <w:sz w:val="22"/>
          <w:szCs w:val="22"/>
          <w:highlight w:val="none"/>
        </w:rPr>
        <w:t>满足</w:t>
      </w:r>
      <w:r>
        <w:rPr>
          <w:rFonts w:hint="eastAsia" w:ascii="宋体" w:hAnsi="宋体" w:cs="黑体"/>
          <w:color w:val="auto"/>
          <w:sz w:val="22"/>
          <w:szCs w:val="22"/>
          <w:highlight w:val="none"/>
          <w:lang w:val="en-US" w:eastAsia="zh-CN"/>
        </w:rPr>
        <w:t>联合体</w:t>
      </w:r>
      <w:r>
        <w:rPr>
          <w:rFonts w:hint="eastAsia" w:ascii="宋体" w:hAnsi="宋体" w:cs="黑体"/>
          <w:color w:val="auto"/>
          <w:sz w:val="22"/>
          <w:szCs w:val="22"/>
          <w:highlight w:val="none"/>
        </w:rPr>
        <w:t>折扣条件的商务（报价）分=[评标基准价/(投标报价*</w:t>
      </w:r>
      <w:r>
        <w:rPr>
          <w:rFonts w:hint="eastAsia" w:ascii="宋体" w:hAnsi="宋体" w:cs="黑体"/>
          <w:color w:val="auto"/>
          <w:sz w:val="22"/>
          <w:szCs w:val="22"/>
          <w:highlight w:val="none"/>
          <w:lang w:val="en-US" w:eastAsia="zh-CN"/>
        </w:rPr>
        <w:t>96</w:t>
      </w:r>
      <w:r>
        <w:rPr>
          <w:rFonts w:hint="eastAsia" w:ascii="宋体" w:hAnsi="宋体" w:cs="黑体"/>
          <w:color w:val="auto"/>
          <w:sz w:val="22"/>
          <w:szCs w:val="22"/>
          <w:highlight w:val="none"/>
        </w:rPr>
        <w:t>%)]×3</w:t>
      </w:r>
      <w:r>
        <w:rPr>
          <w:rFonts w:hint="eastAsia" w:ascii="宋体" w:hAnsi="宋体" w:cs="黑体"/>
          <w:color w:val="auto"/>
          <w:sz w:val="22"/>
          <w:szCs w:val="22"/>
          <w:highlight w:val="none"/>
          <w:lang w:val="en-US" w:eastAsia="zh-CN"/>
        </w:rPr>
        <w:t>0</w:t>
      </w:r>
      <w:r>
        <w:rPr>
          <w:rFonts w:hint="eastAsia" w:ascii="宋体" w:hAnsi="宋体" w:cs="黑体"/>
          <w:color w:val="auto"/>
          <w:sz w:val="22"/>
          <w:szCs w:val="22"/>
          <w:highlight w:val="none"/>
        </w:rPr>
        <w:t>。</w:t>
      </w:r>
    </w:p>
    <w:p w14:paraId="7DA07AFF">
      <w:pPr>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4、贯彻落实对首台套产品、符合条件的制造精品的政府首购制度。优先推荐专精特新中小企业、创新产品参加政府采购活动。对省级以上主管部门认定的首台套产品，自纳入《省推广应用指导目录》起三年内参加政府采购活动，视同已具备相应销售业绩，业绩分为满分。</w:t>
      </w:r>
    </w:p>
    <w:p w14:paraId="5142842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63A60660">
      <w:pPr>
        <w:spacing w:line="460" w:lineRule="exact"/>
        <w:ind w:firstLine="442" w:firstLineChars="200"/>
        <w:outlineLvl w:val="1"/>
        <w:rPr>
          <w:rFonts w:ascii="新宋体" w:hAnsi="新宋体" w:eastAsia="新宋体" w:cs="新宋体"/>
          <w:b/>
          <w:bCs/>
          <w:color w:val="auto"/>
          <w:sz w:val="22"/>
          <w:szCs w:val="22"/>
          <w:highlight w:val="none"/>
        </w:rPr>
      </w:pPr>
      <w:bookmarkStart w:id="64" w:name="_Toc2482"/>
      <w:bookmarkStart w:id="65" w:name="_Toc24093"/>
      <w:r>
        <w:rPr>
          <w:rFonts w:hint="eastAsia" w:ascii="新宋体" w:hAnsi="新宋体" w:eastAsia="新宋体" w:cs="新宋体"/>
          <w:b/>
          <w:bCs/>
          <w:color w:val="auto"/>
          <w:sz w:val="22"/>
          <w:szCs w:val="22"/>
          <w:highlight w:val="none"/>
        </w:rPr>
        <w:t>六、定标办法</w:t>
      </w:r>
      <w:bookmarkEnd w:id="64"/>
      <w:bookmarkEnd w:id="65"/>
    </w:p>
    <w:p w14:paraId="68DD24E9">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65EBCA7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1.1由评标委员会确定中标候选人。</w:t>
      </w:r>
    </w:p>
    <w:p w14:paraId="492A912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推荐。</w:t>
      </w:r>
    </w:p>
    <w:p w14:paraId="39FE4AF2">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2、确定中标人</w:t>
      </w:r>
    </w:p>
    <w:p w14:paraId="6AB5F7EA">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2.1</w:t>
      </w:r>
      <w:r>
        <w:rPr>
          <w:rFonts w:hint="eastAsia" w:ascii="新宋体" w:hAnsi="新宋体" w:eastAsia="新宋体" w:cs="新宋体"/>
          <w:b/>
          <w:bCs/>
          <w:color w:val="auto"/>
          <w:sz w:val="22"/>
          <w:szCs w:val="22"/>
          <w:highlight w:val="none"/>
          <w:lang w:eastAsia="zh-CN"/>
        </w:rPr>
        <w:t>招标人</w:t>
      </w:r>
      <w:r>
        <w:rPr>
          <w:rFonts w:hint="eastAsia" w:ascii="新宋体" w:hAnsi="新宋体" w:eastAsia="新宋体" w:cs="新宋体"/>
          <w:b/>
          <w:bCs/>
          <w:color w:val="auto"/>
          <w:sz w:val="22"/>
          <w:szCs w:val="22"/>
          <w:highlight w:val="none"/>
        </w:rPr>
        <w:t>按照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14:paraId="44DBAE1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2.2如中标人放弃中标；或未能在规定时间内与</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签订合同的；或者经质疑，</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审查后，确因排名第一的候选人在本次采购活动中存在违法违规行为或其他原因使质疑成立的，</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可以视情况直接确定排名第二的候选人为中标人或重新组织招标。</w:t>
      </w:r>
    </w:p>
    <w:p w14:paraId="628D824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中标人确定后，</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将在指定媒体公告中标结果，</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向中标人发出中标通知书。</w:t>
      </w:r>
    </w:p>
    <w:p w14:paraId="19EE4251">
      <w:pPr>
        <w:spacing w:line="460" w:lineRule="exact"/>
        <w:ind w:firstLine="442" w:firstLineChars="200"/>
        <w:outlineLvl w:val="1"/>
        <w:rPr>
          <w:rFonts w:ascii="新宋体" w:hAnsi="新宋体" w:eastAsia="新宋体" w:cs="新宋体"/>
          <w:b/>
          <w:color w:val="auto"/>
          <w:sz w:val="22"/>
          <w:szCs w:val="22"/>
          <w:highlight w:val="none"/>
        </w:rPr>
      </w:pPr>
      <w:bookmarkStart w:id="66" w:name="_Toc30390"/>
      <w:bookmarkStart w:id="67" w:name="_Toc17587"/>
      <w:r>
        <w:rPr>
          <w:rFonts w:hint="eastAsia" w:ascii="新宋体" w:hAnsi="新宋体" w:eastAsia="新宋体" w:cs="新宋体"/>
          <w:b/>
          <w:color w:val="auto"/>
          <w:sz w:val="22"/>
          <w:szCs w:val="22"/>
          <w:highlight w:val="none"/>
        </w:rPr>
        <w:t>七、投标人义务</w:t>
      </w:r>
      <w:bookmarkEnd w:id="66"/>
      <w:bookmarkEnd w:id="67"/>
    </w:p>
    <w:p w14:paraId="54AC96A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1、投标人应随时接受评标委员会的询标，解答包括有关的商务、技术问题等。评标结束，所有评标资料存招标机构备查。</w:t>
      </w:r>
    </w:p>
    <w:p w14:paraId="065E763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2、项目开评标结束后，中标供应商须提供纸质投标响应文件并加盖单位公章一份，送至代理公司。</w:t>
      </w:r>
    </w:p>
    <w:bookmarkEnd w:id="68"/>
    <w:sectPr>
      <w:footerReference r:id="rId6" w:type="default"/>
      <w:pgSz w:w="11906" w:h="16838"/>
      <w:pgMar w:top="1134" w:right="1134" w:bottom="1134" w:left="1134" w:header="850"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roma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ˎ̥">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auto"/>
    <w:pitch w:val="default"/>
    <w:sig w:usb0="0000020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Century Gothic">
    <w:panose1 w:val="020B0502020202020204"/>
    <w:charset w:val="00"/>
    <w:family w:val="swiss"/>
    <w:pitch w:val="default"/>
    <w:sig w:usb0="00000287" w:usb1="00000000" w:usb2="00000000" w:usb3="00000000" w:csb0="2000009F" w:csb1="DFD70000"/>
  </w:font>
  <w:font w:name="Helvetica">
    <w:altName w:val="Arial"/>
    <w:panose1 w:val="020B0604020202020204"/>
    <w:charset w:val="00"/>
    <w:family w:val="swiss"/>
    <w:pitch w:val="default"/>
    <w:sig w:usb0="00000000" w:usb1="00000000" w:usb2="00000000" w:usb3="00000000" w:csb0="00000001"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8959B">
    <w:pPr>
      <w:pStyle w:val="35"/>
      <w:framePr w:wrap="around" w:vAnchor="text" w:hAnchor="margin" w:xAlign="center" w:y="1"/>
      <w:rPr>
        <w:rStyle w:val="56"/>
      </w:rPr>
    </w:pPr>
    <w:r>
      <w:fldChar w:fldCharType="begin"/>
    </w:r>
    <w:r>
      <w:rPr>
        <w:rStyle w:val="56"/>
      </w:rPr>
      <w:instrText xml:space="preserve">PAGE  </w:instrText>
    </w:r>
    <w:r>
      <w:fldChar w:fldCharType="separate"/>
    </w:r>
    <w:r>
      <w:rPr>
        <w:rStyle w:val="56"/>
      </w:rPr>
      <w:t>37</w:t>
    </w:r>
    <w:r>
      <w:fldChar w:fldCharType="end"/>
    </w:r>
  </w:p>
  <w:p w14:paraId="376CD827">
    <w:pPr>
      <w:pStyle w:val="35"/>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8ED07">
    <w:pPr>
      <w:pStyle w:val="35"/>
      <w:ind w:right="360" w:firstLine="4500" w:firstLineChars="250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F2D446">
                          <w:pPr>
                            <w:pStyle w:val="35"/>
                          </w:pPr>
                          <w:r>
                            <w:fldChar w:fldCharType="begin"/>
                          </w:r>
                          <w:r>
                            <w:instrText xml:space="preserve"> PAGE  \* MERGEFORMAT </w:instrText>
                          </w:r>
                          <w:r>
                            <w:fldChar w:fldCharType="separate"/>
                          </w:r>
                          <w:r>
                            <w:t>54</w:t>
                          </w:r>
                          <w:r>
                            <w:fldChar w:fldCharType="end"/>
                          </w:r>
                        </w:p>
                      </w:txbxContent>
                    </wps:txbx>
                    <wps:bodyPr vert="horz" wrap="none" lIns="0" tIns="0" rIns="0" bIns="0" anchor="t" anchorCtr="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J9CZzXAQAAswMAAA4AAAAAAAAAAQAgAAAA&#10;HgEAAGRycy9lMm9Eb2MueG1sUEsFBgAAAAAGAAYAWQEAAGcFAAAAAA==&#10;">
              <v:fill on="f" focussize="0,0"/>
              <v:stroke on="f"/>
              <v:imagedata o:title=""/>
              <o:lock v:ext="edit" aspectratio="f"/>
              <v:textbox inset="0mm,0mm,0mm,0mm" style="mso-fit-shape-to-text:t;">
                <w:txbxContent>
                  <w:p w14:paraId="10F2D446">
                    <w:pPr>
                      <w:pStyle w:val="35"/>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0626F">
    <w:pPr>
      <w:pStyle w:val="35"/>
      <w:framePr w:wrap="around" w:vAnchor="text" w:hAnchor="margin" w:xAlign="center" w:y="1"/>
      <w:rPr>
        <w:rStyle w:val="56"/>
      </w:rPr>
    </w:pPr>
    <w:r>
      <w:fldChar w:fldCharType="begin"/>
    </w:r>
    <w:r>
      <w:rPr>
        <w:rStyle w:val="56"/>
      </w:rPr>
      <w:instrText xml:space="preserve">PAGE  </w:instrText>
    </w:r>
    <w:r>
      <w:fldChar w:fldCharType="separate"/>
    </w:r>
    <w:r>
      <w:rPr>
        <w:rStyle w:val="56"/>
      </w:rPr>
      <w:t>57</w:t>
    </w:r>
    <w:r>
      <w:fldChar w:fldCharType="end"/>
    </w:r>
  </w:p>
  <w:p w14:paraId="2A191091">
    <w:pPr>
      <w:pStyle w:val="35"/>
      <w:ind w:right="360" w:firstLine="4500" w:firstLineChars="25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F4F13">
    <w:pPr>
      <w:pStyle w:val="36"/>
      <w:pBdr>
        <w:bottom w:val="single" w:color="auto" w:sz="6" w:space="0"/>
      </w:pBdr>
      <w:jc w:val="both"/>
      <w:rPr>
        <w:rFonts w:ascii="新宋体" w:hAnsi="新宋体" w:eastAsia="新宋体" w:cs="新宋体"/>
      </w:rPr>
    </w:pPr>
    <w:r>
      <w:rPr>
        <w:rFonts w:hint="eastAsia" w:ascii="新宋体" w:hAnsi="新宋体" w:eastAsia="新宋体" w:cs="新宋体"/>
      </w:rPr>
      <w:t>温州市政府（分散）采购招标文件                                        项目编号：</w:t>
    </w:r>
    <w:r>
      <w:rPr>
        <w:rFonts w:hint="eastAsia" w:ascii="新宋体" w:hAnsi="新宋体" w:eastAsia="新宋体" w:cs="新宋体"/>
        <w:lang w:eastAsia="zh-CN"/>
      </w:rPr>
      <w:t>WZLCZB（L）-2025-03069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forms" w:enforcement="0"/>
  <w:defaultTabStop w:val="420"/>
  <w:drawingGridHorizontalSpacing w:val="210"/>
  <w:drawingGridVerticalSpacing w:val="16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0NmYwMTIwOTRmM2U5ZmE5ZmRkOTg1NDdjYzQ4Y2QifQ=="/>
  </w:docVars>
  <w:rsids>
    <w:rsidRoot w:val="00172A27"/>
    <w:rsid w:val="000149E3"/>
    <w:rsid w:val="00020693"/>
    <w:rsid w:val="000217C7"/>
    <w:rsid w:val="00026A46"/>
    <w:rsid w:val="00027D0D"/>
    <w:rsid w:val="00031F49"/>
    <w:rsid w:val="00037B6F"/>
    <w:rsid w:val="000474B4"/>
    <w:rsid w:val="00063600"/>
    <w:rsid w:val="00097557"/>
    <w:rsid w:val="000A6326"/>
    <w:rsid w:val="000B2878"/>
    <w:rsid w:val="0010260A"/>
    <w:rsid w:val="0013451B"/>
    <w:rsid w:val="00146E35"/>
    <w:rsid w:val="00164732"/>
    <w:rsid w:val="00172A27"/>
    <w:rsid w:val="00176791"/>
    <w:rsid w:val="0019644F"/>
    <w:rsid w:val="001B0F17"/>
    <w:rsid w:val="001B2275"/>
    <w:rsid w:val="001D4048"/>
    <w:rsid w:val="001D49A1"/>
    <w:rsid w:val="001E2253"/>
    <w:rsid w:val="001E7897"/>
    <w:rsid w:val="001F5D2B"/>
    <w:rsid w:val="002018F6"/>
    <w:rsid w:val="002044B9"/>
    <w:rsid w:val="00212172"/>
    <w:rsid w:val="00223CC1"/>
    <w:rsid w:val="00227214"/>
    <w:rsid w:val="00230913"/>
    <w:rsid w:val="00241A35"/>
    <w:rsid w:val="00243D5B"/>
    <w:rsid w:val="002447E7"/>
    <w:rsid w:val="00261F3C"/>
    <w:rsid w:val="00270294"/>
    <w:rsid w:val="00271C2D"/>
    <w:rsid w:val="002843F3"/>
    <w:rsid w:val="00296547"/>
    <w:rsid w:val="002A31D6"/>
    <w:rsid w:val="002B5782"/>
    <w:rsid w:val="002C08AE"/>
    <w:rsid w:val="002C09AD"/>
    <w:rsid w:val="002D20EE"/>
    <w:rsid w:val="002D2D3D"/>
    <w:rsid w:val="002E7DAB"/>
    <w:rsid w:val="003058EA"/>
    <w:rsid w:val="00327AB8"/>
    <w:rsid w:val="00350DF6"/>
    <w:rsid w:val="00351F86"/>
    <w:rsid w:val="00352124"/>
    <w:rsid w:val="0035435E"/>
    <w:rsid w:val="00357388"/>
    <w:rsid w:val="00357A7B"/>
    <w:rsid w:val="003654EF"/>
    <w:rsid w:val="00372FCF"/>
    <w:rsid w:val="00373BB2"/>
    <w:rsid w:val="00380B23"/>
    <w:rsid w:val="00383F1F"/>
    <w:rsid w:val="00397A95"/>
    <w:rsid w:val="003B0A15"/>
    <w:rsid w:val="003B1471"/>
    <w:rsid w:val="003B5050"/>
    <w:rsid w:val="003C713C"/>
    <w:rsid w:val="003D72C0"/>
    <w:rsid w:val="00405F28"/>
    <w:rsid w:val="0041137E"/>
    <w:rsid w:val="00412BC4"/>
    <w:rsid w:val="00430AB9"/>
    <w:rsid w:val="00441256"/>
    <w:rsid w:val="004441D2"/>
    <w:rsid w:val="0045663E"/>
    <w:rsid w:val="00461389"/>
    <w:rsid w:val="0046542D"/>
    <w:rsid w:val="00481BD3"/>
    <w:rsid w:val="0049540A"/>
    <w:rsid w:val="004B66F1"/>
    <w:rsid w:val="004C013A"/>
    <w:rsid w:val="004C7034"/>
    <w:rsid w:val="004E05E1"/>
    <w:rsid w:val="004F5A74"/>
    <w:rsid w:val="005001D6"/>
    <w:rsid w:val="00522EF2"/>
    <w:rsid w:val="005238A3"/>
    <w:rsid w:val="00526065"/>
    <w:rsid w:val="00532669"/>
    <w:rsid w:val="00533C40"/>
    <w:rsid w:val="00555FA3"/>
    <w:rsid w:val="00557F6A"/>
    <w:rsid w:val="00561E5D"/>
    <w:rsid w:val="0056534C"/>
    <w:rsid w:val="00565E01"/>
    <w:rsid w:val="005674BB"/>
    <w:rsid w:val="00572B8A"/>
    <w:rsid w:val="00582AEF"/>
    <w:rsid w:val="00586839"/>
    <w:rsid w:val="00587A14"/>
    <w:rsid w:val="005A1DD3"/>
    <w:rsid w:val="005A3AA2"/>
    <w:rsid w:val="005A65DF"/>
    <w:rsid w:val="005B3595"/>
    <w:rsid w:val="005C388F"/>
    <w:rsid w:val="005F29A8"/>
    <w:rsid w:val="00607A59"/>
    <w:rsid w:val="00631E7A"/>
    <w:rsid w:val="0064398C"/>
    <w:rsid w:val="00644CD7"/>
    <w:rsid w:val="00647AB1"/>
    <w:rsid w:val="00654A9F"/>
    <w:rsid w:val="00692D32"/>
    <w:rsid w:val="00696C82"/>
    <w:rsid w:val="006A1CF7"/>
    <w:rsid w:val="006A616D"/>
    <w:rsid w:val="006B3E1C"/>
    <w:rsid w:val="006D6C7C"/>
    <w:rsid w:val="006E2672"/>
    <w:rsid w:val="007068AC"/>
    <w:rsid w:val="00722BB3"/>
    <w:rsid w:val="00740E65"/>
    <w:rsid w:val="00745DB6"/>
    <w:rsid w:val="00753072"/>
    <w:rsid w:val="007546B0"/>
    <w:rsid w:val="007671B7"/>
    <w:rsid w:val="00774E3F"/>
    <w:rsid w:val="00776F48"/>
    <w:rsid w:val="00780CBF"/>
    <w:rsid w:val="00781B95"/>
    <w:rsid w:val="007A21E8"/>
    <w:rsid w:val="007A62BD"/>
    <w:rsid w:val="007B564B"/>
    <w:rsid w:val="007B769B"/>
    <w:rsid w:val="007C006A"/>
    <w:rsid w:val="007E29D6"/>
    <w:rsid w:val="007F2164"/>
    <w:rsid w:val="00800A72"/>
    <w:rsid w:val="00804ACD"/>
    <w:rsid w:val="0080543D"/>
    <w:rsid w:val="0081033D"/>
    <w:rsid w:val="00817CE2"/>
    <w:rsid w:val="00831C7B"/>
    <w:rsid w:val="00832D9C"/>
    <w:rsid w:val="00836E00"/>
    <w:rsid w:val="00846CC5"/>
    <w:rsid w:val="00850622"/>
    <w:rsid w:val="008551FE"/>
    <w:rsid w:val="00870DFA"/>
    <w:rsid w:val="00871EBE"/>
    <w:rsid w:val="00873949"/>
    <w:rsid w:val="00875629"/>
    <w:rsid w:val="00877499"/>
    <w:rsid w:val="00892732"/>
    <w:rsid w:val="00893202"/>
    <w:rsid w:val="0089599B"/>
    <w:rsid w:val="008A127E"/>
    <w:rsid w:val="008B2FA9"/>
    <w:rsid w:val="008C2D7B"/>
    <w:rsid w:val="008C31BC"/>
    <w:rsid w:val="008D62C9"/>
    <w:rsid w:val="008D75C3"/>
    <w:rsid w:val="008E0442"/>
    <w:rsid w:val="008E0B76"/>
    <w:rsid w:val="008E26D5"/>
    <w:rsid w:val="008F4E37"/>
    <w:rsid w:val="008F7BE3"/>
    <w:rsid w:val="008F7D27"/>
    <w:rsid w:val="00902AA2"/>
    <w:rsid w:val="00914683"/>
    <w:rsid w:val="009254A6"/>
    <w:rsid w:val="0093089E"/>
    <w:rsid w:val="00933974"/>
    <w:rsid w:val="00936127"/>
    <w:rsid w:val="009423EC"/>
    <w:rsid w:val="00945DCB"/>
    <w:rsid w:val="009652E5"/>
    <w:rsid w:val="00973F7A"/>
    <w:rsid w:val="0097671D"/>
    <w:rsid w:val="00977673"/>
    <w:rsid w:val="009829E9"/>
    <w:rsid w:val="00987F54"/>
    <w:rsid w:val="00991B38"/>
    <w:rsid w:val="00996305"/>
    <w:rsid w:val="009A2EA2"/>
    <w:rsid w:val="009C748F"/>
    <w:rsid w:val="009E4D45"/>
    <w:rsid w:val="00A24A5C"/>
    <w:rsid w:val="00A42424"/>
    <w:rsid w:val="00A45873"/>
    <w:rsid w:val="00A56219"/>
    <w:rsid w:val="00A61866"/>
    <w:rsid w:val="00A77176"/>
    <w:rsid w:val="00A83FD5"/>
    <w:rsid w:val="00A92B83"/>
    <w:rsid w:val="00A957CF"/>
    <w:rsid w:val="00AA3DA6"/>
    <w:rsid w:val="00AA7C87"/>
    <w:rsid w:val="00AD66E6"/>
    <w:rsid w:val="00AE4B39"/>
    <w:rsid w:val="00AF7BEB"/>
    <w:rsid w:val="00B06E43"/>
    <w:rsid w:val="00B2584A"/>
    <w:rsid w:val="00B41362"/>
    <w:rsid w:val="00B43A9E"/>
    <w:rsid w:val="00B44537"/>
    <w:rsid w:val="00B5466C"/>
    <w:rsid w:val="00B74039"/>
    <w:rsid w:val="00B87E26"/>
    <w:rsid w:val="00B9767A"/>
    <w:rsid w:val="00BA78D1"/>
    <w:rsid w:val="00BB07D8"/>
    <w:rsid w:val="00BC0A13"/>
    <w:rsid w:val="00BC2B54"/>
    <w:rsid w:val="00BC4AC5"/>
    <w:rsid w:val="00BC66D1"/>
    <w:rsid w:val="00BF1399"/>
    <w:rsid w:val="00BF32BD"/>
    <w:rsid w:val="00C12358"/>
    <w:rsid w:val="00C232C8"/>
    <w:rsid w:val="00C44C75"/>
    <w:rsid w:val="00C468B7"/>
    <w:rsid w:val="00C67C97"/>
    <w:rsid w:val="00C70022"/>
    <w:rsid w:val="00C70CE6"/>
    <w:rsid w:val="00C758F7"/>
    <w:rsid w:val="00C816DD"/>
    <w:rsid w:val="00C84ECB"/>
    <w:rsid w:val="00C95163"/>
    <w:rsid w:val="00CB584C"/>
    <w:rsid w:val="00CC06DE"/>
    <w:rsid w:val="00CC3B91"/>
    <w:rsid w:val="00CE590D"/>
    <w:rsid w:val="00CF5C76"/>
    <w:rsid w:val="00D007CB"/>
    <w:rsid w:val="00D00FFE"/>
    <w:rsid w:val="00D13A1C"/>
    <w:rsid w:val="00D224FF"/>
    <w:rsid w:val="00D22CCE"/>
    <w:rsid w:val="00D26569"/>
    <w:rsid w:val="00D27DB2"/>
    <w:rsid w:val="00D3078D"/>
    <w:rsid w:val="00D30E82"/>
    <w:rsid w:val="00D47AC2"/>
    <w:rsid w:val="00D53AD6"/>
    <w:rsid w:val="00D56369"/>
    <w:rsid w:val="00D70EBE"/>
    <w:rsid w:val="00D73718"/>
    <w:rsid w:val="00D7763D"/>
    <w:rsid w:val="00D81E02"/>
    <w:rsid w:val="00D844F8"/>
    <w:rsid w:val="00DB09B7"/>
    <w:rsid w:val="00DB2DE0"/>
    <w:rsid w:val="00DB41D0"/>
    <w:rsid w:val="00DD6A7E"/>
    <w:rsid w:val="00DF073C"/>
    <w:rsid w:val="00DF0B3F"/>
    <w:rsid w:val="00E02244"/>
    <w:rsid w:val="00E05AD1"/>
    <w:rsid w:val="00E11D98"/>
    <w:rsid w:val="00E15CD1"/>
    <w:rsid w:val="00E22045"/>
    <w:rsid w:val="00E248CD"/>
    <w:rsid w:val="00E36483"/>
    <w:rsid w:val="00E36B76"/>
    <w:rsid w:val="00E53874"/>
    <w:rsid w:val="00E56BD4"/>
    <w:rsid w:val="00E57D1E"/>
    <w:rsid w:val="00E72ABC"/>
    <w:rsid w:val="00E74DBC"/>
    <w:rsid w:val="00E76E5A"/>
    <w:rsid w:val="00EB46AD"/>
    <w:rsid w:val="00EC182D"/>
    <w:rsid w:val="00EC6C26"/>
    <w:rsid w:val="00EC7DF8"/>
    <w:rsid w:val="00ED2873"/>
    <w:rsid w:val="00ED39AA"/>
    <w:rsid w:val="00ED3B24"/>
    <w:rsid w:val="00ED7497"/>
    <w:rsid w:val="00EE45C7"/>
    <w:rsid w:val="00EF4A4C"/>
    <w:rsid w:val="00F03D32"/>
    <w:rsid w:val="00F06ABE"/>
    <w:rsid w:val="00F26235"/>
    <w:rsid w:val="00F270F8"/>
    <w:rsid w:val="00F27576"/>
    <w:rsid w:val="00F36312"/>
    <w:rsid w:val="00F5082C"/>
    <w:rsid w:val="00F52CCB"/>
    <w:rsid w:val="00F52CD3"/>
    <w:rsid w:val="00F52E99"/>
    <w:rsid w:val="00F60DCB"/>
    <w:rsid w:val="00F80AAA"/>
    <w:rsid w:val="00F93BBA"/>
    <w:rsid w:val="00F95280"/>
    <w:rsid w:val="00FA2F97"/>
    <w:rsid w:val="00FA662A"/>
    <w:rsid w:val="00FB0E0C"/>
    <w:rsid w:val="00FB1229"/>
    <w:rsid w:val="00FC44CE"/>
    <w:rsid w:val="00FD52B1"/>
    <w:rsid w:val="00FF02B9"/>
    <w:rsid w:val="00FF3A66"/>
    <w:rsid w:val="00FF6977"/>
    <w:rsid w:val="0116709E"/>
    <w:rsid w:val="01375C69"/>
    <w:rsid w:val="01606883"/>
    <w:rsid w:val="0167636E"/>
    <w:rsid w:val="019B6940"/>
    <w:rsid w:val="01DA7892"/>
    <w:rsid w:val="01E6036F"/>
    <w:rsid w:val="020D29B1"/>
    <w:rsid w:val="021F7DAD"/>
    <w:rsid w:val="0224444B"/>
    <w:rsid w:val="022D5B4D"/>
    <w:rsid w:val="022D7429"/>
    <w:rsid w:val="02334D90"/>
    <w:rsid w:val="02451328"/>
    <w:rsid w:val="027D25C0"/>
    <w:rsid w:val="02810898"/>
    <w:rsid w:val="02841565"/>
    <w:rsid w:val="02B3222E"/>
    <w:rsid w:val="02F63BA4"/>
    <w:rsid w:val="030A50CE"/>
    <w:rsid w:val="031D0871"/>
    <w:rsid w:val="03283281"/>
    <w:rsid w:val="03331487"/>
    <w:rsid w:val="033555D6"/>
    <w:rsid w:val="034A64CB"/>
    <w:rsid w:val="034A7C32"/>
    <w:rsid w:val="039714E5"/>
    <w:rsid w:val="03BA37F0"/>
    <w:rsid w:val="03BE392F"/>
    <w:rsid w:val="03E13A1E"/>
    <w:rsid w:val="04156ACE"/>
    <w:rsid w:val="042A5AFC"/>
    <w:rsid w:val="043D6DF1"/>
    <w:rsid w:val="043F2279"/>
    <w:rsid w:val="044865A2"/>
    <w:rsid w:val="045347F0"/>
    <w:rsid w:val="04723C0D"/>
    <w:rsid w:val="048D46D7"/>
    <w:rsid w:val="04A01243"/>
    <w:rsid w:val="04C27070"/>
    <w:rsid w:val="04E23C80"/>
    <w:rsid w:val="04FD6D0A"/>
    <w:rsid w:val="050751FC"/>
    <w:rsid w:val="05166806"/>
    <w:rsid w:val="0529508C"/>
    <w:rsid w:val="053A30CA"/>
    <w:rsid w:val="057D25F0"/>
    <w:rsid w:val="05936339"/>
    <w:rsid w:val="059B094E"/>
    <w:rsid w:val="05D76F02"/>
    <w:rsid w:val="062F7E7F"/>
    <w:rsid w:val="0650016B"/>
    <w:rsid w:val="06695ADA"/>
    <w:rsid w:val="067157A9"/>
    <w:rsid w:val="067F52AB"/>
    <w:rsid w:val="068A43D9"/>
    <w:rsid w:val="06AE3E0A"/>
    <w:rsid w:val="06E17425"/>
    <w:rsid w:val="06E81491"/>
    <w:rsid w:val="07081502"/>
    <w:rsid w:val="070E6770"/>
    <w:rsid w:val="072046E3"/>
    <w:rsid w:val="07373C8C"/>
    <w:rsid w:val="073B440B"/>
    <w:rsid w:val="074234A9"/>
    <w:rsid w:val="0747552D"/>
    <w:rsid w:val="07592C30"/>
    <w:rsid w:val="07791E20"/>
    <w:rsid w:val="078177D5"/>
    <w:rsid w:val="07924879"/>
    <w:rsid w:val="07975601"/>
    <w:rsid w:val="079C0E64"/>
    <w:rsid w:val="07D60F62"/>
    <w:rsid w:val="07D83C11"/>
    <w:rsid w:val="07E11726"/>
    <w:rsid w:val="07EA1AE9"/>
    <w:rsid w:val="08002E70"/>
    <w:rsid w:val="086102AD"/>
    <w:rsid w:val="08621901"/>
    <w:rsid w:val="0862400B"/>
    <w:rsid w:val="086251E2"/>
    <w:rsid w:val="08911C02"/>
    <w:rsid w:val="08913549"/>
    <w:rsid w:val="08A302D0"/>
    <w:rsid w:val="08B07B9D"/>
    <w:rsid w:val="08B53A61"/>
    <w:rsid w:val="08DD2784"/>
    <w:rsid w:val="08E76FD5"/>
    <w:rsid w:val="08FD20E7"/>
    <w:rsid w:val="09101BCD"/>
    <w:rsid w:val="09315C91"/>
    <w:rsid w:val="09510BFE"/>
    <w:rsid w:val="097E368B"/>
    <w:rsid w:val="09816EE6"/>
    <w:rsid w:val="099757EE"/>
    <w:rsid w:val="099C263F"/>
    <w:rsid w:val="09A34824"/>
    <w:rsid w:val="09B85302"/>
    <w:rsid w:val="09B94936"/>
    <w:rsid w:val="09D26DBF"/>
    <w:rsid w:val="09F65854"/>
    <w:rsid w:val="09FA4786"/>
    <w:rsid w:val="0A060663"/>
    <w:rsid w:val="0A07422F"/>
    <w:rsid w:val="0A1B49C1"/>
    <w:rsid w:val="0A332FAE"/>
    <w:rsid w:val="0A3D0590"/>
    <w:rsid w:val="0A6456DF"/>
    <w:rsid w:val="0A7416D8"/>
    <w:rsid w:val="0A8945EB"/>
    <w:rsid w:val="0AA6104D"/>
    <w:rsid w:val="0AD15DA3"/>
    <w:rsid w:val="0AE47DFA"/>
    <w:rsid w:val="0AE83958"/>
    <w:rsid w:val="0AF03B7E"/>
    <w:rsid w:val="0BAC1F4C"/>
    <w:rsid w:val="0BBE4F63"/>
    <w:rsid w:val="0BDA530A"/>
    <w:rsid w:val="0BEC3B84"/>
    <w:rsid w:val="0C0247C0"/>
    <w:rsid w:val="0C2203E9"/>
    <w:rsid w:val="0C353302"/>
    <w:rsid w:val="0C496297"/>
    <w:rsid w:val="0C4B6D65"/>
    <w:rsid w:val="0C660E5E"/>
    <w:rsid w:val="0C9A109E"/>
    <w:rsid w:val="0CA74D09"/>
    <w:rsid w:val="0CA9483B"/>
    <w:rsid w:val="0CC17E6B"/>
    <w:rsid w:val="0CC51217"/>
    <w:rsid w:val="0CF66F46"/>
    <w:rsid w:val="0D0A01F7"/>
    <w:rsid w:val="0D1F1C9D"/>
    <w:rsid w:val="0D304438"/>
    <w:rsid w:val="0D735BCC"/>
    <w:rsid w:val="0D7C2119"/>
    <w:rsid w:val="0D920730"/>
    <w:rsid w:val="0DA525ED"/>
    <w:rsid w:val="0DD458EB"/>
    <w:rsid w:val="0DE33D9A"/>
    <w:rsid w:val="0DFF4482"/>
    <w:rsid w:val="0E022677"/>
    <w:rsid w:val="0E064CB1"/>
    <w:rsid w:val="0E0E74F6"/>
    <w:rsid w:val="0E4706D1"/>
    <w:rsid w:val="0E4B6575"/>
    <w:rsid w:val="0E5C2643"/>
    <w:rsid w:val="0E6537C4"/>
    <w:rsid w:val="0E701E1B"/>
    <w:rsid w:val="0E750CB0"/>
    <w:rsid w:val="0E8E6882"/>
    <w:rsid w:val="0E9E24AA"/>
    <w:rsid w:val="0EA06CB7"/>
    <w:rsid w:val="0EC85630"/>
    <w:rsid w:val="0ECF7947"/>
    <w:rsid w:val="0EE50D43"/>
    <w:rsid w:val="0F0377AE"/>
    <w:rsid w:val="0F0E6EE3"/>
    <w:rsid w:val="0F2F5B7D"/>
    <w:rsid w:val="0F706416"/>
    <w:rsid w:val="0F9569FD"/>
    <w:rsid w:val="0FCD5779"/>
    <w:rsid w:val="0FD03A0D"/>
    <w:rsid w:val="0FDB7072"/>
    <w:rsid w:val="0FE71A41"/>
    <w:rsid w:val="0FE8408E"/>
    <w:rsid w:val="10381F40"/>
    <w:rsid w:val="103E696A"/>
    <w:rsid w:val="104869BA"/>
    <w:rsid w:val="10575CC4"/>
    <w:rsid w:val="10C50D41"/>
    <w:rsid w:val="10F36003"/>
    <w:rsid w:val="10F47168"/>
    <w:rsid w:val="110264F1"/>
    <w:rsid w:val="1104198D"/>
    <w:rsid w:val="1105049E"/>
    <w:rsid w:val="115434FF"/>
    <w:rsid w:val="115D3896"/>
    <w:rsid w:val="11927A12"/>
    <w:rsid w:val="119672A4"/>
    <w:rsid w:val="11B62E53"/>
    <w:rsid w:val="11E20E0C"/>
    <w:rsid w:val="12103D4D"/>
    <w:rsid w:val="12345EA5"/>
    <w:rsid w:val="124027F2"/>
    <w:rsid w:val="125A673E"/>
    <w:rsid w:val="12775E6D"/>
    <w:rsid w:val="12A01322"/>
    <w:rsid w:val="12AB0828"/>
    <w:rsid w:val="12DC417E"/>
    <w:rsid w:val="12E05DF5"/>
    <w:rsid w:val="12F072BC"/>
    <w:rsid w:val="133616DD"/>
    <w:rsid w:val="13582BF6"/>
    <w:rsid w:val="13583E3E"/>
    <w:rsid w:val="138356B4"/>
    <w:rsid w:val="13884680"/>
    <w:rsid w:val="13996DA4"/>
    <w:rsid w:val="13A56966"/>
    <w:rsid w:val="13B56A40"/>
    <w:rsid w:val="13D309B3"/>
    <w:rsid w:val="13EC3F05"/>
    <w:rsid w:val="13FC5324"/>
    <w:rsid w:val="140668A9"/>
    <w:rsid w:val="14077D57"/>
    <w:rsid w:val="14342819"/>
    <w:rsid w:val="14965811"/>
    <w:rsid w:val="149A7F8D"/>
    <w:rsid w:val="149E157C"/>
    <w:rsid w:val="14C40986"/>
    <w:rsid w:val="14D92610"/>
    <w:rsid w:val="15001500"/>
    <w:rsid w:val="154A25D7"/>
    <w:rsid w:val="15525604"/>
    <w:rsid w:val="156E5828"/>
    <w:rsid w:val="1581761C"/>
    <w:rsid w:val="15B36E57"/>
    <w:rsid w:val="15B43A33"/>
    <w:rsid w:val="15C02CFA"/>
    <w:rsid w:val="15D02588"/>
    <w:rsid w:val="1627340C"/>
    <w:rsid w:val="163004AD"/>
    <w:rsid w:val="164356BB"/>
    <w:rsid w:val="16644E95"/>
    <w:rsid w:val="166F777C"/>
    <w:rsid w:val="16720754"/>
    <w:rsid w:val="169C21B8"/>
    <w:rsid w:val="169C6B59"/>
    <w:rsid w:val="169F3FA1"/>
    <w:rsid w:val="16BB60A4"/>
    <w:rsid w:val="16C06A73"/>
    <w:rsid w:val="16D06A40"/>
    <w:rsid w:val="16D604C4"/>
    <w:rsid w:val="17327924"/>
    <w:rsid w:val="173A5387"/>
    <w:rsid w:val="174E6977"/>
    <w:rsid w:val="1764372A"/>
    <w:rsid w:val="17725C57"/>
    <w:rsid w:val="17750D16"/>
    <w:rsid w:val="17755246"/>
    <w:rsid w:val="17800AEC"/>
    <w:rsid w:val="17C37A7E"/>
    <w:rsid w:val="18245E40"/>
    <w:rsid w:val="186B461D"/>
    <w:rsid w:val="188B4950"/>
    <w:rsid w:val="18A50243"/>
    <w:rsid w:val="18C7387D"/>
    <w:rsid w:val="18C76564"/>
    <w:rsid w:val="19087A11"/>
    <w:rsid w:val="191B7534"/>
    <w:rsid w:val="192B649B"/>
    <w:rsid w:val="19414C43"/>
    <w:rsid w:val="196C6250"/>
    <w:rsid w:val="196E2C37"/>
    <w:rsid w:val="1974690A"/>
    <w:rsid w:val="19A067B4"/>
    <w:rsid w:val="19C072D3"/>
    <w:rsid w:val="19CA673F"/>
    <w:rsid w:val="19D1279B"/>
    <w:rsid w:val="1A25720B"/>
    <w:rsid w:val="1A510684"/>
    <w:rsid w:val="1A6171B2"/>
    <w:rsid w:val="1AA46BCC"/>
    <w:rsid w:val="1AA65F2A"/>
    <w:rsid w:val="1AA666F2"/>
    <w:rsid w:val="1ADC340E"/>
    <w:rsid w:val="1AED2C78"/>
    <w:rsid w:val="1AEF15D5"/>
    <w:rsid w:val="1B1F6B22"/>
    <w:rsid w:val="1B343FD0"/>
    <w:rsid w:val="1B356551"/>
    <w:rsid w:val="1B377F92"/>
    <w:rsid w:val="1B3E4ABA"/>
    <w:rsid w:val="1B9D2D2C"/>
    <w:rsid w:val="1BAB13EA"/>
    <w:rsid w:val="1BE02644"/>
    <w:rsid w:val="1BF27CE6"/>
    <w:rsid w:val="1BF57F17"/>
    <w:rsid w:val="1C13053F"/>
    <w:rsid w:val="1C162BF5"/>
    <w:rsid w:val="1C212DFA"/>
    <w:rsid w:val="1C3065A1"/>
    <w:rsid w:val="1C32514E"/>
    <w:rsid w:val="1C3C0546"/>
    <w:rsid w:val="1C8449C2"/>
    <w:rsid w:val="1C8676F7"/>
    <w:rsid w:val="1C88573D"/>
    <w:rsid w:val="1C8B5EF5"/>
    <w:rsid w:val="1C9B7764"/>
    <w:rsid w:val="1C9C37E6"/>
    <w:rsid w:val="1CA3081A"/>
    <w:rsid w:val="1CB81673"/>
    <w:rsid w:val="1CEB7EC5"/>
    <w:rsid w:val="1CFA6967"/>
    <w:rsid w:val="1D0A50BD"/>
    <w:rsid w:val="1D1F5409"/>
    <w:rsid w:val="1D2A3DAB"/>
    <w:rsid w:val="1D46542E"/>
    <w:rsid w:val="1D576A39"/>
    <w:rsid w:val="1D6359BB"/>
    <w:rsid w:val="1D664936"/>
    <w:rsid w:val="1D71729C"/>
    <w:rsid w:val="1D981331"/>
    <w:rsid w:val="1DAB3C89"/>
    <w:rsid w:val="1DC06E93"/>
    <w:rsid w:val="1DC30C84"/>
    <w:rsid w:val="1DCC77C2"/>
    <w:rsid w:val="1DCF4890"/>
    <w:rsid w:val="1DFB57EB"/>
    <w:rsid w:val="1E0062C5"/>
    <w:rsid w:val="1E012938"/>
    <w:rsid w:val="1E083423"/>
    <w:rsid w:val="1E416F76"/>
    <w:rsid w:val="1E4F15C4"/>
    <w:rsid w:val="1E601A36"/>
    <w:rsid w:val="1E665E93"/>
    <w:rsid w:val="1E6D0B8E"/>
    <w:rsid w:val="1E6E4153"/>
    <w:rsid w:val="1E740910"/>
    <w:rsid w:val="1E765E3F"/>
    <w:rsid w:val="1E8A1B7B"/>
    <w:rsid w:val="1E9A6CF6"/>
    <w:rsid w:val="1ED05FDD"/>
    <w:rsid w:val="1EDA4565"/>
    <w:rsid w:val="1F0115E6"/>
    <w:rsid w:val="1F5154E0"/>
    <w:rsid w:val="1F550885"/>
    <w:rsid w:val="1F7E285F"/>
    <w:rsid w:val="1F8334EC"/>
    <w:rsid w:val="1F8B73B9"/>
    <w:rsid w:val="1F9C6A9E"/>
    <w:rsid w:val="1FC0508F"/>
    <w:rsid w:val="1FC74E2E"/>
    <w:rsid w:val="1FD17519"/>
    <w:rsid w:val="1FDE37FF"/>
    <w:rsid w:val="1FE87CF6"/>
    <w:rsid w:val="1FF45687"/>
    <w:rsid w:val="20142293"/>
    <w:rsid w:val="202875D1"/>
    <w:rsid w:val="20344356"/>
    <w:rsid w:val="203B6405"/>
    <w:rsid w:val="204042C4"/>
    <w:rsid w:val="204434A6"/>
    <w:rsid w:val="2045178F"/>
    <w:rsid w:val="20501955"/>
    <w:rsid w:val="208E2CB0"/>
    <w:rsid w:val="20C7192F"/>
    <w:rsid w:val="20C94ACB"/>
    <w:rsid w:val="20E424AA"/>
    <w:rsid w:val="20EF78B9"/>
    <w:rsid w:val="20F3606E"/>
    <w:rsid w:val="211F36DB"/>
    <w:rsid w:val="213009EF"/>
    <w:rsid w:val="213D75BE"/>
    <w:rsid w:val="213F7AB1"/>
    <w:rsid w:val="21450C02"/>
    <w:rsid w:val="21614F5F"/>
    <w:rsid w:val="21754B83"/>
    <w:rsid w:val="217A33A1"/>
    <w:rsid w:val="21872636"/>
    <w:rsid w:val="218F2648"/>
    <w:rsid w:val="21AB5C9B"/>
    <w:rsid w:val="21B427AB"/>
    <w:rsid w:val="21BD46E0"/>
    <w:rsid w:val="220760DF"/>
    <w:rsid w:val="227C0C68"/>
    <w:rsid w:val="227D1F07"/>
    <w:rsid w:val="22AE5DFE"/>
    <w:rsid w:val="22BB6725"/>
    <w:rsid w:val="22FE5173"/>
    <w:rsid w:val="23025E80"/>
    <w:rsid w:val="23554959"/>
    <w:rsid w:val="235C31B0"/>
    <w:rsid w:val="23B95E70"/>
    <w:rsid w:val="23C16FD2"/>
    <w:rsid w:val="242C445B"/>
    <w:rsid w:val="2431557B"/>
    <w:rsid w:val="2476583E"/>
    <w:rsid w:val="247E04BE"/>
    <w:rsid w:val="2480366F"/>
    <w:rsid w:val="248B6BF0"/>
    <w:rsid w:val="24975A35"/>
    <w:rsid w:val="24A26904"/>
    <w:rsid w:val="24A451C8"/>
    <w:rsid w:val="24B0777F"/>
    <w:rsid w:val="24B80E3D"/>
    <w:rsid w:val="24BA3A6C"/>
    <w:rsid w:val="24BF5778"/>
    <w:rsid w:val="24C14262"/>
    <w:rsid w:val="24DB11B1"/>
    <w:rsid w:val="24DB1DC1"/>
    <w:rsid w:val="252F7DB0"/>
    <w:rsid w:val="254579AD"/>
    <w:rsid w:val="25550995"/>
    <w:rsid w:val="259054AC"/>
    <w:rsid w:val="25916749"/>
    <w:rsid w:val="25BF5294"/>
    <w:rsid w:val="25E5097B"/>
    <w:rsid w:val="25ED1CE2"/>
    <w:rsid w:val="260366CA"/>
    <w:rsid w:val="26190B1E"/>
    <w:rsid w:val="261954E5"/>
    <w:rsid w:val="265C359B"/>
    <w:rsid w:val="26B25A04"/>
    <w:rsid w:val="26B5108C"/>
    <w:rsid w:val="26B63C71"/>
    <w:rsid w:val="26E86A48"/>
    <w:rsid w:val="27101EDB"/>
    <w:rsid w:val="27450F96"/>
    <w:rsid w:val="27A03254"/>
    <w:rsid w:val="27A230C5"/>
    <w:rsid w:val="27A851CF"/>
    <w:rsid w:val="27F6755B"/>
    <w:rsid w:val="280D2A4E"/>
    <w:rsid w:val="28136D52"/>
    <w:rsid w:val="28210959"/>
    <w:rsid w:val="2835156C"/>
    <w:rsid w:val="285E7742"/>
    <w:rsid w:val="285F589C"/>
    <w:rsid w:val="2860075F"/>
    <w:rsid w:val="286B3A91"/>
    <w:rsid w:val="288E7537"/>
    <w:rsid w:val="28B61B29"/>
    <w:rsid w:val="28CF57EE"/>
    <w:rsid w:val="28D51CE9"/>
    <w:rsid w:val="28E0382C"/>
    <w:rsid w:val="28FB2940"/>
    <w:rsid w:val="2935387C"/>
    <w:rsid w:val="295642C7"/>
    <w:rsid w:val="29923BE6"/>
    <w:rsid w:val="29C56714"/>
    <w:rsid w:val="29D70027"/>
    <w:rsid w:val="29E4565C"/>
    <w:rsid w:val="2A0B1A54"/>
    <w:rsid w:val="2A217644"/>
    <w:rsid w:val="2A5522DC"/>
    <w:rsid w:val="2A64301F"/>
    <w:rsid w:val="2A6D7AE4"/>
    <w:rsid w:val="2A81126C"/>
    <w:rsid w:val="2A9A509F"/>
    <w:rsid w:val="2A9F2DB8"/>
    <w:rsid w:val="2AAD6003"/>
    <w:rsid w:val="2ABE75C5"/>
    <w:rsid w:val="2AC54EDF"/>
    <w:rsid w:val="2ADE1592"/>
    <w:rsid w:val="2AE72478"/>
    <w:rsid w:val="2AEC4A69"/>
    <w:rsid w:val="2AFB42C1"/>
    <w:rsid w:val="2AFE6BB2"/>
    <w:rsid w:val="2AFF547A"/>
    <w:rsid w:val="2B0F5BE3"/>
    <w:rsid w:val="2B194010"/>
    <w:rsid w:val="2B1A0A86"/>
    <w:rsid w:val="2B4104F9"/>
    <w:rsid w:val="2B4433B4"/>
    <w:rsid w:val="2B563FA5"/>
    <w:rsid w:val="2B766889"/>
    <w:rsid w:val="2B8F7412"/>
    <w:rsid w:val="2BAC62BA"/>
    <w:rsid w:val="2BB53A99"/>
    <w:rsid w:val="2BB62C14"/>
    <w:rsid w:val="2BB82208"/>
    <w:rsid w:val="2BC1544C"/>
    <w:rsid w:val="2BF25A55"/>
    <w:rsid w:val="2BF83122"/>
    <w:rsid w:val="2C19778A"/>
    <w:rsid w:val="2C4D4422"/>
    <w:rsid w:val="2C61592A"/>
    <w:rsid w:val="2C6445F1"/>
    <w:rsid w:val="2CE81AFA"/>
    <w:rsid w:val="2CF23348"/>
    <w:rsid w:val="2CF517E8"/>
    <w:rsid w:val="2D0212AF"/>
    <w:rsid w:val="2D0721CE"/>
    <w:rsid w:val="2D1E3FCA"/>
    <w:rsid w:val="2D2D0FB8"/>
    <w:rsid w:val="2D5369A4"/>
    <w:rsid w:val="2D553E12"/>
    <w:rsid w:val="2D563294"/>
    <w:rsid w:val="2D572DE8"/>
    <w:rsid w:val="2D7657B0"/>
    <w:rsid w:val="2D773ED3"/>
    <w:rsid w:val="2D9576BA"/>
    <w:rsid w:val="2DA92533"/>
    <w:rsid w:val="2DC542FD"/>
    <w:rsid w:val="2DD3799A"/>
    <w:rsid w:val="2E027319"/>
    <w:rsid w:val="2E740C9C"/>
    <w:rsid w:val="2E912614"/>
    <w:rsid w:val="2E9C6873"/>
    <w:rsid w:val="2EB82B9B"/>
    <w:rsid w:val="2EDB211E"/>
    <w:rsid w:val="2FA761CB"/>
    <w:rsid w:val="2FA84CA0"/>
    <w:rsid w:val="2FAF734F"/>
    <w:rsid w:val="2FB74538"/>
    <w:rsid w:val="2FB74EAF"/>
    <w:rsid w:val="2FD302BA"/>
    <w:rsid w:val="2FF16930"/>
    <w:rsid w:val="2FFC6173"/>
    <w:rsid w:val="30255652"/>
    <w:rsid w:val="302A5959"/>
    <w:rsid w:val="305B0C4B"/>
    <w:rsid w:val="306F34C7"/>
    <w:rsid w:val="30BB3A94"/>
    <w:rsid w:val="30EB695C"/>
    <w:rsid w:val="31024AE6"/>
    <w:rsid w:val="311474F0"/>
    <w:rsid w:val="31232744"/>
    <w:rsid w:val="313F60CD"/>
    <w:rsid w:val="316C164E"/>
    <w:rsid w:val="31AC33EA"/>
    <w:rsid w:val="31B469D0"/>
    <w:rsid w:val="31D64F96"/>
    <w:rsid w:val="31EC476A"/>
    <w:rsid w:val="31F2254D"/>
    <w:rsid w:val="32017181"/>
    <w:rsid w:val="3202578C"/>
    <w:rsid w:val="326D3B31"/>
    <w:rsid w:val="327021FA"/>
    <w:rsid w:val="3274558C"/>
    <w:rsid w:val="328238D1"/>
    <w:rsid w:val="328653A0"/>
    <w:rsid w:val="329C1DF0"/>
    <w:rsid w:val="329E2BA3"/>
    <w:rsid w:val="32AB7049"/>
    <w:rsid w:val="32AE7A75"/>
    <w:rsid w:val="32D6588B"/>
    <w:rsid w:val="32E032B1"/>
    <w:rsid w:val="32EF11A3"/>
    <w:rsid w:val="32EF2028"/>
    <w:rsid w:val="33011C41"/>
    <w:rsid w:val="333C6A3D"/>
    <w:rsid w:val="33422634"/>
    <w:rsid w:val="33644CFD"/>
    <w:rsid w:val="33774568"/>
    <w:rsid w:val="339A5F22"/>
    <w:rsid w:val="33A0028D"/>
    <w:rsid w:val="33A570FA"/>
    <w:rsid w:val="33AC30BB"/>
    <w:rsid w:val="33D32C1C"/>
    <w:rsid w:val="33D92429"/>
    <w:rsid w:val="33E92097"/>
    <w:rsid w:val="343B3818"/>
    <w:rsid w:val="343C1893"/>
    <w:rsid w:val="349C3550"/>
    <w:rsid w:val="35337105"/>
    <w:rsid w:val="358526AE"/>
    <w:rsid w:val="359E0E2F"/>
    <w:rsid w:val="35B54B22"/>
    <w:rsid w:val="35C526D7"/>
    <w:rsid w:val="35DF0F8E"/>
    <w:rsid w:val="35E83CBD"/>
    <w:rsid w:val="35EC4950"/>
    <w:rsid w:val="35EF293B"/>
    <w:rsid w:val="35F13A2A"/>
    <w:rsid w:val="360453EB"/>
    <w:rsid w:val="361633A9"/>
    <w:rsid w:val="362C0965"/>
    <w:rsid w:val="36495F37"/>
    <w:rsid w:val="36523501"/>
    <w:rsid w:val="366A6E58"/>
    <w:rsid w:val="369362A1"/>
    <w:rsid w:val="36A56302"/>
    <w:rsid w:val="371F34FF"/>
    <w:rsid w:val="3733613F"/>
    <w:rsid w:val="37366041"/>
    <w:rsid w:val="373D0F4E"/>
    <w:rsid w:val="37625DAE"/>
    <w:rsid w:val="376C695F"/>
    <w:rsid w:val="377717B0"/>
    <w:rsid w:val="379D7A74"/>
    <w:rsid w:val="37A03DDA"/>
    <w:rsid w:val="37CE405B"/>
    <w:rsid w:val="37DC389E"/>
    <w:rsid w:val="37E41DF1"/>
    <w:rsid w:val="37FC364E"/>
    <w:rsid w:val="38463090"/>
    <w:rsid w:val="3882116E"/>
    <w:rsid w:val="388234B9"/>
    <w:rsid w:val="388B1F6B"/>
    <w:rsid w:val="38940015"/>
    <w:rsid w:val="38973473"/>
    <w:rsid w:val="38A56CC9"/>
    <w:rsid w:val="38C05F24"/>
    <w:rsid w:val="38D750B8"/>
    <w:rsid w:val="38F2240C"/>
    <w:rsid w:val="39171CC0"/>
    <w:rsid w:val="393F39C1"/>
    <w:rsid w:val="3941283A"/>
    <w:rsid w:val="395212E1"/>
    <w:rsid w:val="39637CBE"/>
    <w:rsid w:val="396E3680"/>
    <w:rsid w:val="39916D1C"/>
    <w:rsid w:val="39976574"/>
    <w:rsid w:val="399D4A71"/>
    <w:rsid w:val="39A165F9"/>
    <w:rsid w:val="39B72706"/>
    <w:rsid w:val="39C84E5A"/>
    <w:rsid w:val="39FA0921"/>
    <w:rsid w:val="3A3457E8"/>
    <w:rsid w:val="3A3F0320"/>
    <w:rsid w:val="3A536E24"/>
    <w:rsid w:val="3A565A98"/>
    <w:rsid w:val="3A810ECA"/>
    <w:rsid w:val="3A871F8A"/>
    <w:rsid w:val="3AA31206"/>
    <w:rsid w:val="3AB33FA4"/>
    <w:rsid w:val="3AB57780"/>
    <w:rsid w:val="3AC65AD2"/>
    <w:rsid w:val="3ACF5A26"/>
    <w:rsid w:val="3B1B509F"/>
    <w:rsid w:val="3B3575B2"/>
    <w:rsid w:val="3B4764C1"/>
    <w:rsid w:val="3B54731C"/>
    <w:rsid w:val="3B642A46"/>
    <w:rsid w:val="3B67428D"/>
    <w:rsid w:val="3B6C71B5"/>
    <w:rsid w:val="3B713350"/>
    <w:rsid w:val="3B7A26BE"/>
    <w:rsid w:val="3B8361FC"/>
    <w:rsid w:val="3BE663FD"/>
    <w:rsid w:val="3BE767A5"/>
    <w:rsid w:val="3BF64543"/>
    <w:rsid w:val="3C1701DB"/>
    <w:rsid w:val="3C2E25AC"/>
    <w:rsid w:val="3C33699A"/>
    <w:rsid w:val="3C3D2D77"/>
    <w:rsid w:val="3C41291B"/>
    <w:rsid w:val="3C447C27"/>
    <w:rsid w:val="3C463501"/>
    <w:rsid w:val="3C4E3440"/>
    <w:rsid w:val="3C513A23"/>
    <w:rsid w:val="3C95715B"/>
    <w:rsid w:val="3CCA47F2"/>
    <w:rsid w:val="3DAF7BC9"/>
    <w:rsid w:val="3DE011BC"/>
    <w:rsid w:val="3DF332F6"/>
    <w:rsid w:val="3E225ED0"/>
    <w:rsid w:val="3E29108F"/>
    <w:rsid w:val="3E304B29"/>
    <w:rsid w:val="3E763568"/>
    <w:rsid w:val="3EB341AB"/>
    <w:rsid w:val="3EC20226"/>
    <w:rsid w:val="3EC451E1"/>
    <w:rsid w:val="3EC47F80"/>
    <w:rsid w:val="3ED62B66"/>
    <w:rsid w:val="3F1E63B0"/>
    <w:rsid w:val="3F2226EC"/>
    <w:rsid w:val="3F601C75"/>
    <w:rsid w:val="3F631033"/>
    <w:rsid w:val="3FAC6CE4"/>
    <w:rsid w:val="3FDA48AC"/>
    <w:rsid w:val="400A7AA6"/>
    <w:rsid w:val="402A3DD6"/>
    <w:rsid w:val="402E363B"/>
    <w:rsid w:val="403A7A13"/>
    <w:rsid w:val="40883F9A"/>
    <w:rsid w:val="40885098"/>
    <w:rsid w:val="40A0447F"/>
    <w:rsid w:val="40A6403B"/>
    <w:rsid w:val="40B47F82"/>
    <w:rsid w:val="40BD6D76"/>
    <w:rsid w:val="40C31767"/>
    <w:rsid w:val="40D11C13"/>
    <w:rsid w:val="40D14228"/>
    <w:rsid w:val="40E32648"/>
    <w:rsid w:val="40F5357F"/>
    <w:rsid w:val="413F338F"/>
    <w:rsid w:val="415D3A83"/>
    <w:rsid w:val="41A50FA5"/>
    <w:rsid w:val="41BA23DB"/>
    <w:rsid w:val="41CC07BC"/>
    <w:rsid w:val="41DD5AAF"/>
    <w:rsid w:val="41E11C3A"/>
    <w:rsid w:val="420569A4"/>
    <w:rsid w:val="421436BB"/>
    <w:rsid w:val="4246080B"/>
    <w:rsid w:val="424D2C60"/>
    <w:rsid w:val="42A425DA"/>
    <w:rsid w:val="42A63F26"/>
    <w:rsid w:val="42CE24FD"/>
    <w:rsid w:val="42E27DDC"/>
    <w:rsid w:val="42F302DD"/>
    <w:rsid w:val="42F30E78"/>
    <w:rsid w:val="431F0F53"/>
    <w:rsid w:val="43260C43"/>
    <w:rsid w:val="438034F8"/>
    <w:rsid w:val="43867EC3"/>
    <w:rsid w:val="4388321A"/>
    <w:rsid w:val="439D7926"/>
    <w:rsid w:val="43FD19B4"/>
    <w:rsid w:val="441A31FF"/>
    <w:rsid w:val="446A3759"/>
    <w:rsid w:val="446B4961"/>
    <w:rsid w:val="449428DA"/>
    <w:rsid w:val="44B16D80"/>
    <w:rsid w:val="45132E7E"/>
    <w:rsid w:val="45590D5F"/>
    <w:rsid w:val="45692DFD"/>
    <w:rsid w:val="45833C71"/>
    <w:rsid w:val="459F4D60"/>
    <w:rsid w:val="45A046DF"/>
    <w:rsid w:val="45AB47E4"/>
    <w:rsid w:val="45B725A0"/>
    <w:rsid w:val="460E296B"/>
    <w:rsid w:val="462E25CA"/>
    <w:rsid w:val="46303A17"/>
    <w:rsid w:val="46385ADC"/>
    <w:rsid w:val="465A58CC"/>
    <w:rsid w:val="46931FE6"/>
    <w:rsid w:val="46A21597"/>
    <w:rsid w:val="46D637ED"/>
    <w:rsid w:val="46DD3F38"/>
    <w:rsid w:val="46F16F1D"/>
    <w:rsid w:val="46FD2CBF"/>
    <w:rsid w:val="47000E12"/>
    <w:rsid w:val="472064BA"/>
    <w:rsid w:val="472910BD"/>
    <w:rsid w:val="47553E8E"/>
    <w:rsid w:val="477C293C"/>
    <w:rsid w:val="47B04C42"/>
    <w:rsid w:val="47B440D5"/>
    <w:rsid w:val="47BD075D"/>
    <w:rsid w:val="47CA2F97"/>
    <w:rsid w:val="47D84675"/>
    <w:rsid w:val="47E17B3A"/>
    <w:rsid w:val="481379C4"/>
    <w:rsid w:val="481947FE"/>
    <w:rsid w:val="483B043E"/>
    <w:rsid w:val="4859593F"/>
    <w:rsid w:val="486B0826"/>
    <w:rsid w:val="486B1D8E"/>
    <w:rsid w:val="48A93D74"/>
    <w:rsid w:val="48B63E7D"/>
    <w:rsid w:val="48D139F6"/>
    <w:rsid w:val="48E1594F"/>
    <w:rsid w:val="48F56DD6"/>
    <w:rsid w:val="491916C6"/>
    <w:rsid w:val="49395BF0"/>
    <w:rsid w:val="49430CBA"/>
    <w:rsid w:val="49573AC8"/>
    <w:rsid w:val="49673563"/>
    <w:rsid w:val="49956961"/>
    <w:rsid w:val="49A67E66"/>
    <w:rsid w:val="49AA7971"/>
    <w:rsid w:val="49B33630"/>
    <w:rsid w:val="49FE240E"/>
    <w:rsid w:val="4A141151"/>
    <w:rsid w:val="4A190B1F"/>
    <w:rsid w:val="4A2829B5"/>
    <w:rsid w:val="4A316318"/>
    <w:rsid w:val="4A643B84"/>
    <w:rsid w:val="4A777A6A"/>
    <w:rsid w:val="4A7D4746"/>
    <w:rsid w:val="4AA1664D"/>
    <w:rsid w:val="4ABA64B9"/>
    <w:rsid w:val="4AC9062D"/>
    <w:rsid w:val="4AE52C42"/>
    <w:rsid w:val="4AF2187D"/>
    <w:rsid w:val="4AFC3953"/>
    <w:rsid w:val="4B1E385E"/>
    <w:rsid w:val="4B3A05D5"/>
    <w:rsid w:val="4B6870F9"/>
    <w:rsid w:val="4B6C2969"/>
    <w:rsid w:val="4B6E39B5"/>
    <w:rsid w:val="4BCF6DCB"/>
    <w:rsid w:val="4BD06B38"/>
    <w:rsid w:val="4BDF321A"/>
    <w:rsid w:val="4C0065CE"/>
    <w:rsid w:val="4C18241E"/>
    <w:rsid w:val="4C227943"/>
    <w:rsid w:val="4C2D23D9"/>
    <w:rsid w:val="4C4373DD"/>
    <w:rsid w:val="4C472142"/>
    <w:rsid w:val="4C567C12"/>
    <w:rsid w:val="4C5F22C4"/>
    <w:rsid w:val="4C760506"/>
    <w:rsid w:val="4C7B72C5"/>
    <w:rsid w:val="4D110676"/>
    <w:rsid w:val="4D721400"/>
    <w:rsid w:val="4D961FE1"/>
    <w:rsid w:val="4DC86CD0"/>
    <w:rsid w:val="4DD62C1F"/>
    <w:rsid w:val="4DF46D27"/>
    <w:rsid w:val="4E367509"/>
    <w:rsid w:val="4E4168DE"/>
    <w:rsid w:val="4E5211BA"/>
    <w:rsid w:val="4E90713C"/>
    <w:rsid w:val="4E9D1D1E"/>
    <w:rsid w:val="4EDE412D"/>
    <w:rsid w:val="4F0E0B1D"/>
    <w:rsid w:val="4F2A73BD"/>
    <w:rsid w:val="4F67623C"/>
    <w:rsid w:val="4FBD41CA"/>
    <w:rsid w:val="4FD246D2"/>
    <w:rsid w:val="4FD53A29"/>
    <w:rsid w:val="4FF824C4"/>
    <w:rsid w:val="50077D56"/>
    <w:rsid w:val="50131451"/>
    <w:rsid w:val="50545E01"/>
    <w:rsid w:val="507558B8"/>
    <w:rsid w:val="50831BFE"/>
    <w:rsid w:val="50B52FE4"/>
    <w:rsid w:val="50B82FDA"/>
    <w:rsid w:val="50BF2E54"/>
    <w:rsid w:val="51064F90"/>
    <w:rsid w:val="51340212"/>
    <w:rsid w:val="51390BE4"/>
    <w:rsid w:val="515721AE"/>
    <w:rsid w:val="51A95109"/>
    <w:rsid w:val="51C804DE"/>
    <w:rsid w:val="51CF0D4C"/>
    <w:rsid w:val="51E12FF8"/>
    <w:rsid w:val="51E33826"/>
    <w:rsid w:val="51E71C22"/>
    <w:rsid w:val="520C6B50"/>
    <w:rsid w:val="522E62F3"/>
    <w:rsid w:val="528E702B"/>
    <w:rsid w:val="52A33960"/>
    <w:rsid w:val="52B476CE"/>
    <w:rsid w:val="52F47A95"/>
    <w:rsid w:val="5303107D"/>
    <w:rsid w:val="531645CA"/>
    <w:rsid w:val="531F2A96"/>
    <w:rsid w:val="53262EC9"/>
    <w:rsid w:val="53734149"/>
    <w:rsid w:val="53932760"/>
    <w:rsid w:val="539873E7"/>
    <w:rsid w:val="53B46D0C"/>
    <w:rsid w:val="53CA03E3"/>
    <w:rsid w:val="53DE3EA2"/>
    <w:rsid w:val="53FB724A"/>
    <w:rsid w:val="54087353"/>
    <w:rsid w:val="54375044"/>
    <w:rsid w:val="544232E7"/>
    <w:rsid w:val="54557110"/>
    <w:rsid w:val="54960EF2"/>
    <w:rsid w:val="549661B6"/>
    <w:rsid w:val="54D24E79"/>
    <w:rsid w:val="5503429F"/>
    <w:rsid w:val="551027C6"/>
    <w:rsid w:val="552F7315"/>
    <w:rsid w:val="554B0FDD"/>
    <w:rsid w:val="55631D2D"/>
    <w:rsid w:val="55774994"/>
    <w:rsid w:val="55BB1E97"/>
    <w:rsid w:val="55C8709D"/>
    <w:rsid w:val="55D119FC"/>
    <w:rsid w:val="560509A3"/>
    <w:rsid w:val="56250237"/>
    <w:rsid w:val="564569EB"/>
    <w:rsid w:val="565C35D8"/>
    <w:rsid w:val="56AB5944"/>
    <w:rsid w:val="56D952A8"/>
    <w:rsid w:val="56F645A2"/>
    <w:rsid w:val="57214861"/>
    <w:rsid w:val="572B4616"/>
    <w:rsid w:val="573E638D"/>
    <w:rsid w:val="57541EAD"/>
    <w:rsid w:val="577465D8"/>
    <w:rsid w:val="57AE5029"/>
    <w:rsid w:val="57C23486"/>
    <w:rsid w:val="57D123D3"/>
    <w:rsid w:val="57DE3D7D"/>
    <w:rsid w:val="5807247D"/>
    <w:rsid w:val="58117CC1"/>
    <w:rsid w:val="582C3384"/>
    <w:rsid w:val="58604862"/>
    <w:rsid w:val="58624A55"/>
    <w:rsid w:val="588A1F4D"/>
    <w:rsid w:val="58CB00BC"/>
    <w:rsid w:val="59216A89"/>
    <w:rsid w:val="59A175DF"/>
    <w:rsid w:val="59B819C2"/>
    <w:rsid w:val="59BC2DFB"/>
    <w:rsid w:val="59C7668D"/>
    <w:rsid w:val="59FC4729"/>
    <w:rsid w:val="59FF697B"/>
    <w:rsid w:val="5A0B75E4"/>
    <w:rsid w:val="5A4F1A7D"/>
    <w:rsid w:val="5A575BFF"/>
    <w:rsid w:val="5A77586F"/>
    <w:rsid w:val="5AA12CBD"/>
    <w:rsid w:val="5ACA65CD"/>
    <w:rsid w:val="5ACC7A53"/>
    <w:rsid w:val="5AE51758"/>
    <w:rsid w:val="5B072D7E"/>
    <w:rsid w:val="5B1A0283"/>
    <w:rsid w:val="5B311FF6"/>
    <w:rsid w:val="5B4A5024"/>
    <w:rsid w:val="5B4D21D7"/>
    <w:rsid w:val="5B581F93"/>
    <w:rsid w:val="5B6753BA"/>
    <w:rsid w:val="5B6B529B"/>
    <w:rsid w:val="5B8D63AC"/>
    <w:rsid w:val="5BB250E2"/>
    <w:rsid w:val="5BB3320D"/>
    <w:rsid w:val="5BC31A45"/>
    <w:rsid w:val="5BC772C9"/>
    <w:rsid w:val="5BF50377"/>
    <w:rsid w:val="5C465FA2"/>
    <w:rsid w:val="5C544090"/>
    <w:rsid w:val="5C6E6AF1"/>
    <w:rsid w:val="5C6FDA0C"/>
    <w:rsid w:val="5C726BB6"/>
    <w:rsid w:val="5C7322D1"/>
    <w:rsid w:val="5C791583"/>
    <w:rsid w:val="5CA550F6"/>
    <w:rsid w:val="5CEF4070"/>
    <w:rsid w:val="5CF403DE"/>
    <w:rsid w:val="5CFC28A8"/>
    <w:rsid w:val="5D246FFC"/>
    <w:rsid w:val="5D346F53"/>
    <w:rsid w:val="5D36426B"/>
    <w:rsid w:val="5D5F7720"/>
    <w:rsid w:val="5D643538"/>
    <w:rsid w:val="5DDA696A"/>
    <w:rsid w:val="5E2303C0"/>
    <w:rsid w:val="5E410FFD"/>
    <w:rsid w:val="5E544606"/>
    <w:rsid w:val="5E57094E"/>
    <w:rsid w:val="5E8E05EA"/>
    <w:rsid w:val="5EDE6011"/>
    <w:rsid w:val="5EE85E0A"/>
    <w:rsid w:val="5EFB61FA"/>
    <w:rsid w:val="5F2C7D02"/>
    <w:rsid w:val="5F7663E9"/>
    <w:rsid w:val="5F767734"/>
    <w:rsid w:val="5F884159"/>
    <w:rsid w:val="5FB656F9"/>
    <w:rsid w:val="5FBC2CFA"/>
    <w:rsid w:val="5FC53466"/>
    <w:rsid w:val="5FD13015"/>
    <w:rsid w:val="60190EE3"/>
    <w:rsid w:val="601A422B"/>
    <w:rsid w:val="601D2D07"/>
    <w:rsid w:val="601D48F2"/>
    <w:rsid w:val="601D656F"/>
    <w:rsid w:val="601E31F8"/>
    <w:rsid w:val="60266584"/>
    <w:rsid w:val="602832C7"/>
    <w:rsid w:val="603D1F50"/>
    <w:rsid w:val="603F673E"/>
    <w:rsid w:val="605467C6"/>
    <w:rsid w:val="60A86D98"/>
    <w:rsid w:val="60D605A1"/>
    <w:rsid w:val="61464F6C"/>
    <w:rsid w:val="61515A7F"/>
    <w:rsid w:val="61633E93"/>
    <w:rsid w:val="61A4558D"/>
    <w:rsid w:val="61C32B70"/>
    <w:rsid w:val="61DA2F01"/>
    <w:rsid w:val="61E045CD"/>
    <w:rsid w:val="61E23930"/>
    <w:rsid w:val="62016875"/>
    <w:rsid w:val="62130596"/>
    <w:rsid w:val="621500FF"/>
    <w:rsid w:val="623E052A"/>
    <w:rsid w:val="62733A2C"/>
    <w:rsid w:val="628B7263"/>
    <w:rsid w:val="62902D58"/>
    <w:rsid w:val="62AE4BDA"/>
    <w:rsid w:val="62C97640"/>
    <w:rsid w:val="62D27C48"/>
    <w:rsid w:val="63001DEA"/>
    <w:rsid w:val="6307315E"/>
    <w:rsid w:val="63184211"/>
    <w:rsid w:val="63193BD8"/>
    <w:rsid w:val="631B5AD9"/>
    <w:rsid w:val="631D301E"/>
    <w:rsid w:val="63313C2F"/>
    <w:rsid w:val="635C575B"/>
    <w:rsid w:val="636863CF"/>
    <w:rsid w:val="63715219"/>
    <w:rsid w:val="63752C12"/>
    <w:rsid w:val="638C1080"/>
    <w:rsid w:val="63B413CF"/>
    <w:rsid w:val="63D4721A"/>
    <w:rsid w:val="63FF57A9"/>
    <w:rsid w:val="63FF6C27"/>
    <w:rsid w:val="6405263C"/>
    <w:rsid w:val="642454D9"/>
    <w:rsid w:val="642E7EC1"/>
    <w:rsid w:val="6464336B"/>
    <w:rsid w:val="65065913"/>
    <w:rsid w:val="65347F0C"/>
    <w:rsid w:val="653C5193"/>
    <w:rsid w:val="655C7828"/>
    <w:rsid w:val="6590748F"/>
    <w:rsid w:val="65CB1350"/>
    <w:rsid w:val="66330E7B"/>
    <w:rsid w:val="66351622"/>
    <w:rsid w:val="665A2304"/>
    <w:rsid w:val="667D4B6F"/>
    <w:rsid w:val="6692787F"/>
    <w:rsid w:val="669C6349"/>
    <w:rsid w:val="66A80AC6"/>
    <w:rsid w:val="67144976"/>
    <w:rsid w:val="671454F6"/>
    <w:rsid w:val="67202357"/>
    <w:rsid w:val="674C6101"/>
    <w:rsid w:val="67603F26"/>
    <w:rsid w:val="67651E0C"/>
    <w:rsid w:val="676C596A"/>
    <w:rsid w:val="67897999"/>
    <w:rsid w:val="67D3264E"/>
    <w:rsid w:val="67D92F83"/>
    <w:rsid w:val="67EC027D"/>
    <w:rsid w:val="67F92D2E"/>
    <w:rsid w:val="68024DD3"/>
    <w:rsid w:val="680F332B"/>
    <w:rsid w:val="6832253F"/>
    <w:rsid w:val="68324ACD"/>
    <w:rsid w:val="685C3C4D"/>
    <w:rsid w:val="687102AD"/>
    <w:rsid w:val="68724B40"/>
    <w:rsid w:val="68902798"/>
    <w:rsid w:val="690C7142"/>
    <w:rsid w:val="69412846"/>
    <w:rsid w:val="695907E9"/>
    <w:rsid w:val="6964290E"/>
    <w:rsid w:val="698304CD"/>
    <w:rsid w:val="698950BB"/>
    <w:rsid w:val="69932BAE"/>
    <w:rsid w:val="69A006B2"/>
    <w:rsid w:val="69A16FDB"/>
    <w:rsid w:val="69BA6060"/>
    <w:rsid w:val="69ED5B2B"/>
    <w:rsid w:val="6A1775E8"/>
    <w:rsid w:val="6A223F21"/>
    <w:rsid w:val="6A4771F0"/>
    <w:rsid w:val="6A641277"/>
    <w:rsid w:val="6A985E45"/>
    <w:rsid w:val="6A99742E"/>
    <w:rsid w:val="6AAD0001"/>
    <w:rsid w:val="6ACC3B62"/>
    <w:rsid w:val="6AE30427"/>
    <w:rsid w:val="6B1B05C6"/>
    <w:rsid w:val="6B35684E"/>
    <w:rsid w:val="6B6C1D6A"/>
    <w:rsid w:val="6B706DFD"/>
    <w:rsid w:val="6B735145"/>
    <w:rsid w:val="6B76701F"/>
    <w:rsid w:val="6BB64940"/>
    <w:rsid w:val="6BBA5ABD"/>
    <w:rsid w:val="6BC04151"/>
    <w:rsid w:val="6BC51E8F"/>
    <w:rsid w:val="6BFF6B53"/>
    <w:rsid w:val="6C161EDD"/>
    <w:rsid w:val="6C17534B"/>
    <w:rsid w:val="6C52384A"/>
    <w:rsid w:val="6C5C1478"/>
    <w:rsid w:val="6C5F577B"/>
    <w:rsid w:val="6C5F6B13"/>
    <w:rsid w:val="6C831486"/>
    <w:rsid w:val="6C8C7141"/>
    <w:rsid w:val="6C903E5F"/>
    <w:rsid w:val="6C92595F"/>
    <w:rsid w:val="6CA31D11"/>
    <w:rsid w:val="6CD653DD"/>
    <w:rsid w:val="6CE513BE"/>
    <w:rsid w:val="6CE96F44"/>
    <w:rsid w:val="6CEE595E"/>
    <w:rsid w:val="6CF82160"/>
    <w:rsid w:val="6D094BFA"/>
    <w:rsid w:val="6D172E93"/>
    <w:rsid w:val="6D1D7324"/>
    <w:rsid w:val="6D283EB3"/>
    <w:rsid w:val="6D476F5C"/>
    <w:rsid w:val="6D524D35"/>
    <w:rsid w:val="6D631E8B"/>
    <w:rsid w:val="6DA45721"/>
    <w:rsid w:val="6DEF5724"/>
    <w:rsid w:val="6E0C2F03"/>
    <w:rsid w:val="6E2D7396"/>
    <w:rsid w:val="6E4C6983"/>
    <w:rsid w:val="6E583F33"/>
    <w:rsid w:val="6E6E5304"/>
    <w:rsid w:val="6E977E1E"/>
    <w:rsid w:val="6E9A083E"/>
    <w:rsid w:val="6EBE1382"/>
    <w:rsid w:val="6F1013D6"/>
    <w:rsid w:val="6F1830F3"/>
    <w:rsid w:val="6F2C4E6B"/>
    <w:rsid w:val="6F316EDD"/>
    <w:rsid w:val="6F7502BE"/>
    <w:rsid w:val="6F895AA2"/>
    <w:rsid w:val="6F8E346E"/>
    <w:rsid w:val="6F922D77"/>
    <w:rsid w:val="6FA85985"/>
    <w:rsid w:val="6FD90CB6"/>
    <w:rsid w:val="6FE33537"/>
    <w:rsid w:val="6FEA2DEF"/>
    <w:rsid w:val="6FFC2257"/>
    <w:rsid w:val="70156D4D"/>
    <w:rsid w:val="70231C9D"/>
    <w:rsid w:val="702A26D0"/>
    <w:rsid w:val="7035077E"/>
    <w:rsid w:val="70411BFE"/>
    <w:rsid w:val="707B5C7D"/>
    <w:rsid w:val="708C386D"/>
    <w:rsid w:val="7093353E"/>
    <w:rsid w:val="70A25D2A"/>
    <w:rsid w:val="70B34FC2"/>
    <w:rsid w:val="70C3004D"/>
    <w:rsid w:val="70EC15F1"/>
    <w:rsid w:val="70F606D1"/>
    <w:rsid w:val="710C3141"/>
    <w:rsid w:val="71104E62"/>
    <w:rsid w:val="713927A1"/>
    <w:rsid w:val="71426CAF"/>
    <w:rsid w:val="719525E5"/>
    <w:rsid w:val="71B3360C"/>
    <w:rsid w:val="71C43EDF"/>
    <w:rsid w:val="71D12B7B"/>
    <w:rsid w:val="72047D57"/>
    <w:rsid w:val="721659EC"/>
    <w:rsid w:val="7254510E"/>
    <w:rsid w:val="72563FB1"/>
    <w:rsid w:val="726E28BC"/>
    <w:rsid w:val="729701F7"/>
    <w:rsid w:val="72C13435"/>
    <w:rsid w:val="730462C0"/>
    <w:rsid w:val="7332304C"/>
    <w:rsid w:val="73460DCF"/>
    <w:rsid w:val="736F51CC"/>
    <w:rsid w:val="73763241"/>
    <w:rsid w:val="73765DF7"/>
    <w:rsid w:val="739C093C"/>
    <w:rsid w:val="739D0315"/>
    <w:rsid w:val="73CE4F10"/>
    <w:rsid w:val="73DE0BF4"/>
    <w:rsid w:val="73EF72A5"/>
    <w:rsid w:val="740166CA"/>
    <w:rsid w:val="741606DE"/>
    <w:rsid w:val="746B4618"/>
    <w:rsid w:val="748E187D"/>
    <w:rsid w:val="74AE62DA"/>
    <w:rsid w:val="74C80317"/>
    <w:rsid w:val="74CF424E"/>
    <w:rsid w:val="74D83FEC"/>
    <w:rsid w:val="74D97846"/>
    <w:rsid w:val="74F727ED"/>
    <w:rsid w:val="75395A4F"/>
    <w:rsid w:val="7541494A"/>
    <w:rsid w:val="75486DDB"/>
    <w:rsid w:val="755A3C5E"/>
    <w:rsid w:val="758C7BE9"/>
    <w:rsid w:val="75A62599"/>
    <w:rsid w:val="75C718AC"/>
    <w:rsid w:val="75E15210"/>
    <w:rsid w:val="75E5168E"/>
    <w:rsid w:val="75E65018"/>
    <w:rsid w:val="75FD7923"/>
    <w:rsid w:val="7637394F"/>
    <w:rsid w:val="764536B8"/>
    <w:rsid w:val="764C1E95"/>
    <w:rsid w:val="765340BE"/>
    <w:rsid w:val="76600B0B"/>
    <w:rsid w:val="76743648"/>
    <w:rsid w:val="76BF0F54"/>
    <w:rsid w:val="76C67BE5"/>
    <w:rsid w:val="76EC025F"/>
    <w:rsid w:val="76F0487A"/>
    <w:rsid w:val="77104195"/>
    <w:rsid w:val="771D4E13"/>
    <w:rsid w:val="77384D81"/>
    <w:rsid w:val="77532B5B"/>
    <w:rsid w:val="775C443F"/>
    <w:rsid w:val="775E4AED"/>
    <w:rsid w:val="77626DFA"/>
    <w:rsid w:val="77640268"/>
    <w:rsid w:val="77A72B49"/>
    <w:rsid w:val="77BA48A1"/>
    <w:rsid w:val="77EA45C3"/>
    <w:rsid w:val="77F3515D"/>
    <w:rsid w:val="77F537AF"/>
    <w:rsid w:val="77F76D90"/>
    <w:rsid w:val="780C5D1E"/>
    <w:rsid w:val="78427D95"/>
    <w:rsid w:val="78B432B5"/>
    <w:rsid w:val="78CE3373"/>
    <w:rsid w:val="78EA06B1"/>
    <w:rsid w:val="79303653"/>
    <w:rsid w:val="79332894"/>
    <w:rsid w:val="79432FDA"/>
    <w:rsid w:val="794E031B"/>
    <w:rsid w:val="795B7FA5"/>
    <w:rsid w:val="796340FE"/>
    <w:rsid w:val="79686A11"/>
    <w:rsid w:val="79CA26DE"/>
    <w:rsid w:val="79DC7E05"/>
    <w:rsid w:val="79EA4F40"/>
    <w:rsid w:val="79F651E3"/>
    <w:rsid w:val="7A4A0DFD"/>
    <w:rsid w:val="7A552236"/>
    <w:rsid w:val="7A735659"/>
    <w:rsid w:val="7A7E0068"/>
    <w:rsid w:val="7A883FCE"/>
    <w:rsid w:val="7AB60141"/>
    <w:rsid w:val="7AC17447"/>
    <w:rsid w:val="7AD70C9B"/>
    <w:rsid w:val="7ADA5B3C"/>
    <w:rsid w:val="7ADD4299"/>
    <w:rsid w:val="7B4531F1"/>
    <w:rsid w:val="7B4D07FD"/>
    <w:rsid w:val="7B7C15D8"/>
    <w:rsid w:val="7BAB3DF5"/>
    <w:rsid w:val="7BBF365B"/>
    <w:rsid w:val="7BCF64AD"/>
    <w:rsid w:val="7BD26364"/>
    <w:rsid w:val="7BDB29F1"/>
    <w:rsid w:val="7C2F53CB"/>
    <w:rsid w:val="7C3A3603"/>
    <w:rsid w:val="7C461D0D"/>
    <w:rsid w:val="7C485C63"/>
    <w:rsid w:val="7C9534B9"/>
    <w:rsid w:val="7CA834CE"/>
    <w:rsid w:val="7CB9036C"/>
    <w:rsid w:val="7D047631"/>
    <w:rsid w:val="7D104EB4"/>
    <w:rsid w:val="7D3475DB"/>
    <w:rsid w:val="7D676F18"/>
    <w:rsid w:val="7D771F95"/>
    <w:rsid w:val="7D942460"/>
    <w:rsid w:val="7DD60EC6"/>
    <w:rsid w:val="7DDD5D1F"/>
    <w:rsid w:val="7DE915AD"/>
    <w:rsid w:val="7E0B3754"/>
    <w:rsid w:val="7E34075B"/>
    <w:rsid w:val="7E3C4D54"/>
    <w:rsid w:val="7E563F68"/>
    <w:rsid w:val="7EC40A24"/>
    <w:rsid w:val="7EF69E71"/>
    <w:rsid w:val="7EF81BCC"/>
    <w:rsid w:val="7EF82E56"/>
    <w:rsid w:val="7F263092"/>
    <w:rsid w:val="7F5F072D"/>
    <w:rsid w:val="7F711C25"/>
    <w:rsid w:val="7F9B0CBF"/>
    <w:rsid w:val="7FBFABAD"/>
    <w:rsid w:val="7FC06DB4"/>
    <w:rsid w:val="7FF42409"/>
    <w:rsid w:val="EEFF06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29"/>
    <w:qFormat/>
    <w:uiPriority w:val="0"/>
    <w:pPr>
      <w:keepNext/>
      <w:jc w:val="center"/>
      <w:outlineLvl w:val="0"/>
    </w:pPr>
    <w:rPr>
      <w:rFonts w:eastAsia="黑体"/>
      <w:b/>
      <w:sz w:val="32"/>
      <w:szCs w:val="20"/>
    </w:rPr>
  </w:style>
  <w:style w:type="paragraph" w:styleId="4">
    <w:name w:val="heading 2"/>
    <w:basedOn w:val="1"/>
    <w:next w:val="1"/>
    <w:link w:val="67"/>
    <w:qFormat/>
    <w:uiPriority w:val="0"/>
    <w:pPr>
      <w:keepNext/>
      <w:outlineLvl w:val="1"/>
    </w:pPr>
    <w:rPr>
      <w:rFonts w:ascii="仿宋_GB2312"/>
      <w:b/>
      <w:sz w:val="28"/>
      <w:szCs w:val="32"/>
    </w:rPr>
  </w:style>
  <w:style w:type="paragraph" w:styleId="5">
    <w:name w:val="heading 3"/>
    <w:basedOn w:val="1"/>
    <w:next w:val="1"/>
    <w:link w:val="152"/>
    <w:qFormat/>
    <w:uiPriority w:val="0"/>
    <w:pPr>
      <w:keepNext/>
      <w:keepLines/>
      <w:spacing w:line="540" w:lineRule="atLeast"/>
      <w:outlineLvl w:val="2"/>
    </w:pPr>
    <w:rPr>
      <w:rFonts w:eastAsia="黑体"/>
      <w:b/>
      <w:sz w:val="28"/>
      <w:szCs w:val="20"/>
    </w:rPr>
  </w:style>
  <w:style w:type="paragraph" w:styleId="6">
    <w:name w:val="heading 4"/>
    <w:basedOn w:val="1"/>
    <w:next w:val="1"/>
    <w:link w:val="149"/>
    <w:qFormat/>
    <w:uiPriority w:val="0"/>
    <w:pPr>
      <w:keepNext/>
      <w:keepLines/>
      <w:spacing w:line="540" w:lineRule="atLeast"/>
      <w:outlineLvl w:val="3"/>
    </w:pPr>
    <w:rPr>
      <w:sz w:val="28"/>
      <w:szCs w:val="28"/>
    </w:rPr>
  </w:style>
  <w:style w:type="paragraph" w:styleId="7">
    <w:name w:val="heading 5"/>
    <w:basedOn w:val="1"/>
    <w:next w:val="1"/>
    <w:link w:val="132"/>
    <w:qFormat/>
    <w:uiPriority w:val="0"/>
    <w:pPr>
      <w:keepNext/>
      <w:keepLines/>
      <w:spacing w:before="280" w:after="290" w:line="372" w:lineRule="auto"/>
      <w:outlineLvl w:val="4"/>
    </w:pPr>
    <w:rPr>
      <w:b/>
      <w:bCs/>
      <w:kern w:val="0"/>
      <w:sz w:val="28"/>
      <w:szCs w:val="28"/>
    </w:rPr>
  </w:style>
  <w:style w:type="paragraph" w:styleId="8">
    <w:name w:val="heading 6"/>
    <w:basedOn w:val="1"/>
    <w:next w:val="9"/>
    <w:link w:val="173"/>
    <w:qFormat/>
    <w:uiPriority w:val="0"/>
    <w:pPr>
      <w:keepNext/>
      <w:keepLines/>
      <w:spacing w:before="240" w:after="64" w:line="317" w:lineRule="auto"/>
      <w:outlineLvl w:val="5"/>
    </w:pPr>
    <w:rPr>
      <w:rFonts w:ascii="Arial" w:hAnsi="Arial" w:eastAsia="黑体"/>
      <w:b/>
      <w:sz w:val="24"/>
      <w:szCs w:val="20"/>
    </w:rPr>
  </w:style>
  <w:style w:type="paragraph" w:styleId="10">
    <w:name w:val="heading 7"/>
    <w:basedOn w:val="1"/>
    <w:next w:val="9"/>
    <w:link w:val="70"/>
    <w:qFormat/>
    <w:uiPriority w:val="0"/>
    <w:pPr>
      <w:keepNext/>
      <w:keepLines/>
      <w:spacing w:before="240" w:after="64" w:line="317" w:lineRule="auto"/>
      <w:outlineLvl w:val="6"/>
    </w:pPr>
    <w:rPr>
      <w:b/>
      <w:sz w:val="24"/>
      <w:szCs w:val="20"/>
    </w:rPr>
  </w:style>
  <w:style w:type="paragraph" w:styleId="11">
    <w:name w:val="heading 8"/>
    <w:basedOn w:val="1"/>
    <w:next w:val="9"/>
    <w:link w:val="176"/>
    <w:qFormat/>
    <w:uiPriority w:val="0"/>
    <w:pPr>
      <w:keepNext/>
      <w:keepLines/>
      <w:spacing w:before="240" w:after="64" w:line="317" w:lineRule="auto"/>
      <w:outlineLvl w:val="7"/>
    </w:pPr>
    <w:rPr>
      <w:rFonts w:ascii="Arial" w:hAnsi="Arial" w:eastAsia="黑体"/>
      <w:sz w:val="24"/>
      <w:szCs w:val="20"/>
    </w:rPr>
  </w:style>
  <w:style w:type="paragraph" w:styleId="12">
    <w:name w:val="heading 9"/>
    <w:basedOn w:val="1"/>
    <w:next w:val="9"/>
    <w:link w:val="163"/>
    <w:qFormat/>
    <w:uiPriority w:val="0"/>
    <w:pPr>
      <w:keepNext/>
      <w:keepLines/>
      <w:spacing w:before="240" w:after="64" w:line="317" w:lineRule="auto"/>
      <w:outlineLvl w:val="8"/>
    </w:pPr>
    <w:rPr>
      <w:rFonts w:ascii="Arial" w:hAnsi="Arial" w:eastAsia="黑体"/>
      <w:szCs w:val="20"/>
    </w:rPr>
  </w:style>
  <w:style w:type="character" w:default="1" w:styleId="54">
    <w:name w:val="Default Paragraph Font"/>
    <w:semiHidden/>
    <w:unhideWhenUsed/>
    <w:qFormat/>
    <w:uiPriority w:val="1"/>
  </w:style>
  <w:style w:type="table" w:default="1" w:styleId="52">
    <w:name w:val="Normal Table"/>
    <w:semiHidden/>
    <w:unhideWhenUsed/>
    <w:qFormat/>
    <w:uiPriority w:val="99"/>
    <w:tblPr>
      <w:tblCellMar>
        <w:top w:w="0" w:type="dxa"/>
        <w:left w:w="108" w:type="dxa"/>
        <w:bottom w:w="0" w:type="dxa"/>
        <w:right w:w="108" w:type="dxa"/>
      </w:tblCellMar>
    </w:tblPr>
  </w:style>
  <w:style w:type="paragraph" w:styleId="2">
    <w:name w:val="macro"/>
    <w:link w:val="11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9">
    <w:name w:val="Normal Indent"/>
    <w:basedOn w:val="1"/>
    <w:next w:val="1"/>
    <w:link w:val="105"/>
    <w:qFormat/>
    <w:uiPriority w:val="0"/>
    <w:pPr>
      <w:adjustRightInd w:val="0"/>
      <w:spacing w:line="312" w:lineRule="atLeast"/>
      <w:ind w:firstLine="420"/>
      <w:textAlignment w:val="baseline"/>
    </w:pPr>
    <w:rPr>
      <w:rFonts w:ascii="仿宋_GB2312"/>
      <w:b/>
      <w:kern w:val="0"/>
      <w:szCs w:val="32"/>
    </w:rPr>
  </w:style>
  <w:style w:type="paragraph" w:styleId="13">
    <w:name w:val="toc 7"/>
    <w:basedOn w:val="1"/>
    <w:next w:val="1"/>
    <w:qFormat/>
    <w:uiPriority w:val="0"/>
    <w:pPr>
      <w:autoSpaceDE w:val="0"/>
      <w:autoSpaceDN w:val="0"/>
      <w:adjustRightInd w:val="0"/>
      <w:ind w:left="2520" w:leftChars="1200"/>
      <w:jc w:val="left"/>
    </w:pPr>
    <w:rPr>
      <w:kern w:val="0"/>
      <w:sz w:val="20"/>
      <w:szCs w:val="20"/>
    </w:rPr>
  </w:style>
  <w:style w:type="paragraph" w:styleId="14">
    <w:name w:val="List Number"/>
    <w:basedOn w:val="1"/>
    <w:qFormat/>
    <w:uiPriority w:val="0"/>
    <w:pPr>
      <w:tabs>
        <w:tab w:val="left" w:pos="360"/>
      </w:tabs>
      <w:ind w:left="360" w:hanging="360" w:hangingChars="200"/>
    </w:pPr>
  </w:style>
  <w:style w:type="paragraph" w:styleId="15">
    <w:name w:val="caption"/>
    <w:basedOn w:val="1"/>
    <w:next w:val="1"/>
    <w:qFormat/>
    <w:uiPriority w:val="0"/>
    <w:pPr>
      <w:autoSpaceDE w:val="0"/>
      <w:autoSpaceDN w:val="0"/>
      <w:adjustRightInd w:val="0"/>
      <w:jc w:val="left"/>
    </w:pPr>
    <w:rPr>
      <w:rFonts w:ascii="Arial" w:hAnsi="Arial" w:eastAsia="黑体" w:cs="Arial"/>
      <w:kern w:val="0"/>
      <w:sz w:val="20"/>
      <w:szCs w:val="20"/>
    </w:rPr>
  </w:style>
  <w:style w:type="paragraph" w:styleId="16">
    <w:name w:val="List Bullet"/>
    <w:basedOn w:val="1"/>
    <w:qFormat/>
    <w:uiPriority w:val="0"/>
    <w:pPr>
      <w:tabs>
        <w:tab w:val="left" w:pos="360"/>
      </w:tabs>
    </w:pPr>
    <w:rPr>
      <w:rFonts w:ascii="Calibri" w:hAnsi="Calibri"/>
      <w:szCs w:val="22"/>
    </w:rPr>
  </w:style>
  <w:style w:type="paragraph" w:styleId="17">
    <w:name w:val="Document Map"/>
    <w:basedOn w:val="1"/>
    <w:link w:val="131"/>
    <w:qFormat/>
    <w:uiPriority w:val="0"/>
    <w:pPr>
      <w:shd w:val="clear" w:color="auto" w:fill="000080"/>
    </w:pPr>
  </w:style>
  <w:style w:type="paragraph" w:styleId="18">
    <w:name w:val="annotation text"/>
    <w:basedOn w:val="1"/>
    <w:link w:val="91"/>
    <w:qFormat/>
    <w:uiPriority w:val="0"/>
    <w:pPr>
      <w:jc w:val="left"/>
    </w:pPr>
  </w:style>
  <w:style w:type="paragraph" w:styleId="19">
    <w:name w:val="Salutation"/>
    <w:basedOn w:val="1"/>
    <w:next w:val="1"/>
    <w:link w:val="79"/>
    <w:qFormat/>
    <w:uiPriority w:val="0"/>
    <w:pPr>
      <w:tabs>
        <w:tab w:val="left" w:pos="840"/>
      </w:tabs>
      <w:autoSpaceDE w:val="0"/>
      <w:autoSpaceDN w:val="0"/>
      <w:adjustRightInd w:val="0"/>
      <w:jc w:val="left"/>
    </w:pPr>
    <w:rPr>
      <w:rFonts w:ascii="仿宋_GB2312" w:eastAsia="仿宋_GB2312"/>
      <w:b/>
      <w:kern w:val="0"/>
      <w:sz w:val="24"/>
      <w:szCs w:val="32"/>
    </w:rPr>
  </w:style>
  <w:style w:type="paragraph" w:styleId="20">
    <w:name w:val="Body Text 3"/>
    <w:basedOn w:val="1"/>
    <w:link w:val="95"/>
    <w:qFormat/>
    <w:uiPriority w:val="0"/>
    <w:pPr>
      <w:autoSpaceDE w:val="0"/>
      <w:autoSpaceDN w:val="0"/>
      <w:adjustRightInd w:val="0"/>
      <w:jc w:val="center"/>
    </w:pPr>
  </w:style>
  <w:style w:type="paragraph" w:styleId="21">
    <w:name w:val="Body Text"/>
    <w:basedOn w:val="1"/>
    <w:next w:val="22"/>
    <w:link w:val="164"/>
    <w:qFormat/>
    <w:uiPriority w:val="0"/>
    <w:pPr>
      <w:spacing w:after="120"/>
    </w:pPr>
    <w:rPr>
      <w:rFonts w:ascii="仿宋_GB2312"/>
      <w:b/>
    </w:rPr>
  </w:style>
  <w:style w:type="paragraph" w:styleId="22">
    <w:name w:val="Body Text First Indent"/>
    <w:basedOn w:val="21"/>
    <w:link w:val="196"/>
    <w:qFormat/>
    <w:uiPriority w:val="0"/>
    <w:pPr>
      <w:autoSpaceDE w:val="0"/>
      <w:autoSpaceDN w:val="0"/>
      <w:adjustRightInd w:val="0"/>
      <w:ind w:firstLine="420" w:firstLineChars="100"/>
      <w:jc w:val="left"/>
    </w:pPr>
    <w:rPr>
      <w:rFonts w:ascii="Times New Roman"/>
      <w:b w:val="0"/>
      <w:kern w:val="0"/>
      <w:sz w:val="20"/>
      <w:szCs w:val="20"/>
    </w:rPr>
  </w:style>
  <w:style w:type="paragraph" w:styleId="23">
    <w:name w:val="Body Text Indent"/>
    <w:basedOn w:val="1"/>
    <w:link w:val="144"/>
    <w:qFormat/>
    <w:uiPriority w:val="0"/>
    <w:pPr>
      <w:ind w:left="480" w:hanging="480" w:hangingChars="200"/>
    </w:pPr>
    <w:rPr>
      <w:sz w:val="24"/>
    </w:rPr>
  </w:style>
  <w:style w:type="paragraph" w:styleId="24">
    <w:name w:val="List Number 3"/>
    <w:basedOn w:val="1"/>
    <w:qFormat/>
    <w:uiPriority w:val="0"/>
    <w:pPr>
      <w:tabs>
        <w:tab w:val="left" w:pos="1200"/>
      </w:tabs>
      <w:ind w:left="1200" w:leftChars="400" w:hanging="360" w:hangingChars="200"/>
    </w:pPr>
  </w:style>
  <w:style w:type="paragraph" w:styleId="25">
    <w:name w:val="Block Text"/>
    <w:basedOn w:val="1"/>
    <w:qFormat/>
    <w:uiPriority w:val="0"/>
    <w:pPr>
      <w:spacing w:line="520" w:lineRule="exact"/>
      <w:ind w:left="540" w:leftChars="257" w:right="-514"/>
    </w:pPr>
    <w:rPr>
      <w:rFonts w:ascii="宋体" w:hAnsi="宋体"/>
      <w:sz w:val="24"/>
    </w:rPr>
  </w:style>
  <w:style w:type="paragraph" w:styleId="26">
    <w:name w:val="List Bullet 2"/>
    <w:basedOn w:val="1"/>
    <w:qFormat/>
    <w:uiPriority w:val="0"/>
    <w:pPr>
      <w:tabs>
        <w:tab w:val="left" w:pos="780"/>
      </w:tabs>
      <w:spacing w:line="360" w:lineRule="auto"/>
      <w:ind w:left="780" w:leftChars="200" w:hanging="360" w:hangingChars="200"/>
    </w:pPr>
  </w:style>
  <w:style w:type="paragraph" w:styleId="27">
    <w:name w:val="toc 5"/>
    <w:basedOn w:val="1"/>
    <w:next w:val="1"/>
    <w:qFormat/>
    <w:uiPriority w:val="0"/>
    <w:pPr>
      <w:autoSpaceDE w:val="0"/>
      <w:autoSpaceDN w:val="0"/>
      <w:adjustRightInd w:val="0"/>
      <w:ind w:left="1680" w:leftChars="800"/>
      <w:jc w:val="left"/>
    </w:pPr>
    <w:rPr>
      <w:kern w:val="0"/>
      <w:sz w:val="20"/>
      <w:szCs w:val="20"/>
    </w:rPr>
  </w:style>
  <w:style w:type="paragraph" w:styleId="28">
    <w:name w:val="toc 3"/>
    <w:basedOn w:val="1"/>
    <w:next w:val="1"/>
    <w:qFormat/>
    <w:uiPriority w:val="0"/>
    <w:pPr>
      <w:ind w:left="840" w:leftChars="400"/>
    </w:pPr>
  </w:style>
  <w:style w:type="paragraph" w:styleId="29">
    <w:name w:val="Plain Text"/>
    <w:basedOn w:val="1"/>
    <w:link w:val="192"/>
    <w:qFormat/>
    <w:uiPriority w:val="0"/>
    <w:pPr>
      <w:widowControl/>
      <w:overflowPunct w:val="0"/>
      <w:autoSpaceDE w:val="0"/>
      <w:autoSpaceDN w:val="0"/>
      <w:adjustRightInd w:val="0"/>
      <w:jc w:val="left"/>
      <w:textAlignment w:val="baseline"/>
    </w:pPr>
    <w:rPr>
      <w:rFonts w:ascii="宋体" w:hAnsi="Courier New"/>
      <w:b/>
      <w:kern w:val="0"/>
      <w:szCs w:val="21"/>
    </w:rPr>
  </w:style>
  <w:style w:type="paragraph" w:styleId="30">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1">
    <w:name w:val="toc 8"/>
    <w:basedOn w:val="1"/>
    <w:next w:val="1"/>
    <w:qFormat/>
    <w:uiPriority w:val="0"/>
    <w:pPr>
      <w:autoSpaceDE w:val="0"/>
      <w:autoSpaceDN w:val="0"/>
      <w:adjustRightInd w:val="0"/>
      <w:ind w:left="2940" w:leftChars="1400"/>
      <w:jc w:val="left"/>
    </w:pPr>
    <w:rPr>
      <w:kern w:val="0"/>
      <w:sz w:val="20"/>
      <w:szCs w:val="20"/>
    </w:rPr>
  </w:style>
  <w:style w:type="paragraph" w:styleId="32">
    <w:name w:val="Date"/>
    <w:basedOn w:val="1"/>
    <w:next w:val="1"/>
    <w:link w:val="133"/>
    <w:qFormat/>
    <w:uiPriority w:val="0"/>
    <w:pPr>
      <w:ind w:left="100" w:leftChars="2500"/>
    </w:pPr>
  </w:style>
  <w:style w:type="paragraph" w:styleId="33">
    <w:name w:val="Body Text Indent 2"/>
    <w:basedOn w:val="1"/>
    <w:link w:val="178"/>
    <w:qFormat/>
    <w:uiPriority w:val="0"/>
    <w:pPr>
      <w:spacing w:line="500" w:lineRule="exact"/>
      <w:ind w:firstLine="511" w:firstLineChars="213"/>
    </w:pPr>
    <w:rPr>
      <w:sz w:val="24"/>
    </w:rPr>
  </w:style>
  <w:style w:type="paragraph" w:styleId="34">
    <w:name w:val="Balloon Text"/>
    <w:basedOn w:val="1"/>
    <w:link w:val="151"/>
    <w:qFormat/>
    <w:uiPriority w:val="0"/>
    <w:rPr>
      <w:sz w:val="18"/>
      <w:szCs w:val="18"/>
    </w:rPr>
  </w:style>
  <w:style w:type="paragraph" w:styleId="35">
    <w:name w:val="footer"/>
    <w:basedOn w:val="1"/>
    <w:link w:val="120"/>
    <w:qFormat/>
    <w:uiPriority w:val="0"/>
    <w:pPr>
      <w:tabs>
        <w:tab w:val="center" w:pos="4153"/>
        <w:tab w:val="right" w:pos="8306"/>
      </w:tabs>
      <w:snapToGrid w:val="0"/>
      <w:jc w:val="left"/>
    </w:pPr>
    <w:rPr>
      <w:sz w:val="18"/>
      <w:szCs w:val="18"/>
    </w:rPr>
  </w:style>
  <w:style w:type="paragraph" w:styleId="36">
    <w:name w:val="header"/>
    <w:basedOn w:val="1"/>
    <w:link w:val="135"/>
    <w:qFormat/>
    <w:uiPriority w:val="0"/>
    <w:pPr>
      <w:pBdr>
        <w:bottom w:val="single" w:color="auto" w:sz="6" w:space="1"/>
      </w:pBdr>
      <w:tabs>
        <w:tab w:val="center" w:pos="4153"/>
        <w:tab w:val="right" w:pos="8306"/>
      </w:tabs>
      <w:snapToGrid w:val="0"/>
      <w:jc w:val="center"/>
    </w:pPr>
    <w:rPr>
      <w:sz w:val="18"/>
      <w:szCs w:val="18"/>
    </w:rPr>
  </w:style>
  <w:style w:type="paragraph" w:styleId="37">
    <w:name w:val="Signature"/>
    <w:basedOn w:val="1"/>
    <w:link w:val="154"/>
    <w:qFormat/>
    <w:uiPriority w:val="0"/>
    <w:pPr>
      <w:autoSpaceDE w:val="0"/>
      <w:autoSpaceDN w:val="0"/>
      <w:adjustRightInd w:val="0"/>
      <w:spacing w:after="600" w:line="312" w:lineRule="atLeast"/>
      <w:jc w:val="center"/>
      <w:textAlignment w:val="baseline"/>
    </w:pPr>
    <w:rPr>
      <w:rFonts w:ascii="仿宋_GB2312" w:eastAsia="仿宋_GB2312"/>
      <w:b/>
      <w:kern w:val="0"/>
      <w:sz w:val="24"/>
      <w:szCs w:val="32"/>
    </w:rPr>
  </w:style>
  <w:style w:type="paragraph" w:styleId="38">
    <w:name w:val="toc 1"/>
    <w:basedOn w:val="1"/>
    <w:next w:val="1"/>
    <w:qFormat/>
    <w:uiPriority w:val="0"/>
  </w:style>
  <w:style w:type="paragraph" w:styleId="39">
    <w:name w:val="toc 4"/>
    <w:basedOn w:val="1"/>
    <w:next w:val="1"/>
    <w:qFormat/>
    <w:uiPriority w:val="0"/>
    <w:pPr>
      <w:autoSpaceDE w:val="0"/>
      <w:autoSpaceDN w:val="0"/>
      <w:adjustRightInd w:val="0"/>
      <w:ind w:left="1260" w:leftChars="600"/>
      <w:jc w:val="left"/>
    </w:pPr>
    <w:rPr>
      <w:kern w:val="0"/>
      <w:sz w:val="20"/>
      <w:szCs w:val="20"/>
    </w:rPr>
  </w:style>
  <w:style w:type="paragraph" w:styleId="40">
    <w:name w:val="Subtitle"/>
    <w:basedOn w:val="1"/>
    <w:next w:val="1"/>
    <w:link w:val="134"/>
    <w:qFormat/>
    <w:uiPriority w:val="0"/>
    <w:pPr>
      <w:spacing w:before="240" w:after="60" w:line="312" w:lineRule="auto"/>
      <w:jc w:val="center"/>
      <w:outlineLvl w:val="1"/>
    </w:pPr>
    <w:rPr>
      <w:rFonts w:ascii="Cambria" w:hAnsi="Cambria"/>
      <w:b/>
      <w:bCs/>
      <w:kern w:val="28"/>
      <w:sz w:val="32"/>
      <w:szCs w:val="32"/>
    </w:rPr>
  </w:style>
  <w:style w:type="paragraph" w:styleId="41">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2">
    <w:name w:val="List"/>
    <w:basedOn w:val="1"/>
    <w:qFormat/>
    <w:uiPriority w:val="0"/>
    <w:pPr>
      <w:ind w:left="200" w:hanging="200" w:hangingChars="200"/>
    </w:pPr>
  </w:style>
  <w:style w:type="paragraph" w:styleId="43">
    <w:name w:val="toc 6"/>
    <w:basedOn w:val="1"/>
    <w:next w:val="1"/>
    <w:qFormat/>
    <w:uiPriority w:val="0"/>
    <w:pPr>
      <w:autoSpaceDE w:val="0"/>
      <w:autoSpaceDN w:val="0"/>
      <w:adjustRightInd w:val="0"/>
      <w:ind w:left="2100" w:leftChars="1000"/>
      <w:jc w:val="left"/>
    </w:pPr>
    <w:rPr>
      <w:kern w:val="0"/>
      <w:sz w:val="20"/>
      <w:szCs w:val="20"/>
    </w:rPr>
  </w:style>
  <w:style w:type="paragraph" w:styleId="44">
    <w:name w:val="Body Text Indent 3"/>
    <w:basedOn w:val="1"/>
    <w:link w:val="146"/>
    <w:qFormat/>
    <w:uiPriority w:val="0"/>
    <w:pPr>
      <w:spacing w:line="500" w:lineRule="exact"/>
      <w:ind w:left="511" w:hanging="511" w:hangingChars="213"/>
    </w:pPr>
    <w:rPr>
      <w:sz w:val="24"/>
    </w:rPr>
  </w:style>
  <w:style w:type="paragraph" w:styleId="45">
    <w:name w:val="toc 2"/>
    <w:basedOn w:val="1"/>
    <w:next w:val="1"/>
    <w:qFormat/>
    <w:uiPriority w:val="0"/>
    <w:pPr>
      <w:ind w:left="420" w:leftChars="200"/>
    </w:pPr>
  </w:style>
  <w:style w:type="paragraph" w:styleId="46">
    <w:name w:val="toc 9"/>
    <w:basedOn w:val="1"/>
    <w:next w:val="1"/>
    <w:qFormat/>
    <w:uiPriority w:val="0"/>
    <w:pPr>
      <w:autoSpaceDE w:val="0"/>
      <w:autoSpaceDN w:val="0"/>
      <w:adjustRightInd w:val="0"/>
      <w:ind w:left="3360" w:leftChars="1600"/>
      <w:jc w:val="left"/>
    </w:pPr>
    <w:rPr>
      <w:kern w:val="0"/>
      <w:sz w:val="20"/>
      <w:szCs w:val="20"/>
    </w:rPr>
  </w:style>
  <w:style w:type="paragraph" w:styleId="47">
    <w:name w:val="Body Text 2"/>
    <w:basedOn w:val="1"/>
    <w:link w:val="198"/>
    <w:qFormat/>
    <w:uiPriority w:val="0"/>
    <w:pPr>
      <w:autoSpaceDE w:val="0"/>
      <w:autoSpaceDN w:val="0"/>
      <w:adjustRightInd w:val="0"/>
      <w:spacing w:after="120" w:line="480" w:lineRule="auto"/>
      <w:jc w:val="left"/>
    </w:pPr>
  </w:style>
  <w:style w:type="paragraph" w:styleId="4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9">
    <w:name w:val="Title"/>
    <w:basedOn w:val="1"/>
    <w:next w:val="1"/>
    <w:link w:val="111"/>
    <w:qFormat/>
    <w:uiPriority w:val="0"/>
    <w:pPr>
      <w:spacing w:before="240" w:after="60"/>
      <w:jc w:val="center"/>
      <w:outlineLvl w:val="0"/>
    </w:pPr>
    <w:rPr>
      <w:rFonts w:ascii="Cambria" w:hAnsi="Cambria"/>
      <w:b/>
      <w:bCs/>
      <w:sz w:val="32"/>
      <w:szCs w:val="32"/>
    </w:rPr>
  </w:style>
  <w:style w:type="paragraph" w:styleId="50">
    <w:name w:val="annotation subject"/>
    <w:basedOn w:val="18"/>
    <w:next w:val="18"/>
    <w:link w:val="96"/>
    <w:qFormat/>
    <w:uiPriority w:val="0"/>
    <w:rPr>
      <w:b/>
      <w:bCs/>
    </w:rPr>
  </w:style>
  <w:style w:type="paragraph" w:styleId="51">
    <w:name w:val="Body Text First Indent 2"/>
    <w:basedOn w:val="23"/>
    <w:qFormat/>
    <w:uiPriority w:val="0"/>
    <w:pPr>
      <w:spacing w:after="120"/>
      <w:ind w:left="420" w:leftChars="200" w:firstLine="420"/>
    </w:pPr>
    <w:rPr>
      <w:rFonts w:cs="宋体"/>
      <w:sz w:val="21"/>
      <w:szCs w:val="21"/>
    </w:rPr>
  </w:style>
  <w:style w:type="table" w:styleId="53">
    <w:name w:val="Table Grid"/>
    <w:basedOn w:val="5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5">
    <w:name w:val="Strong"/>
    <w:basedOn w:val="54"/>
    <w:qFormat/>
    <w:uiPriority w:val="0"/>
    <w:rPr>
      <w:rFonts w:ascii="仿宋_GB2312" w:eastAsia="仿宋_GB2312"/>
      <w:bCs/>
      <w:sz w:val="32"/>
      <w:szCs w:val="32"/>
    </w:rPr>
  </w:style>
  <w:style w:type="character" w:styleId="56">
    <w:name w:val="page number"/>
    <w:basedOn w:val="54"/>
    <w:qFormat/>
    <w:uiPriority w:val="0"/>
  </w:style>
  <w:style w:type="character" w:styleId="57">
    <w:name w:val="FollowedHyperlink"/>
    <w:qFormat/>
    <w:uiPriority w:val="0"/>
    <w:rPr>
      <w:rFonts w:ascii="仿宋_GB2312" w:eastAsia="仿宋_GB2312"/>
      <w:b/>
      <w:color w:val="800080"/>
      <w:sz w:val="32"/>
      <w:szCs w:val="32"/>
      <w:u w:val="none"/>
    </w:rPr>
  </w:style>
  <w:style w:type="character" w:styleId="58">
    <w:name w:val="Emphasis"/>
    <w:qFormat/>
    <w:uiPriority w:val="0"/>
    <w:rPr>
      <w:i/>
      <w:iCs/>
    </w:rPr>
  </w:style>
  <w:style w:type="character" w:styleId="59">
    <w:name w:val="line number"/>
    <w:basedOn w:val="54"/>
    <w:qFormat/>
    <w:uiPriority w:val="0"/>
  </w:style>
  <w:style w:type="character" w:styleId="60">
    <w:name w:val="Hyperlink"/>
    <w:qFormat/>
    <w:uiPriority w:val="0"/>
    <w:rPr>
      <w:rFonts w:ascii="仿宋_GB2312" w:eastAsia="仿宋_GB2312"/>
      <w:b/>
      <w:color w:val="0000FF"/>
      <w:sz w:val="32"/>
      <w:szCs w:val="32"/>
      <w:u w:val="none"/>
    </w:rPr>
  </w:style>
  <w:style w:type="character" w:styleId="61">
    <w:name w:val="annotation reference"/>
    <w:qFormat/>
    <w:uiPriority w:val="0"/>
    <w:rPr>
      <w:sz w:val="21"/>
      <w:szCs w:val="21"/>
    </w:rPr>
  </w:style>
  <w:style w:type="character" w:styleId="62">
    <w:name w:val="HTML Cite"/>
    <w:qFormat/>
    <w:uiPriority w:val="0"/>
    <w:rPr>
      <w:color w:val="008000"/>
    </w:rPr>
  </w:style>
  <w:style w:type="paragraph" w:customStyle="1" w:styleId="63">
    <w:name w:val="01 正文-首行缩进2字符"/>
    <w:basedOn w:val="1"/>
    <w:qFormat/>
    <w:uiPriority w:val="0"/>
    <w:pPr>
      <w:spacing w:before="50" w:beforeLines="50" w:after="50" w:afterLines="50"/>
      <w:ind w:firstLine="200" w:firstLineChars="200"/>
    </w:pPr>
    <w:rPr>
      <w:rFonts w:ascii="Arial" w:hAnsi="Arial"/>
      <w:color w:val="000000"/>
    </w:rPr>
  </w:style>
  <w:style w:type="paragraph" w:customStyle="1" w:styleId="64">
    <w:name w:val="Char3 Char Char Char"/>
    <w:basedOn w:val="1"/>
    <w:qFormat/>
    <w:uiPriority w:val="0"/>
  </w:style>
  <w:style w:type="character" w:customStyle="1" w:styleId="65">
    <w:name w:val="不明显参考1"/>
    <w:qFormat/>
    <w:uiPriority w:val="0"/>
    <w:rPr>
      <w:smallCaps/>
      <w:color w:val="C0504D"/>
      <w:u w:val="single"/>
    </w:rPr>
  </w:style>
  <w:style w:type="character" w:customStyle="1" w:styleId="66">
    <w:name w:val="PI Char1"/>
    <w:qFormat/>
    <w:uiPriority w:val="0"/>
    <w:rPr>
      <w:rFonts w:eastAsia="宋体"/>
      <w:kern w:val="2"/>
      <w:sz w:val="24"/>
      <w:szCs w:val="24"/>
      <w:lang w:val="en-US" w:eastAsia="zh-CN" w:bidi="ar-SA"/>
    </w:rPr>
  </w:style>
  <w:style w:type="character" w:customStyle="1" w:styleId="67">
    <w:name w:val="标题 2 Char"/>
    <w:link w:val="4"/>
    <w:qFormat/>
    <w:uiPriority w:val="0"/>
    <w:rPr>
      <w:rFonts w:ascii="仿宋_GB2312" w:eastAsia="宋体"/>
      <w:b/>
      <w:kern w:val="2"/>
      <w:sz w:val="28"/>
      <w:szCs w:val="32"/>
      <w:lang w:val="en-US" w:eastAsia="zh-CN" w:bidi="ar-SA"/>
    </w:rPr>
  </w:style>
  <w:style w:type="character" w:customStyle="1" w:styleId="68">
    <w:name w:val="pt141"/>
    <w:qFormat/>
    <w:uiPriority w:val="0"/>
    <w:rPr>
      <w:color w:val="330066"/>
      <w:spacing w:val="450"/>
      <w:sz w:val="22"/>
      <w:szCs w:val="22"/>
    </w:rPr>
  </w:style>
  <w:style w:type="character" w:customStyle="1" w:styleId="69">
    <w:name w:val="Char Char27"/>
    <w:qFormat/>
    <w:uiPriority w:val="0"/>
    <w:rPr>
      <w:rFonts w:eastAsia="宋体"/>
      <w:kern w:val="2"/>
      <w:sz w:val="28"/>
      <w:lang w:val="en-US" w:eastAsia="zh-CN" w:bidi="ar-SA"/>
    </w:rPr>
  </w:style>
  <w:style w:type="character" w:customStyle="1" w:styleId="70">
    <w:name w:val="标题 7 Char"/>
    <w:link w:val="10"/>
    <w:qFormat/>
    <w:uiPriority w:val="0"/>
    <w:rPr>
      <w:rFonts w:eastAsia="宋体"/>
      <w:b/>
      <w:kern w:val="2"/>
      <w:sz w:val="24"/>
      <w:lang w:val="en-US" w:eastAsia="zh-CN" w:bidi="ar-SA"/>
    </w:rPr>
  </w:style>
  <w:style w:type="character" w:customStyle="1" w:styleId="71">
    <w:name w:val="明显参考1"/>
    <w:qFormat/>
    <w:uiPriority w:val="0"/>
    <w:rPr>
      <w:b/>
      <w:bCs/>
      <w:smallCaps/>
      <w:color w:val="C0504D"/>
      <w:spacing w:val="5"/>
      <w:u w:val="single"/>
    </w:rPr>
  </w:style>
  <w:style w:type="character" w:customStyle="1" w:styleId="72">
    <w:name w:val="书籍标题1"/>
    <w:qFormat/>
    <w:uiPriority w:val="0"/>
    <w:rPr>
      <w:b/>
      <w:bCs/>
      <w:smallCaps/>
      <w:spacing w:val="5"/>
    </w:rPr>
  </w:style>
  <w:style w:type="character" w:customStyle="1" w:styleId="73">
    <w:name w:val="Char Char61"/>
    <w:qFormat/>
    <w:uiPriority w:val="0"/>
    <w:rPr>
      <w:rFonts w:ascii="Times New Roman" w:hAnsi="Times New Roman" w:eastAsia="宋体" w:cs="Times New Roman"/>
      <w:szCs w:val="24"/>
    </w:rPr>
  </w:style>
  <w:style w:type="character" w:customStyle="1" w:styleId="74">
    <w:name w:val="Char Char24"/>
    <w:qFormat/>
    <w:uiPriority w:val="0"/>
    <w:rPr>
      <w:rFonts w:eastAsia="宋体"/>
      <w:b/>
      <w:kern w:val="2"/>
      <w:sz w:val="28"/>
      <w:lang w:val="en-US" w:eastAsia="zh-CN" w:bidi="ar-SA"/>
    </w:rPr>
  </w:style>
  <w:style w:type="character" w:customStyle="1" w:styleId="75">
    <w:name w:val="Style4"/>
    <w:qFormat/>
    <w:uiPriority w:val="0"/>
    <w:rPr>
      <w:rFonts w:ascii="Calibri" w:hAnsi="宋体" w:eastAsia="宋体" w:cs="Times New Roman"/>
      <w:szCs w:val="22"/>
      <w:lang w:eastAsia="zh-CN"/>
    </w:rPr>
  </w:style>
  <w:style w:type="character" w:customStyle="1" w:styleId="76">
    <w:name w:val="Style1"/>
    <w:qFormat/>
    <w:uiPriority w:val="0"/>
    <w:rPr>
      <w:rFonts w:ascii="Calibri" w:hAnsi="宋体" w:eastAsia="宋体" w:cs="Times New Roman"/>
      <w:sz w:val="22"/>
      <w:szCs w:val="22"/>
      <w:lang w:eastAsia="zh-CN"/>
    </w:rPr>
  </w:style>
  <w:style w:type="character" w:customStyle="1" w:styleId="77">
    <w:name w:val="heading 1 Char1"/>
    <w:qFormat/>
    <w:uiPriority w:val="0"/>
    <w:rPr>
      <w:rFonts w:eastAsia="宋体"/>
      <w:b/>
      <w:bCs/>
      <w:kern w:val="44"/>
      <w:sz w:val="44"/>
      <w:szCs w:val="44"/>
      <w:lang w:val="en-US" w:eastAsia="zh-CN" w:bidi="ar-SA"/>
    </w:rPr>
  </w:style>
  <w:style w:type="character" w:customStyle="1" w:styleId="78">
    <w:name w:val="Style5"/>
    <w:qFormat/>
    <w:uiPriority w:val="0"/>
    <w:rPr>
      <w:rFonts w:ascii="Calibri" w:hAnsi="宋体" w:eastAsia="宋体" w:cs="Times New Roman"/>
      <w:sz w:val="22"/>
      <w:szCs w:val="22"/>
      <w:lang w:eastAsia="zh-CN"/>
    </w:rPr>
  </w:style>
  <w:style w:type="character" w:customStyle="1" w:styleId="79">
    <w:name w:val="称呼 Char"/>
    <w:link w:val="19"/>
    <w:qFormat/>
    <w:uiPriority w:val="0"/>
    <w:rPr>
      <w:rFonts w:ascii="仿宋_GB2312" w:eastAsia="仿宋_GB2312"/>
      <w:b/>
      <w:sz w:val="24"/>
      <w:szCs w:val="32"/>
    </w:rPr>
  </w:style>
  <w:style w:type="character" w:customStyle="1" w:styleId="80">
    <w:name w:val="Ò³Ã¼ Char Char2"/>
    <w:qFormat/>
    <w:uiPriority w:val="0"/>
    <w:rPr>
      <w:kern w:val="2"/>
      <w:sz w:val="18"/>
      <w:szCs w:val="18"/>
    </w:rPr>
  </w:style>
  <w:style w:type="character" w:customStyle="1" w:styleId="81">
    <w:name w:val="明显强调1"/>
    <w:qFormat/>
    <w:uiPriority w:val="0"/>
    <w:rPr>
      <w:b/>
      <w:bCs/>
      <w:i/>
      <w:iCs/>
      <w:color w:val="4F81BD"/>
    </w:rPr>
  </w:style>
  <w:style w:type="character" w:customStyle="1" w:styleId="82">
    <w:name w:val="样式 标题 3 + 黑体 小四 Char Char"/>
    <w:link w:val="83"/>
    <w:qFormat/>
    <w:uiPriority w:val="0"/>
    <w:rPr>
      <w:rFonts w:ascii="黑体" w:hAnsi="Arial" w:eastAsia="黑体"/>
      <w:bCs/>
      <w:sz w:val="24"/>
      <w:szCs w:val="24"/>
      <w:lang w:bidi="ar-SA"/>
    </w:rPr>
  </w:style>
  <w:style w:type="paragraph" w:customStyle="1" w:styleId="83">
    <w:name w:val="样式 标题 3 + 黑体 小四"/>
    <w:basedOn w:val="5"/>
    <w:link w:val="82"/>
    <w:qFormat/>
    <w:uiPriority w:val="0"/>
    <w:pPr>
      <w:spacing w:before="260" w:after="260" w:line="413" w:lineRule="auto"/>
    </w:pPr>
    <w:rPr>
      <w:rFonts w:ascii="黑体" w:hAnsi="Arial"/>
      <w:b w:val="0"/>
      <w:bCs/>
      <w:kern w:val="0"/>
      <w:sz w:val="24"/>
      <w:szCs w:val="24"/>
    </w:rPr>
  </w:style>
  <w:style w:type="character" w:customStyle="1" w:styleId="84">
    <w:name w:val="heading 7 Char1"/>
    <w:qFormat/>
    <w:uiPriority w:val="0"/>
    <w:rPr>
      <w:rFonts w:ascii="Arial" w:hAnsi="Arial" w:eastAsia="黑体"/>
      <w:sz w:val="21"/>
      <w:szCs w:val="21"/>
      <w:lang w:val="en-US" w:eastAsia="zh-CN" w:bidi="ar-SA"/>
    </w:rPr>
  </w:style>
  <w:style w:type="character" w:customStyle="1" w:styleId="85">
    <w:name w:val="Char Char1"/>
    <w:qFormat/>
    <w:uiPriority w:val="0"/>
    <w:rPr>
      <w:rFonts w:eastAsia="宋体"/>
      <w:sz w:val="21"/>
      <w:lang w:val="en-US" w:eastAsia="zh-CN" w:bidi="ar-SA"/>
    </w:rPr>
  </w:style>
  <w:style w:type="character" w:customStyle="1" w:styleId="86">
    <w:name w:val="Char Char12"/>
    <w:qFormat/>
    <w:uiPriority w:val="0"/>
    <w:rPr>
      <w:rFonts w:eastAsia="宋体"/>
      <w:kern w:val="2"/>
      <w:sz w:val="21"/>
      <w:szCs w:val="24"/>
      <w:lang w:val="en-US" w:eastAsia="zh-CN" w:bidi="ar-SA"/>
    </w:rPr>
  </w:style>
  <w:style w:type="character" w:customStyle="1" w:styleId="87">
    <w:name w:val="Char Char18"/>
    <w:qFormat/>
    <w:uiPriority w:val="0"/>
    <w:rPr>
      <w:b/>
      <w:bCs/>
      <w:kern w:val="2"/>
      <w:sz w:val="32"/>
      <w:szCs w:val="32"/>
    </w:rPr>
  </w:style>
  <w:style w:type="character" w:customStyle="1" w:styleId="88">
    <w:name w:val="Char Char4"/>
    <w:qFormat/>
    <w:uiPriority w:val="0"/>
    <w:rPr>
      <w:rFonts w:ascii="Cambria" w:hAnsi="Cambria" w:eastAsia="宋体"/>
      <w:b/>
      <w:bCs/>
      <w:sz w:val="32"/>
      <w:szCs w:val="32"/>
      <w:lang w:bidi="ar-SA"/>
    </w:rPr>
  </w:style>
  <w:style w:type="character" w:customStyle="1" w:styleId="89">
    <w:name w:val="PI Char"/>
    <w:qFormat/>
    <w:uiPriority w:val="0"/>
    <w:rPr>
      <w:rFonts w:ascii="宋体" w:hAnsi="宋体"/>
      <w:sz w:val="24"/>
    </w:rPr>
  </w:style>
  <w:style w:type="character" w:customStyle="1" w:styleId="90">
    <w:name w:val="明显参考2"/>
    <w:qFormat/>
    <w:uiPriority w:val="0"/>
    <w:rPr>
      <w:b/>
      <w:bCs/>
      <w:smallCaps/>
      <w:color w:val="C0504D"/>
      <w:spacing w:val="5"/>
      <w:u w:val="single"/>
    </w:rPr>
  </w:style>
  <w:style w:type="character" w:customStyle="1" w:styleId="91">
    <w:name w:val="批注文字 Char"/>
    <w:link w:val="18"/>
    <w:qFormat/>
    <w:uiPriority w:val="0"/>
    <w:rPr>
      <w:rFonts w:eastAsia="宋体"/>
      <w:kern w:val="2"/>
      <w:sz w:val="21"/>
      <w:szCs w:val="24"/>
      <w:lang w:val="en-US" w:eastAsia="zh-CN" w:bidi="ar-SA"/>
    </w:rPr>
  </w:style>
  <w:style w:type="character" w:customStyle="1" w:styleId="92">
    <w:name w:val="Style2"/>
    <w:qFormat/>
    <w:uiPriority w:val="0"/>
    <w:rPr>
      <w:rFonts w:ascii="Calibri" w:hAnsi="宋体" w:eastAsia="宋体" w:cs="Times New Roman"/>
      <w:sz w:val="22"/>
      <w:szCs w:val="22"/>
      <w:lang w:eastAsia="zh-CN"/>
    </w:rPr>
  </w:style>
  <w:style w:type="character" w:customStyle="1" w:styleId="93">
    <w:name w:val="Footer-Even Char1"/>
    <w:qFormat/>
    <w:uiPriority w:val="0"/>
    <w:rPr>
      <w:rFonts w:eastAsia="宋体"/>
      <w:kern w:val="2"/>
      <w:sz w:val="18"/>
      <w:szCs w:val="18"/>
      <w:lang w:val="en-US" w:eastAsia="zh-CN" w:bidi="ar-SA"/>
    </w:rPr>
  </w:style>
  <w:style w:type="character" w:customStyle="1" w:styleId="94">
    <w:name w:val="heading 4 Char1"/>
    <w:qFormat/>
    <w:uiPriority w:val="0"/>
    <w:rPr>
      <w:rFonts w:ascii="Cambria" w:hAnsi="Cambria" w:eastAsia="宋体"/>
      <w:b/>
      <w:bCs/>
      <w:kern w:val="2"/>
      <w:sz w:val="28"/>
      <w:szCs w:val="28"/>
      <w:lang w:val="en-US" w:eastAsia="zh-CN" w:bidi="ar-SA"/>
    </w:rPr>
  </w:style>
  <w:style w:type="character" w:customStyle="1" w:styleId="95">
    <w:name w:val="正文文本 3 Char"/>
    <w:basedOn w:val="54"/>
    <w:link w:val="20"/>
    <w:qFormat/>
    <w:uiPriority w:val="0"/>
  </w:style>
  <w:style w:type="character" w:customStyle="1" w:styleId="96">
    <w:name w:val="批注主题 Char"/>
    <w:link w:val="50"/>
    <w:qFormat/>
    <w:uiPriority w:val="0"/>
    <w:rPr>
      <w:rFonts w:eastAsia="宋体"/>
      <w:b/>
      <w:bCs/>
      <w:kern w:val="2"/>
      <w:sz w:val="21"/>
      <w:szCs w:val="24"/>
      <w:lang w:val="en-US" w:eastAsia="zh-CN" w:bidi="ar-SA"/>
    </w:rPr>
  </w:style>
  <w:style w:type="character" w:customStyle="1" w:styleId="97">
    <w:name w:val="不明显参考11"/>
    <w:qFormat/>
    <w:uiPriority w:val="0"/>
    <w:rPr>
      <w:smallCaps/>
      <w:color w:val="C0504D"/>
      <w:u w:val="single"/>
    </w:rPr>
  </w:style>
  <w:style w:type="character" w:customStyle="1" w:styleId="98">
    <w:name w:val="Plain Text Char"/>
    <w:qFormat/>
    <w:uiPriority w:val="0"/>
    <w:rPr>
      <w:rFonts w:ascii="宋体" w:hAnsi="Courier New" w:eastAsia="宋体" w:cs="Times New Roman"/>
      <w:sz w:val="21"/>
      <w:szCs w:val="21"/>
    </w:rPr>
  </w:style>
  <w:style w:type="character" w:customStyle="1" w:styleId="99">
    <w:name w:val="Char Char111"/>
    <w:qFormat/>
    <w:uiPriority w:val="0"/>
    <w:rPr>
      <w:rFonts w:ascii="Times New Roman" w:hAnsi="Times New Roman" w:eastAsia="宋体" w:cs="Times New Roman"/>
      <w:sz w:val="18"/>
      <w:szCs w:val="18"/>
    </w:rPr>
  </w:style>
  <w:style w:type="character" w:customStyle="1" w:styleId="100">
    <w:name w:val="无间距字符"/>
    <w:link w:val="101"/>
    <w:qFormat/>
    <w:uiPriority w:val="0"/>
    <w:rPr>
      <w:rFonts w:eastAsia="Times New Roman"/>
      <w:sz w:val="22"/>
      <w:szCs w:val="22"/>
      <w:lang w:val="en-US" w:eastAsia="zh-CN" w:bidi="ar-SA"/>
    </w:rPr>
  </w:style>
  <w:style w:type="paragraph" w:customStyle="1" w:styleId="101">
    <w:name w:val="无间距"/>
    <w:link w:val="100"/>
    <w:qFormat/>
    <w:uiPriority w:val="0"/>
    <w:rPr>
      <w:rFonts w:ascii="Times New Roman" w:hAnsi="Times New Roman" w:eastAsia="Times New Roman" w:cs="Times New Roman"/>
      <w:sz w:val="22"/>
      <w:szCs w:val="22"/>
      <w:lang w:val="en-US" w:eastAsia="zh-CN" w:bidi="ar-SA"/>
    </w:rPr>
  </w:style>
  <w:style w:type="character" w:customStyle="1" w:styleId="102">
    <w:name w:val="heading 5 Char2"/>
    <w:qFormat/>
    <w:uiPriority w:val="0"/>
    <w:rPr>
      <w:b/>
      <w:bCs/>
      <w:kern w:val="2"/>
      <w:sz w:val="28"/>
      <w:szCs w:val="28"/>
    </w:rPr>
  </w:style>
  <w:style w:type="character" w:customStyle="1" w:styleId="103">
    <w:name w:val="样式2 Char Char"/>
    <w:link w:val="104"/>
    <w:qFormat/>
    <w:uiPriority w:val="0"/>
    <w:rPr>
      <w:rFonts w:ascii="宋体" w:hAnsi="宋体" w:eastAsia="宋体"/>
      <w:bCs/>
      <w:kern w:val="2"/>
      <w:sz w:val="28"/>
      <w:szCs w:val="28"/>
      <w:lang w:val="en-US" w:eastAsia="zh-CN" w:bidi="ar-SA"/>
    </w:rPr>
  </w:style>
  <w:style w:type="paragraph" w:customStyle="1" w:styleId="104">
    <w:name w:val="样式2"/>
    <w:basedOn w:val="4"/>
    <w:link w:val="103"/>
    <w:qFormat/>
    <w:uiPriority w:val="0"/>
    <w:pPr>
      <w:keepLines/>
      <w:snapToGrid w:val="0"/>
      <w:spacing w:before="260" w:afterLines="50" w:line="480" w:lineRule="exact"/>
      <w:ind w:firstLine="556"/>
    </w:pPr>
    <w:rPr>
      <w:rFonts w:ascii="宋体" w:hAnsi="宋体"/>
      <w:b w:val="0"/>
      <w:bCs/>
      <w:szCs w:val="28"/>
    </w:rPr>
  </w:style>
  <w:style w:type="character" w:customStyle="1" w:styleId="105">
    <w:name w:val="正文缩进 Char"/>
    <w:link w:val="9"/>
    <w:qFormat/>
    <w:uiPriority w:val="0"/>
    <w:rPr>
      <w:rFonts w:ascii="仿宋_GB2312" w:eastAsia="宋体"/>
      <w:b/>
      <w:sz w:val="21"/>
      <w:szCs w:val="32"/>
      <w:lang w:val="en-US" w:eastAsia="zh-CN" w:bidi="ar-SA"/>
    </w:rPr>
  </w:style>
  <w:style w:type="character" w:customStyle="1" w:styleId="106">
    <w:name w:val="heading 2 Char1"/>
    <w:qFormat/>
    <w:uiPriority w:val="0"/>
    <w:rPr>
      <w:rFonts w:ascii="Cambria" w:hAnsi="Cambria" w:eastAsia="宋体"/>
      <w:b/>
      <w:bCs/>
      <w:kern w:val="2"/>
      <w:sz w:val="32"/>
      <w:szCs w:val="32"/>
      <w:lang w:val="en-US" w:eastAsia="zh-CN" w:bidi="ar-SA"/>
    </w:rPr>
  </w:style>
  <w:style w:type="character" w:customStyle="1" w:styleId="107">
    <w:name w:val="heading 3 Char1"/>
    <w:qFormat/>
    <w:uiPriority w:val="0"/>
    <w:rPr>
      <w:rFonts w:eastAsia="宋体"/>
      <w:b/>
      <w:bCs/>
      <w:kern w:val="2"/>
      <w:sz w:val="32"/>
      <w:szCs w:val="32"/>
      <w:lang w:val="en-US" w:eastAsia="zh-CN" w:bidi="ar-SA"/>
    </w:rPr>
  </w:style>
  <w:style w:type="character" w:customStyle="1" w:styleId="108">
    <w:name w:val="Char Char15"/>
    <w:qFormat/>
    <w:uiPriority w:val="0"/>
    <w:rPr>
      <w:rFonts w:ascii="Arial" w:hAnsi="Arial" w:eastAsia="黑体"/>
      <w:sz w:val="24"/>
      <w:szCs w:val="24"/>
    </w:rPr>
  </w:style>
  <w:style w:type="character" w:customStyle="1" w:styleId="109">
    <w:name w:val="heading 1 Char"/>
    <w:qFormat/>
    <w:uiPriority w:val="0"/>
    <w:rPr>
      <w:rFonts w:ascii="Arial" w:hAnsi="Arial" w:eastAsia="黑体"/>
      <w:b/>
      <w:sz w:val="36"/>
      <w:szCs w:val="36"/>
    </w:rPr>
  </w:style>
  <w:style w:type="character" w:customStyle="1" w:styleId="110">
    <w:name w:val="ändrad Char"/>
    <w:qFormat/>
    <w:uiPriority w:val="0"/>
    <w:rPr>
      <w:rFonts w:eastAsia="宋体"/>
      <w:kern w:val="2"/>
      <w:sz w:val="21"/>
      <w:szCs w:val="24"/>
      <w:lang w:val="en-US" w:eastAsia="zh-CN" w:bidi="ar-SA"/>
    </w:rPr>
  </w:style>
  <w:style w:type="character" w:customStyle="1" w:styleId="111">
    <w:name w:val="标题 Char"/>
    <w:link w:val="49"/>
    <w:qFormat/>
    <w:uiPriority w:val="0"/>
    <w:rPr>
      <w:rFonts w:ascii="Cambria" w:hAnsi="Cambria" w:eastAsia="宋体"/>
      <w:b/>
      <w:bCs/>
      <w:kern w:val="2"/>
      <w:sz w:val="32"/>
      <w:szCs w:val="32"/>
      <w:lang w:val="en-US" w:eastAsia="zh-CN" w:bidi="ar-SA"/>
    </w:rPr>
  </w:style>
  <w:style w:type="character" w:customStyle="1" w:styleId="112">
    <w:name w:val="Char Char22"/>
    <w:qFormat/>
    <w:uiPriority w:val="0"/>
    <w:rPr>
      <w:rFonts w:ascii="Arial" w:hAnsi="Arial" w:eastAsia="黑体"/>
      <w:b/>
      <w:bCs/>
      <w:kern w:val="44"/>
      <w:sz w:val="30"/>
      <w:szCs w:val="44"/>
      <w:lang w:val="en-US" w:eastAsia="zh-CN" w:bidi="ar-SA"/>
    </w:rPr>
  </w:style>
  <w:style w:type="character" w:customStyle="1" w:styleId="113">
    <w:name w:val="blue1"/>
    <w:basedOn w:val="54"/>
    <w:qFormat/>
    <w:uiPriority w:val="0"/>
  </w:style>
  <w:style w:type="character" w:customStyle="1" w:styleId="114">
    <w:name w:val="样式 宋体"/>
    <w:qFormat/>
    <w:uiPriority w:val="0"/>
    <w:rPr>
      <w:rFonts w:ascii="宋体" w:hAnsi="宋体" w:eastAsia="宋体"/>
      <w:sz w:val="24"/>
      <w:szCs w:val="24"/>
    </w:rPr>
  </w:style>
  <w:style w:type="character" w:customStyle="1" w:styleId="115">
    <w:name w:val="dandyren_title1"/>
    <w:qFormat/>
    <w:uiPriority w:val="0"/>
    <w:rPr>
      <w:b/>
      <w:bCs/>
      <w:color w:val="FF6633"/>
      <w:sz w:val="18"/>
      <w:szCs w:val="18"/>
    </w:rPr>
  </w:style>
  <w:style w:type="character" w:customStyle="1" w:styleId="116">
    <w:name w:val="font21"/>
    <w:basedOn w:val="54"/>
    <w:qFormat/>
    <w:uiPriority w:val="0"/>
    <w:rPr>
      <w:rFonts w:ascii="Wingdings 2" w:hAnsi="Wingdings 2" w:eastAsia="Wingdings 2" w:cs="Wingdings 2"/>
      <w:b/>
      <w:color w:val="000000"/>
      <w:sz w:val="20"/>
      <w:szCs w:val="20"/>
      <w:u w:val="none"/>
    </w:rPr>
  </w:style>
  <w:style w:type="character" w:customStyle="1" w:styleId="117">
    <w:name w:val="Ò³Ã¼ Char Char1"/>
    <w:qFormat/>
    <w:uiPriority w:val="0"/>
    <w:rPr>
      <w:rFonts w:eastAsia="宋体"/>
      <w:kern w:val="2"/>
      <w:sz w:val="18"/>
      <w:szCs w:val="18"/>
      <w:lang w:val="en-US" w:eastAsia="zh-CN" w:bidi="ar-SA"/>
    </w:rPr>
  </w:style>
  <w:style w:type="character" w:customStyle="1" w:styleId="118">
    <w:name w:val="宏文本 Char"/>
    <w:link w:val="2"/>
    <w:qFormat/>
    <w:uiPriority w:val="0"/>
    <w:rPr>
      <w:rFonts w:ascii="Courier New" w:hAnsi="Courier New" w:eastAsia="Times New Roman"/>
      <w:kern w:val="2"/>
      <w:sz w:val="24"/>
      <w:szCs w:val="24"/>
      <w:lang w:val="en-US" w:eastAsia="zh-CN" w:bidi="ar-SA"/>
    </w:rPr>
  </w:style>
  <w:style w:type="character" w:customStyle="1" w:styleId="119">
    <w:name w:val="Footer-Even Char"/>
    <w:qFormat/>
    <w:uiPriority w:val="0"/>
    <w:rPr>
      <w:sz w:val="18"/>
      <w:szCs w:val="18"/>
    </w:rPr>
  </w:style>
  <w:style w:type="character" w:customStyle="1" w:styleId="120">
    <w:name w:val="页脚 Char"/>
    <w:link w:val="35"/>
    <w:qFormat/>
    <w:uiPriority w:val="0"/>
    <w:rPr>
      <w:rFonts w:eastAsia="宋体"/>
      <w:kern w:val="2"/>
      <w:sz w:val="18"/>
      <w:szCs w:val="18"/>
      <w:lang w:val="en-US" w:eastAsia="zh-CN" w:bidi="ar-SA"/>
    </w:rPr>
  </w:style>
  <w:style w:type="character" w:customStyle="1" w:styleId="121">
    <w:name w:val="style111"/>
    <w:qFormat/>
    <w:uiPriority w:val="0"/>
    <w:rPr>
      <w:sz w:val="27"/>
      <w:szCs w:val="27"/>
    </w:rPr>
  </w:style>
  <w:style w:type="character" w:customStyle="1" w:styleId="122">
    <w:name w:val="PI Char2"/>
    <w:qFormat/>
    <w:uiPriority w:val="0"/>
    <w:rPr>
      <w:kern w:val="2"/>
      <w:sz w:val="24"/>
      <w:szCs w:val="24"/>
    </w:rPr>
  </w:style>
  <w:style w:type="character" w:customStyle="1" w:styleId="123">
    <w:name w:val="gray6"/>
    <w:basedOn w:val="54"/>
    <w:qFormat/>
    <w:uiPriority w:val="0"/>
  </w:style>
  <w:style w:type="character" w:customStyle="1" w:styleId="124">
    <w:name w:val="Char Char Char1"/>
    <w:qFormat/>
    <w:uiPriority w:val="0"/>
    <w:rPr>
      <w:rFonts w:ascii="宋体" w:hAnsi="Courier New"/>
      <w:sz w:val="21"/>
      <w:szCs w:val="21"/>
    </w:rPr>
  </w:style>
  <w:style w:type="character" w:customStyle="1" w:styleId="125">
    <w:name w:val="Char Char121"/>
    <w:qFormat/>
    <w:uiPriority w:val="0"/>
    <w:rPr>
      <w:rFonts w:eastAsia="宋体"/>
      <w:kern w:val="2"/>
      <w:sz w:val="21"/>
      <w:szCs w:val="24"/>
      <w:lang w:val="en-US" w:eastAsia="zh-CN" w:bidi="ar-SA"/>
    </w:rPr>
  </w:style>
  <w:style w:type="character" w:customStyle="1" w:styleId="126">
    <w:name w:val="Char Char Char Char Char Char Char Char Char"/>
    <w:qFormat/>
    <w:uiPriority w:val="0"/>
    <w:rPr>
      <w:rFonts w:ascii="宋体" w:hAnsi="Courier New" w:eastAsia="宋体"/>
      <w:sz w:val="21"/>
      <w:szCs w:val="21"/>
      <w:lang w:val="en-US" w:eastAsia="zh-CN" w:bidi="ar-SA"/>
    </w:rPr>
  </w:style>
  <w:style w:type="character" w:customStyle="1" w:styleId="127">
    <w:name w:val="heading 4 Char2"/>
    <w:qFormat/>
    <w:uiPriority w:val="0"/>
    <w:rPr>
      <w:rFonts w:ascii="Cambria" w:hAnsi="Cambria"/>
      <w:b/>
      <w:bCs/>
      <w:kern w:val="2"/>
      <w:sz w:val="28"/>
      <w:szCs w:val="28"/>
    </w:rPr>
  </w:style>
  <w:style w:type="character" w:customStyle="1" w:styleId="128">
    <w:name w:val="heading 3 Char"/>
    <w:qFormat/>
    <w:uiPriority w:val="0"/>
    <w:rPr>
      <w:rFonts w:ascii="Arial" w:hAnsi="Arial" w:eastAsia="黑体"/>
      <w:sz w:val="28"/>
      <w:szCs w:val="24"/>
    </w:rPr>
  </w:style>
  <w:style w:type="character" w:customStyle="1" w:styleId="129">
    <w:name w:val="标题 1 Char"/>
    <w:link w:val="3"/>
    <w:qFormat/>
    <w:uiPriority w:val="0"/>
    <w:rPr>
      <w:rFonts w:eastAsia="黑体"/>
      <w:b/>
      <w:kern w:val="2"/>
      <w:sz w:val="32"/>
      <w:lang w:val="en-US" w:eastAsia="zh-CN" w:bidi="ar-SA"/>
    </w:rPr>
  </w:style>
  <w:style w:type="character" w:customStyle="1" w:styleId="130">
    <w:name w:val="Char Char16"/>
    <w:qFormat/>
    <w:uiPriority w:val="0"/>
    <w:rPr>
      <w:b/>
      <w:bCs/>
      <w:kern w:val="2"/>
      <w:sz w:val="28"/>
      <w:szCs w:val="28"/>
    </w:rPr>
  </w:style>
  <w:style w:type="character" w:customStyle="1" w:styleId="131">
    <w:name w:val="文档结构图 Char"/>
    <w:link w:val="17"/>
    <w:qFormat/>
    <w:uiPriority w:val="0"/>
    <w:rPr>
      <w:rFonts w:eastAsia="宋体"/>
      <w:kern w:val="2"/>
      <w:sz w:val="21"/>
      <w:szCs w:val="24"/>
      <w:lang w:val="en-US" w:eastAsia="zh-CN" w:bidi="ar-SA"/>
    </w:rPr>
  </w:style>
  <w:style w:type="character" w:customStyle="1" w:styleId="132">
    <w:name w:val="标题 5 Char"/>
    <w:link w:val="7"/>
    <w:qFormat/>
    <w:uiPriority w:val="0"/>
    <w:rPr>
      <w:rFonts w:eastAsia="宋体"/>
      <w:b/>
      <w:bCs/>
      <w:sz w:val="28"/>
      <w:szCs w:val="28"/>
      <w:lang w:bidi="ar-SA"/>
    </w:rPr>
  </w:style>
  <w:style w:type="character" w:customStyle="1" w:styleId="133">
    <w:name w:val="日期 Char"/>
    <w:link w:val="32"/>
    <w:qFormat/>
    <w:uiPriority w:val="0"/>
    <w:rPr>
      <w:rFonts w:eastAsia="宋体"/>
      <w:kern w:val="2"/>
      <w:sz w:val="21"/>
      <w:szCs w:val="24"/>
      <w:lang w:val="en-US" w:eastAsia="zh-CN" w:bidi="ar-SA"/>
    </w:rPr>
  </w:style>
  <w:style w:type="character" w:customStyle="1" w:styleId="134">
    <w:name w:val="副标题 Char"/>
    <w:link w:val="40"/>
    <w:qFormat/>
    <w:uiPriority w:val="0"/>
    <w:rPr>
      <w:rFonts w:ascii="Cambria" w:hAnsi="Cambria" w:eastAsia="宋体"/>
      <w:b/>
      <w:bCs/>
      <w:kern w:val="28"/>
      <w:sz w:val="32"/>
      <w:szCs w:val="32"/>
      <w:lang w:val="en-US" w:eastAsia="zh-CN" w:bidi="ar-SA"/>
    </w:rPr>
  </w:style>
  <w:style w:type="character" w:customStyle="1" w:styleId="135">
    <w:name w:val="页眉 Char"/>
    <w:link w:val="36"/>
    <w:qFormat/>
    <w:uiPriority w:val="0"/>
    <w:rPr>
      <w:rFonts w:eastAsia="宋体"/>
      <w:kern w:val="2"/>
      <w:sz w:val="18"/>
      <w:szCs w:val="18"/>
      <w:lang w:val="en-US" w:eastAsia="zh-CN" w:bidi="ar-SA"/>
    </w:rPr>
  </w:style>
  <w:style w:type="character" w:customStyle="1" w:styleId="136">
    <w:name w:val="style13"/>
    <w:basedOn w:val="54"/>
    <w:qFormat/>
    <w:uiPriority w:val="0"/>
  </w:style>
  <w:style w:type="character" w:customStyle="1" w:styleId="137">
    <w:name w:val="textcolor1"/>
    <w:qFormat/>
    <w:uiPriority w:val="0"/>
    <w:rPr>
      <w:rFonts w:ascii="仿宋_GB2312" w:eastAsia="仿宋_GB2312"/>
      <w:b/>
      <w:color w:val="FF6600"/>
      <w:sz w:val="32"/>
      <w:szCs w:val="32"/>
    </w:rPr>
  </w:style>
  <w:style w:type="character" w:customStyle="1" w:styleId="138">
    <w:name w:val="Table Text Char Char"/>
    <w:link w:val="139"/>
    <w:qFormat/>
    <w:uiPriority w:val="0"/>
    <w:rPr>
      <w:sz w:val="21"/>
      <w:lang w:val="en-US" w:eastAsia="en-US" w:bidi="ar-SA"/>
    </w:rPr>
  </w:style>
  <w:style w:type="paragraph" w:customStyle="1" w:styleId="139">
    <w:name w:val="Table Text"/>
    <w:basedOn w:val="1"/>
    <w:link w:val="138"/>
    <w:qFormat/>
    <w:uiPriority w:val="0"/>
    <w:pPr>
      <w:widowControl/>
      <w:tabs>
        <w:tab w:val="decimal" w:pos="0"/>
      </w:tabs>
      <w:overflowPunct w:val="0"/>
      <w:autoSpaceDE w:val="0"/>
      <w:autoSpaceDN w:val="0"/>
      <w:adjustRightInd w:val="0"/>
      <w:jc w:val="left"/>
      <w:textAlignment w:val="baseline"/>
    </w:pPr>
    <w:rPr>
      <w:kern w:val="0"/>
      <w:szCs w:val="20"/>
      <w:lang w:eastAsia="en-US"/>
    </w:rPr>
  </w:style>
  <w:style w:type="character" w:customStyle="1" w:styleId="140">
    <w:name w:val="Ò³Ã¼ Char Char"/>
    <w:qFormat/>
    <w:uiPriority w:val="0"/>
    <w:rPr>
      <w:sz w:val="18"/>
      <w:szCs w:val="18"/>
    </w:rPr>
  </w:style>
  <w:style w:type="character" w:customStyle="1" w:styleId="141">
    <w:name w:val="heading 2 Char2"/>
    <w:qFormat/>
    <w:uiPriority w:val="0"/>
    <w:rPr>
      <w:rFonts w:ascii="Cambria" w:hAnsi="Cambria"/>
      <w:b/>
      <w:bCs/>
      <w:kern w:val="2"/>
      <w:sz w:val="32"/>
      <w:szCs w:val="32"/>
    </w:rPr>
  </w:style>
  <w:style w:type="character" w:customStyle="1" w:styleId="142">
    <w:name w:val="书籍标题11"/>
    <w:qFormat/>
    <w:uiPriority w:val="0"/>
    <w:rPr>
      <w:b/>
      <w:bCs/>
      <w:smallCaps/>
      <w:spacing w:val="5"/>
    </w:rPr>
  </w:style>
  <w:style w:type="character" w:customStyle="1" w:styleId="143">
    <w:name w:val="Char Char21"/>
    <w:qFormat/>
    <w:uiPriority w:val="0"/>
    <w:rPr>
      <w:rFonts w:ascii="Times New Roman" w:hAnsi="Times New Roman" w:eastAsia="宋体" w:cs="Times New Roman"/>
      <w:b/>
      <w:bCs/>
      <w:kern w:val="44"/>
      <w:sz w:val="44"/>
      <w:szCs w:val="44"/>
    </w:rPr>
  </w:style>
  <w:style w:type="character" w:customStyle="1" w:styleId="144">
    <w:name w:val="正文文本缩进 Char"/>
    <w:link w:val="23"/>
    <w:qFormat/>
    <w:uiPriority w:val="0"/>
    <w:rPr>
      <w:rFonts w:eastAsia="宋体"/>
      <w:kern w:val="2"/>
      <w:sz w:val="24"/>
      <w:szCs w:val="24"/>
      <w:lang w:val="en-US" w:eastAsia="zh-CN" w:bidi="ar-SA"/>
    </w:rPr>
  </w:style>
  <w:style w:type="character" w:customStyle="1" w:styleId="145">
    <w:name w:val="不明显强调1"/>
    <w:qFormat/>
    <w:uiPriority w:val="0"/>
    <w:rPr>
      <w:i/>
      <w:iCs/>
      <w:color w:val="808080"/>
    </w:rPr>
  </w:style>
  <w:style w:type="character" w:customStyle="1" w:styleId="146">
    <w:name w:val="正文文本缩进 3 Char"/>
    <w:link w:val="44"/>
    <w:qFormat/>
    <w:uiPriority w:val="0"/>
    <w:rPr>
      <w:rFonts w:eastAsia="宋体"/>
      <w:kern w:val="2"/>
      <w:sz w:val="24"/>
      <w:szCs w:val="24"/>
      <w:lang w:val="en-US" w:eastAsia="zh-CN" w:bidi="ar-SA"/>
    </w:rPr>
  </w:style>
  <w:style w:type="character" w:customStyle="1" w:styleId="147">
    <w:name w:val="heading 5 Char"/>
    <w:qFormat/>
    <w:uiPriority w:val="0"/>
    <w:rPr>
      <w:rFonts w:ascii="Arial" w:hAnsi="Arial" w:eastAsia="黑体"/>
      <w:sz w:val="21"/>
      <w:szCs w:val="21"/>
    </w:rPr>
  </w:style>
  <w:style w:type="character" w:customStyle="1" w:styleId="148">
    <w:name w:val="Style3"/>
    <w:qFormat/>
    <w:uiPriority w:val="0"/>
    <w:rPr>
      <w:rFonts w:ascii="Calibri" w:hAnsi="宋体" w:eastAsia="宋体" w:cs="Times New Roman"/>
      <w:szCs w:val="22"/>
      <w:lang w:eastAsia="zh-CN"/>
    </w:rPr>
  </w:style>
  <w:style w:type="character" w:customStyle="1" w:styleId="149">
    <w:name w:val="标题 4 Char"/>
    <w:link w:val="6"/>
    <w:qFormat/>
    <w:uiPriority w:val="0"/>
    <w:rPr>
      <w:rFonts w:eastAsia="宋体"/>
      <w:kern w:val="2"/>
      <w:sz w:val="28"/>
      <w:szCs w:val="28"/>
      <w:lang w:val="en-US" w:eastAsia="zh-CN" w:bidi="ar-SA"/>
    </w:rPr>
  </w:style>
  <w:style w:type="character" w:customStyle="1" w:styleId="150">
    <w:name w:val="Char Char241"/>
    <w:qFormat/>
    <w:uiPriority w:val="0"/>
    <w:rPr>
      <w:rFonts w:eastAsia="宋体"/>
      <w:b/>
      <w:kern w:val="2"/>
      <w:sz w:val="28"/>
      <w:lang w:val="en-US" w:eastAsia="zh-CN" w:bidi="ar-SA"/>
    </w:rPr>
  </w:style>
  <w:style w:type="character" w:customStyle="1" w:styleId="151">
    <w:name w:val="批注框文本 Char"/>
    <w:link w:val="34"/>
    <w:qFormat/>
    <w:uiPriority w:val="0"/>
    <w:rPr>
      <w:rFonts w:eastAsia="宋体"/>
      <w:kern w:val="2"/>
      <w:sz w:val="18"/>
      <w:szCs w:val="18"/>
      <w:lang w:val="en-US" w:eastAsia="zh-CN" w:bidi="ar-SA"/>
    </w:rPr>
  </w:style>
  <w:style w:type="character" w:customStyle="1" w:styleId="152">
    <w:name w:val="标题 3 Char"/>
    <w:link w:val="5"/>
    <w:qFormat/>
    <w:uiPriority w:val="0"/>
    <w:rPr>
      <w:rFonts w:eastAsia="黑体"/>
      <w:b/>
      <w:kern w:val="2"/>
      <w:sz w:val="28"/>
      <w:lang w:val="en-US" w:eastAsia="zh-CN" w:bidi="ar-SA"/>
    </w:rPr>
  </w:style>
  <w:style w:type="character" w:customStyle="1" w:styleId="153">
    <w:name w:val="明显强调11"/>
    <w:qFormat/>
    <w:uiPriority w:val="0"/>
    <w:rPr>
      <w:b/>
      <w:bCs/>
      <w:i/>
      <w:iCs/>
      <w:color w:val="4F81BD"/>
    </w:rPr>
  </w:style>
  <w:style w:type="character" w:customStyle="1" w:styleId="154">
    <w:name w:val="签名 Char"/>
    <w:link w:val="37"/>
    <w:qFormat/>
    <w:uiPriority w:val="0"/>
    <w:rPr>
      <w:rFonts w:ascii="仿宋_GB2312" w:eastAsia="仿宋_GB2312"/>
      <w:b/>
      <w:sz w:val="24"/>
      <w:szCs w:val="32"/>
    </w:rPr>
  </w:style>
  <w:style w:type="character" w:customStyle="1" w:styleId="155">
    <w:name w:val="heading 3 Char2"/>
    <w:qFormat/>
    <w:uiPriority w:val="0"/>
    <w:rPr>
      <w:b/>
      <w:bCs/>
      <w:kern w:val="2"/>
      <w:sz w:val="32"/>
      <w:szCs w:val="32"/>
    </w:rPr>
  </w:style>
  <w:style w:type="character" w:customStyle="1" w:styleId="156">
    <w:name w:val="style21"/>
    <w:qFormat/>
    <w:uiPriority w:val="0"/>
    <w:rPr>
      <w:sz w:val="15"/>
      <w:szCs w:val="15"/>
    </w:rPr>
  </w:style>
  <w:style w:type="character" w:customStyle="1" w:styleId="157">
    <w:name w:val="Char Char271"/>
    <w:qFormat/>
    <w:uiPriority w:val="0"/>
    <w:rPr>
      <w:rFonts w:eastAsia="宋体"/>
      <w:kern w:val="2"/>
      <w:sz w:val="28"/>
      <w:lang w:val="en-US" w:eastAsia="zh-CN" w:bidi="ar-SA"/>
    </w:rPr>
  </w:style>
  <w:style w:type="character" w:customStyle="1" w:styleId="158">
    <w:name w:val="表格 Char Char"/>
    <w:link w:val="159"/>
    <w:qFormat/>
    <w:uiPriority w:val="0"/>
    <w:rPr>
      <w:rFonts w:ascii="宋体" w:hAnsi="宋体" w:eastAsia="宋体"/>
      <w:lang w:val="en-US" w:eastAsia="zh-CN" w:bidi="ar-SA"/>
    </w:rPr>
  </w:style>
  <w:style w:type="paragraph" w:customStyle="1" w:styleId="159">
    <w:name w:val="表格"/>
    <w:basedOn w:val="1"/>
    <w:link w:val="158"/>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160">
    <w:name w:val="heading 6 Char1"/>
    <w:qFormat/>
    <w:uiPriority w:val="0"/>
    <w:rPr>
      <w:rFonts w:ascii="Arial" w:hAnsi="Arial" w:eastAsia="黑体"/>
      <w:kern w:val="2"/>
      <w:sz w:val="24"/>
      <w:szCs w:val="24"/>
      <w:lang w:val="en-US" w:eastAsia="zh-CN" w:bidi="ar-SA"/>
    </w:rPr>
  </w:style>
  <w:style w:type="character" w:customStyle="1" w:styleId="161">
    <w:name w:val="Char Char211"/>
    <w:qFormat/>
    <w:uiPriority w:val="0"/>
    <w:rPr>
      <w:rFonts w:ascii="Times New Roman" w:hAnsi="Times New Roman" w:eastAsia="宋体" w:cs="Times New Roman"/>
      <w:b/>
      <w:bCs/>
      <w:kern w:val="44"/>
      <w:sz w:val="44"/>
      <w:szCs w:val="44"/>
    </w:rPr>
  </w:style>
  <w:style w:type="character" w:customStyle="1" w:styleId="162">
    <w:name w:val="不明显强调11"/>
    <w:qFormat/>
    <w:uiPriority w:val="0"/>
    <w:rPr>
      <w:i/>
      <w:iCs/>
      <w:color w:val="808080"/>
    </w:rPr>
  </w:style>
  <w:style w:type="character" w:customStyle="1" w:styleId="163">
    <w:name w:val="标题 9 Char"/>
    <w:link w:val="12"/>
    <w:qFormat/>
    <w:uiPriority w:val="0"/>
    <w:rPr>
      <w:rFonts w:ascii="Arial" w:hAnsi="Arial" w:eastAsia="黑体"/>
      <w:kern w:val="2"/>
      <w:sz w:val="21"/>
      <w:lang w:val="en-US" w:eastAsia="zh-CN" w:bidi="ar-SA"/>
    </w:rPr>
  </w:style>
  <w:style w:type="character" w:customStyle="1" w:styleId="164">
    <w:name w:val="正文文本 Char"/>
    <w:link w:val="21"/>
    <w:qFormat/>
    <w:uiPriority w:val="0"/>
    <w:rPr>
      <w:rFonts w:ascii="仿宋_GB2312" w:eastAsia="宋体"/>
      <w:b/>
      <w:kern w:val="2"/>
      <w:sz w:val="21"/>
      <w:szCs w:val="24"/>
      <w:lang w:val="en-US" w:eastAsia="zh-CN" w:bidi="ar-SA"/>
    </w:rPr>
  </w:style>
  <w:style w:type="character" w:customStyle="1" w:styleId="165">
    <w:name w:val="明显引用 Char"/>
    <w:link w:val="166"/>
    <w:qFormat/>
    <w:uiPriority w:val="0"/>
    <w:rPr>
      <w:rFonts w:ascii="Calibri" w:hAnsi="Calibri" w:eastAsia="宋体"/>
      <w:b/>
      <w:bCs/>
      <w:i/>
      <w:iCs/>
      <w:color w:val="4F81BD"/>
      <w:lang w:val="en-US" w:eastAsia="zh-CN" w:bidi="ar-SA"/>
    </w:rPr>
  </w:style>
  <w:style w:type="paragraph" w:styleId="166">
    <w:name w:val="Intense Quote"/>
    <w:basedOn w:val="1"/>
    <w:next w:val="1"/>
    <w:link w:val="165"/>
    <w:qFormat/>
    <w:uiPriority w:val="0"/>
    <w:pPr>
      <w:pBdr>
        <w:bottom w:val="single" w:color="4F81BD" w:sz="4" w:space="4"/>
      </w:pBdr>
      <w:spacing w:before="200" w:after="280"/>
      <w:ind w:left="936" w:right="936"/>
    </w:pPr>
    <w:rPr>
      <w:rFonts w:ascii="Calibri" w:hAnsi="Calibri"/>
      <w:b/>
      <w:bCs/>
      <w:i/>
      <w:iCs/>
      <w:color w:val="4F81BD"/>
      <w:kern w:val="0"/>
      <w:sz w:val="20"/>
      <w:szCs w:val="20"/>
    </w:rPr>
  </w:style>
  <w:style w:type="character" w:customStyle="1" w:styleId="167">
    <w:name w:val="heading 5 Char1"/>
    <w:qFormat/>
    <w:uiPriority w:val="0"/>
    <w:rPr>
      <w:rFonts w:eastAsia="宋体"/>
      <w:b/>
      <w:bCs/>
      <w:kern w:val="2"/>
      <w:sz w:val="28"/>
      <w:szCs w:val="28"/>
      <w:lang w:val="en-US" w:eastAsia="zh-CN" w:bidi="ar-SA"/>
    </w:rPr>
  </w:style>
  <w:style w:type="character" w:customStyle="1" w:styleId="168">
    <w:name w:val="Texte Char Char"/>
    <w:qFormat/>
    <w:uiPriority w:val="0"/>
    <w:rPr>
      <w:rFonts w:ascii="宋体" w:hAnsi="Courier New" w:eastAsia="宋体"/>
      <w:sz w:val="21"/>
      <w:szCs w:val="21"/>
      <w:lang w:val="en-US" w:eastAsia="zh-CN" w:bidi="ar-SA"/>
    </w:rPr>
  </w:style>
  <w:style w:type="character" w:customStyle="1" w:styleId="169">
    <w:name w:val="正文1 Char Char"/>
    <w:link w:val="170"/>
    <w:qFormat/>
    <w:uiPriority w:val="0"/>
    <w:rPr>
      <w:rFonts w:ascii="宋体" w:hAnsi="宋体" w:eastAsia="宋体" w:cs="宋体"/>
      <w:sz w:val="21"/>
      <w:lang w:val="en-US" w:eastAsia="zh-CN" w:bidi="ar-SA"/>
    </w:rPr>
  </w:style>
  <w:style w:type="paragraph" w:customStyle="1" w:styleId="170">
    <w:name w:val="正文1"/>
    <w:basedOn w:val="1"/>
    <w:link w:val="169"/>
    <w:qFormat/>
    <w:uiPriority w:val="0"/>
    <w:pPr>
      <w:widowControl/>
      <w:spacing w:line="360" w:lineRule="auto"/>
      <w:ind w:left="360" w:firstLine="420"/>
      <w:jc w:val="left"/>
    </w:pPr>
    <w:rPr>
      <w:rFonts w:ascii="宋体" w:hAnsi="宋体" w:cs="宋体"/>
      <w:kern w:val="0"/>
      <w:szCs w:val="20"/>
    </w:rPr>
  </w:style>
  <w:style w:type="character" w:customStyle="1" w:styleId="171">
    <w:name w:val="heading 8 Char1"/>
    <w:qFormat/>
    <w:uiPriority w:val="0"/>
    <w:rPr>
      <w:rFonts w:ascii="Arial" w:hAnsi="Arial" w:eastAsia="黑体"/>
      <w:sz w:val="24"/>
      <w:lang w:val="en-US" w:eastAsia="zh-CN" w:bidi="ar-SA"/>
    </w:rPr>
  </w:style>
  <w:style w:type="character" w:customStyle="1" w:styleId="172">
    <w:name w:val="heading 9 Char1"/>
    <w:qFormat/>
    <w:uiPriority w:val="0"/>
    <w:rPr>
      <w:rFonts w:ascii="Arial" w:hAnsi="Arial" w:eastAsia="黑体"/>
      <w:sz w:val="21"/>
      <w:lang w:val="en-US" w:eastAsia="zh-CN" w:bidi="ar-SA"/>
    </w:rPr>
  </w:style>
  <w:style w:type="character" w:customStyle="1" w:styleId="173">
    <w:name w:val="标题 6 Char"/>
    <w:link w:val="8"/>
    <w:qFormat/>
    <w:uiPriority w:val="0"/>
    <w:rPr>
      <w:rFonts w:ascii="Arial" w:hAnsi="Arial" w:eastAsia="黑体"/>
      <w:b/>
      <w:kern w:val="2"/>
      <w:sz w:val="24"/>
      <w:lang w:val="en-US" w:eastAsia="zh-CN" w:bidi="ar-SA"/>
    </w:rPr>
  </w:style>
  <w:style w:type="character" w:customStyle="1" w:styleId="174">
    <w:name w:val="ändrad Char1"/>
    <w:qFormat/>
    <w:uiPriority w:val="0"/>
    <w:rPr>
      <w:rFonts w:ascii="仿宋_GB2312" w:eastAsia="宋体"/>
      <w:b/>
      <w:kern w:val="2"/>
      <w:sz w:val="21"/>
      <w:szCs w:val="24"/>
      <w:lang w:val="en-US" w:eastAsia="zh-CN" w:bidi="ar-SA"/>
    </w:rPr>
  </w:style>
  <w:style w:type="character" w:customStyle="1" w:styleId="175">
    <w:name w:val="Char Char41"/>
    <w:qFormat/>
    <w:uiPriority w:val="0"/>
    <w:rPr>
      <w:rFonts w:ascii="Cambria" w:hAnsi="Cambria" w:eastAsia="宋体"/>
      <w:b/>
      <w:bCs/>
      <w:sz w:val="32"/>
      <w:szCs w:val="32"/>
      <w:lang w:bidi="ar-SA"/>
    </w:rPr>
  </w:style>
  <w:style w:type="character" w:customStyle="1" w:styleId="176">
    <w:name w:val="标题 8 Char"/>
    <w:link w:val="11"/>
    <w:qFormat/>
    <w:uiPriority w:val="0"/>
    <w:rPr>
      <w:rFonts w:ascii="Arial" w:hAnsi="Arial" w:eastAsia="黑体"/>
      <w:kern w:val="2"/>
      <w:sz w:val="24"/>
      <w:lang w:val="en-US" w:eastAsia="zh-CN" w:bidi="ar-SA"/>
    </w:rPr>
  </w:style>
  <w:style w:type="character" w:customStyle="1" w:styleId="177">
    <w:name w:val="Char Char11"/>
    <w:qFormat/>
    <w:uiPriority w:val="0"/>
    <w:rPr>
      <w:rFonts w:ascii="Times New Roman" w:hAnsi="Times New Roman" w:eastAsia="宋体" w:cs="Times New Roman"/>
      <w:sz w:val="18"/>
      <w:szCs w:val="18"/>
    </w:rPr>
  </w:style>
  <w:style w:type="character" w:customStyle="1" w:styleId="178">
    <w:name w:val="正文文本缩进 2 Char"/>
    <w:link w:val="33"/>
    <w:qFormat/>
    <w:uiPriority w:val="0"/>
    <w:rPr>
      <w:rFonts w:eastAsia="宋体"/>
      <w:kern w:val="2"/>
      <w:sz w:val="24"/>
      <w:szCs w:val="24"/>
      <w:lang w:val="en-US" w:eastAsia="zh-CN" w:bidi="ar-SA"/>
    </w:rPr>
  </w:style>
  <w:style w:type="character" w:customStyle="1" w:styleId="179">
    <w:name w:val="Char Char6"/>
    <w:qFormat/>
    <w:uiPriority w:val="0"/>
    <w:rPr>
      <w:rFonts w:ascii="Times New Roman" w:hAnsi="Times New Roman" w:eastAsia="宋体" w:cs="Times New Roman"/>
      <w:szCs w:val="24"/>
    </w:rPr>
  </w:style>
  <w:style w:type="character" w:customStyle="1" w:styleId="180">
    <w:name w:val="Char Char Char"/>
    <w:qFormat/>
    <w:uiPriority w:val="0"/>
    <w:rPr>
      <w:rFonts w:ascii="宋体" w:hAnsi="Courier New" w:eastAsia="宋体"/>
      <w:b/>
      <w:sz w:val="21"/>
      <w:szCs w:val="21"/>
      <w:lang w:val="en-US" w:eastAsia="zh-CN" w:bidi="ar-SA"/>
    </w:rPr>
  </w:style>
  <w:style w:type="character" w:customStyle="1" w:styleId="181">
    <w:name w:val="heading 2 Char"/>
    <w:qFormat/>
    <w:uiPriority w:val="0"/>
    <w:rPr>
      <w:rFonts w:ascii="Arial" w:hAnsi="Arial" w:eastAsia="黑体" w:cs="Times New Roman"/>
      <w:sz w:val="30"/>
      <w:szCs w:val="24"/>
    </w:rPr>
  </w:style>
  <w:style w:type="character" w:customStyle="1" w:styleId="182">
    <w:name w:val="Char Char2"/>
    <w:qFormat/>
    <w:uiPriority w:val="0"/>
    <w:rPr>
      <w:rFonts w:ascii="Arial" w:hAnsi="Arial" w:eastAsia="黑体"/>
      <w:b/>
      <w:bCs/>
      <w:kern w:val="44"/>
      <w:sz w:val="30"/>
      <w:szCs w:val="44"/>
      <w:lang w:val="en-US" w:eastAsia="zh-CN" w:bidi="ar-SA"/>
    </w:rPr>
  </w:style>
  <w:style w:type="character" w:customStyle="1" w:styleId="183">
    <w:name w:val="Footer-Even Char2"/>
    <w:qFormat/>
    <w:uiPriority w:val="0"/>
    <w:rPr>
      <w:kern w:val="2"/>
      <w:sz w:val="18"/>
      <w:szCs w:val="18"/>
    </w:rPr>
  </w:style>
  <w:style w:type="character" w:customStyle="1" w:styleId="184">
    <w:name w:val="Char Char17"/>
    <w:qFormat/>
    <w:uiPriority w:val="0"/>
    <w:rPr>
      <w:rFonts w:ascii="Cambria" w:hAnsi="Cambria"/>
      <w:b/>
      <w:bCs/>
      <w:kern w:val="2"/>
      <w:sz w:val="28"/>
      <w:szCs w:val="28"/>
    </w:rPr>
  </w:style>
  <w:style w:type="character" w:customStyle="1" w:styleId="185">
    <w:name w:val="heading 4 Char"/>
    <w:qFormat/>
    <w:uiPriority w:val="0"/>
    <w:rPr>
      <w:rFonts w:ascii="Arial" w:hAnsi="Arial" w:eastAsia="黑体" w:cs="Times New Roman"/>
      <w:sz w:val="21"/>
      <w:szCs w:val="21"/>
    </w:rPr>
  </w:style>
  <w:style w:type="character" w:customStyle="1" w:styleId="186">
    <w:name w:val="Char Char20"/>
    <w:qFormat/>
    <w:uiPriority w:val="0"/>
    <w:rPr>
      <w:b/>
      <w:bCs/>
      <w:kern w:val="44"/>
      <w:sz w:val="44"/>
      <w:szCs w:val="44"/>
    </w:rPr>
  </w:style>
  <w:style w:type="character" w:customStyle="1" w:styleId="187">
    <w:name w:val="heading 1 Char2"/>
    <w:qFormat/>
    <w:uiPriority w:val="0"/>
    <w:rPr>
      <w:b/>
      <w:bCs/>
      <w:kern w:val="44"/>
      <w:sz w:val="44"/>
      <w:szCs w:val="44"/>
    </w:rPr>
  </w:style>
  <w:style w:type="character" w:customStyle="1" w:styleId="188">
    <w:name w:val="font11"/>
    <w:qFormat/>
    <w:uiPriority w:val="0"/>
    <w:rPr>
      <w:rFonts w:hint="eastAsia" w:ascii="宋体" w:hAnsi="宋体" w:eastAsia="宋体" w:cs="宋体"/>
      <w:b/>
      <w:color w:val="000000"/>
      <w:sz w:val="20"/>
      <w:szCs w:val="20"/>
      <w:u w:val="none"/>
    </w:rPr>
  </w:style>
  <w:style w:type="character" w:customStyle="1" w:styleId="189">
    <w:name w:val="表正文 Char2"/>
    <w:qFormat/>
    <w:uiPriority w:val="0"/>
    <w:rPr>
      <w:rFonts w:ascii="Times New Roman" w:hAnsi="Times New Roman" w:eastAsia="宋体" w:cs="Times New Roman"/>
      <w:szCs w:val="24"/>
    </w:rPr>
  </w:style>
  <w:style w:type="character" w:customStyle="1" w:styleId="190">
    <w:name w:val="引用 Char"/>
    <w:link w:val="191"/>
    <w:qFormat/>
    <w:uiPriority w:val="0"/>
    <w:rPr>
      <w:rFonts w:ascii="Calibri" w:hAnsi="Calibri" w:eastAsia="宋体"/>
      <w:i/>
      <w:iCs/>
      <w:color w:val="000000"/>
      <w:lang w:val="en-US" w:eastAsia="zh-CN" w:bidi="ar-SA"/>
    </w:rPr>
  </w:style>
  <w:style w:type="paragraph" w:styleId="191">
    <w:name w:val="Quote"/>
    <w:basedOn w:val="1"/>
    <w:next w:val="1"/>
    <w:link w:val="190"/>
    <w:qFormat/>
    <w:uiPriority w:val="0"/>
    <w:rPr>
      <w:rFonts w:ascii="Calibri" w:hAnsi="Calibri"/>
      <w:i/>
      <w:iCs/>
      <w:color w:val="000000"/>
      <w:kern w:val="0"/>
      <w:sz w:val="20"/>
      <w:szCs w:val="20"/>
    </w:rPr>
  </w:style>
  <w:style w:type="character" w:customStyle="1" w:styleId="192">
    <w:name w:val="纯文本 Char"/>
    <w:link w:val="29"/>
    <w:qFormat/>
    <w:uiPriority w:val="0"/>
    <w:rPr>
      <w:rFonts w:ascii="宋体" w:hAnsi="Courier New" w:eastAsia="宋体"/>
      <w:b/>
      <w:sz w:val="21"/>
      <w:szCs w:val="21"/>
      <w:lang w:val="en-US" w:eastAsia="zh-CN" w:bidi="ar-SA"/>
    </w:rPr>
  </w:style>
  <w:style w:type="character" w:customStyle="1" w:styleId="193">
    <w:name w:val="Char Char19"/>
    <w:qFormat/>
    <w:uiPriority w:val="0"/>
    <w:rPr>
      <w:rFonts w:ascii="Cambria" w:hAnsi="Cambria"/>
      <w:b/>
      <w:bCs/>
      <w:kern w:val="2"/>
      <w:sz w:val="32"/>
      <w:szCs w:val="32"/>
    </w:rPr>
  </w:style>
  <w:style w:type="character" w:customStyle="1" w:styleId="194">
    <w:name w:val="style41"/>
    <w:qFormat/>
    <w:uiPriority w:val="0"/>
    <w:rPr>
      <w:color w:val="auto"/>
    </w:rPr>
  </w:style>
  <w:style w:type="character" w:customStyle="1" w:styleId="195">
    <w:name w:val="Char Char201"/>
    <w:qFormat/>
    <w:uiPriority w:val="0"/>
    <w:rPr>
      <w:rFonts w:ascii="Cambria" w:hAnsi="Cambria" w:eastAsia="宋体" w:cs="Times New Roman"/>
      <w:b/>
      <w:bCs/>
      <w:sz w:val="32"/>
      <w:szCs w:val="32"/>
    </w:rPr>
  </w:style>
  <w:style w:type="character" w:customStyle="1" w:styleId="196">
    <w:name w:val="正文首行缩进 Char"/>
    <w:link w:val="22"/>
    <w:qFormat/>
    <w:uiPriority w:val="0"/>
    <w:rPr>
      <w:rFonts w:eastAsia="宋体"/>
      <w:lang w:val="en-US" w:eastAsia="zh-CN" w:bidi="ar-SA"/>
    </w:rPr>
  </w:style>
  <w:style w:type="character" w:customStyle="1" w:styleId="197">
    <w:name w:val="smalltxt1"/>
    <w:qFormat/>
    <w:uiPriority w:val="0"/>
    <w:rPr>
      <w:rFonts w:hint="default" w:ascii="ˎ̥" w:hAnsi="ˎ̥"/>
      <w:sz w:val="24"/>
      <w:szCs w:val="24"/>
    </w:rPr>
  </w:style>
  <w:style w:type="character" w:customStyle="1" w:styleId="198">
    <w:name w:val="正文文本 2 Char"/>
    <w:basedOn w:val="54"/>
    <w:link w:val="47"/>
    <w:qFormat/>
    <w:uiPriority w:val="0"/>
  </w:style>
  <w:style w:type="paragraph" w:customStyle="1" w:styleId="199">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200">
    <w:name w:val="Char Char Char Char"/>
    <w:basedOn w:val="1"/>
    <w:qFormat/>
    <w:uiPriority w:val="0"/>
    <w:pPr>
      <w:autoSpaceDE w:val="0"/>
      <w:autoSpaceDN w:val="0"/>
      <w:adjustRightInd w:val="0"/>
      <w:jc w:val="left"/>
    </w:pPr>
    <w:rPr>
      <w:rFonts w:ascii="Tahoma" w:hAnsi="Tahoma"/>
      <w:kern w:val="0"/>
      <w:sz w:val="24"/>
      <w:szCs w:val="20"/>
    </w:rPr>
  </w:style>
  <w:style w:type="paragraph" w:customStyle="1" w:styleId="201">
    <w:name w:val="表内文字"/>
    <w:basedOn w:val="1"/>
    <w:qFormat/>
    <w:uiPriority w:val="0"/>
    <w:pPr>
      <w:spacing w:line="240" w:lineRule="atLeast"/>
      <w:jc w:val="center"/>
    </w:pPr>
    <w:rPr>
      <w:rFonts w:ascii="Arial" w:hAnsi="Arial" w:cs="Arial"/>
      <w:b/>
      <w:bCs/>
    </w:rPr>
  </w:style>
  <w:style w:type="paragraph" w:customStyle="1" w:styleId="202">
    <w:name w:val="列项——（一级）"/>
    <w:qFormat/>
    <w:uiPriority w:val="0"/>
    <w:pPr>
      <w:widowControl w:val="0"/>
      <w:tabs>
        <w:tab w:val="left" w:pos="854"/>
        <w:tab w:val="left" w:pos="1260"/>
      </w:tabs>
      <w:ind w:left="1260" w:hanging="420"/>
      <w:jc w:val="both"/>
    </w:pPr>
    <w:rPr>
      <w:rFonts w:ascii="宋体" w:hAnsi="Times New Roman" w:eastAsia="宋体" w:cs="Times New Roman"/>
      <w:sz w:val="21"/>
      <w:lang w:val="en-US" w:eastAsia="zh-CN" w:bidi="ar-SA"/>
    </w:rPr>
  </w:style>
  <w:style w:type="paragraph" w:customStyle="1" w:styleId="203">
    <w:name w:val="Char Char Char Char Char Char Char"/>
    <w:basedOn w:val="1"/>
    <w:qFormat/>
    <w:uiPriority w:val="0"/>
    <w:rPr>
      <w:rFonts w:ascii="仿宋_GB2312" w:eastAsia="仿宋_GB2312"/>
      <w:b/>
      <w:sz w:val="32"/>
      <w:szCs w:val="32"/>
    </w:rPr>
  </w:style>
  <w:style w:type="paragraph" w:customStyle="1" w:styleId="20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5">
    <w:name w:val="列出段落1"/>
    <w:basedOn w:val="1"/>
    <w:qFormat/>
    <w:uiPriority w:val="0"/>
    <w:pPr>
      <w:ind w:firstLine="420" w:firstLineChars="200"/>
    </w:pPr>
    <w:rPr>
      <w:szCs w:val="20"/>
    </w:rPr>
  </w:style>
  <w:style w:type="paragraph" w:customStyle="1" w:styleId="206">
    <w:name w:val="一级条标题"/>
    <w:next w:val="1"/>
    <w:qFormat/>
    <w:uiPriority w:val="0"/>
    <w:pPr>
      <w:tabs>
        <w:tab w:val="left" w:pos="3889"/>
      </w:tabs>
      <w:ind w:left="3889" w:hanging="420"/>
      <w:outlineLvl w:val="2"/>
    </w:pPr>
    <w:rPr>
      <w:rFonts w:ascii="Times New Roman" w:hAnsi="Times New Roman" w:eastAsia="黑体" w:cs="Times New Roman"/>
      <w:sz w:val="21"/>
      <w:lang w:val="en-US" w:eastAsia="zh-CN" w:bidi="ar-SA"/>
    </w:rPr>
  </w:style>
  <w:style w:type="paragraph" w:customStyle="1" w:styleId="207">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08">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09">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1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1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12">
    <w:name w:val="NICMAN Body Text"/>
    <w:basedOn w:val="1"/>
    <w:next w:val="21"/>
    <w:qFormat/>
    <w:uiPriority w:val="0"/>
    <w:pPr>
      <w:autoSpaceDE w:val="0"/>
      <w:autoSpaceDN w:val="0"/>
      <w:adjustRightInd w:val="0"/>
      <w:spacing w:after="120"/>
      <w:jc w:val="left"/>
    </w:pPr>
    <w:rPr>
      <w:kern w:val="0"/>
      <w:sz w:val="20"/>
      <w:szCs w:val="20"/>
    </w:rPr>
  </w:style>
  <w:style w:type="paragraph" w:customStyle="1" w:styleId="213">
    <w:name w:val="Char Char Char Char Char Char Char Char Char Char Char Char Char"/>
    <w:basedOn w:val="1"/>
    <w:qFormat/>
    <w:uiPriority w:val="0"/>
    <w:rPr>
      <w:rFonts w:ascii="Tahoma" w:hAnsi="Tahoma"/>
      <w:sz w:val="24"/>
      <w:szCs w:val="20"/>
    </w:rPr>
  </w:style>
  <w:style w:type="paragraph" w:customStyle="1" w:styleId="214">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15">
    <w:name w:val="正文缩进1"/>
    <w:basedOn w:val="1"/>
    <w:next w:val="23"/>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16">
    <w:name w:val="Table Heading"/>
    <w:qFormat/>
    <w:uiPriority w:val="0"/>
    <w:pPr>
      <w:keepNext/>
      <w:snapToGrid w:val="0"/>
      <w:spacing w:before="80" w:after="80"/>
      <w:jc w:val="center"/>
    </w:pPr>
    <w:rPr>
      <w:rFonts w:ascii="Times New Roman" w:hAnsi="Times New Roman" w:eastAsia="黑体" w:cs="Arial"/>
      <w:kern w:val="2"/>
      <w:sz w:val="18"/>
      <w:szCs w:val="18"/>
      <w:lang w:val="en-US" w:eastAsia="zh-CN" w:bidi="ar-SA"/>
    </w:rPr>
  </w:style>
  <w:style w:type="paragraph" w:customStyle="1" w:styleId="217">
    <w:name w:val="Char Char Char Char1"/>
    <w:basedOn w:val="17"/>
    <w:qFormat/>
    <w:uiPriority w:val="0"/>
    <w:rPr>
      <w:rFonts w:ascii="Tahoma" w:hAnsi="Tahoma"/>
      <w:sz w:val="24"/>
    </w:rPr>
  </w:style>
  <w:style w:type="paragraph" w:customStyle="1" w:styleId="218">
    <w:name w:val="正文 首行缩进:  2 字符 Char"/>
    <w:basedOn w:val="1"/>
    <w:qFormat/>
    <w:uiPriority w:val="0"/>
    <w:pPr>
      <w:spacing w:line="360" w:lineRule="auto"/>
      <w:ind w:firstLine="480"/>
    </w:pPr>
    <w:rPr>
      <w:rFonts w:cs="宋体"/>
      <w:sz w:val="24"/>
      <w:szCs w:val="20"/>
    </w:rPr>
  </w:style>
  <w:style w:type="paragraph" w:customStyle="1" w:styleId="219">
    <w:name w:val="样式1"/>
    <w:basedOn w:val="1"/>
    <w:qFormat/>
    <w:uiPriority w:val="0"/>
    <w:pPr>
      <w:autoSpaceDE w:val="0"/>
      <w:autoSpaceDN w:val="0"/>
      <w:adjustRightInd w:val="0"/>
      <w:spacing w:line="400" w:lineRule="exact"/>
    </w:pPr>
    <w:rPr>
      <w:rFonts w:ascii="宋体" w:cs="宋体"/>
      <w:kern w:val="0"/>
    </w:rPr>
  </w:style>
  <w:style w:type="paragraph" w:customStyle="1" w:styleId="22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21">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222">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23">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224">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225">
    <w:name w:val="二级条标题"/>
    <w:basedOn w:val="206"/>
    <w:next w:val="1"/>
    <w:qFormat/>
    <w:uiPriority w:val="0"/>
    <w:pPr>
      <w:tabs>
        <w:tab w:val="left" w:pos="4309"/>
        <w:tab w:val="clear" w:pos="3889"/>
      </w:tabs>
      <w:ind w:left="4309"/>
      <w:outlineLvl w:val="3"/>
    </w:pPr>
  </w:style>
  <w:style w:type="paragraph" w:customStyle="1" w:styleId="226">
    <w:name w:val="正文－恩普"/>
    <w:basedOn w:val="9"/>
    <w:qFormat/>
    <w:uiPriority w:val="0"/>
    <w:pPr>
      <w:adjustRightInd/>
      <w:spacing w:line="360" w:lineRule="auto"/>
      <w:ind w:firstLine="200" w:firstLineChars="200"/>
      <w:textAlignment w:val="auto"/>
    </w:pPr>
    <w:rPr>
      <w:kern w:val="2"/>
      <w:sz w:val="24"/>
      <w:szCs w:val="24"/>
    </w:rPr>
  </w:style>
  <w:style w:type="paragraph" w:customStyle="1" w:styleId="227">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28">
    <w:name w:val="正文（首行缩进）"/>
    <w:basedOn w:val="23"/>
    <w:qFormat/>
    <w:uiPriority w:val="0"/>
    <w:pPr>
      <w:widowControl/>
      <w:overflowPunct w:val="0"/>
      <w:autoSpaceDE w:val="0"/>
      <w:autoSpaceDN w:val="0"/>
      <w:adjustRightInd w:val="0"/>
      <w:spacing w:beforeLines="50" w:after="120" w:line="400" w:lineRule="exact"/>
      <w:ind w:left="200" w:leftChars="200" w:firstLine="200" w:firstLineChars="200"/>
      <w:jc w:val="left"/>
      <w:textAlignment w:val="baseline"/>
    </w:pPr>
    <w:rPr>
      <w:spacing w:val="10"/>
      <w:kern w:val="0"/>
      <w:szCs w:val="20"/>
    </w:rPr>
  </w:style>
  <w:style w:type="paragraph" w:customStyle="1" w:styleId="229">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30">
    <w:name w:val="文字"/>
    <w:basedOn w:val="1"/>
    <w:qFormat/>
    <w:uiPriority w:val="0"/>
    <w:pPr>
      <w:tabs>
        <w:tab w:val="left" w:pos="8520"/>
      </w:tabs>
      <w:spacing w:line="312" w:lineRule="auto"/>
      <w:ind w:right="-210" w:firstLine="556"/>
    </w:pPr>
    <w:rPr>
      <w:rFonts w:ascii="宋体"/>
      <w:sz w:val="28"/>
      <w:szCs w:val="20"/>
    </w:rPr>
  </w:style>
  <w:style w:type="paragraph" w:customStyle="1" w:styleId="231">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32">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33">
    <w:name w:val="标准段落"/>
    <w:basedOn w:val="1"/>
    <w:qFormat/>
    <w:uiPriority w:val="0"/>
    <w:pPr>
      <w:spacing w:after="120" w:line="360" w:lineRule="auto"/>
      <w:ind w:firstLine="420"/>
    </w:pPr>
    <w:rPr>
      <w:rFonts w:ascii="黑体" w:hAnsi="宋体" w:eastAsia="黑体"/>
      <w:b/>
      <w:spacing w:val="6"/>
      <w:szCs w:val="22"/>
    </w:rPr>
  </w:style>
  <w:style w:type="paragraph" w:customStyle="1" w:styleId="234">
    <w:name w:val="三级条标题"/>
    <w:basedOn w:val="225"/>
    <w:next w:val="1"/>
    <w:qFormat/>
    <w:uiPriority w:val="0"/>
    <w:pPr>
      <w:tabs>
        <w:tab w:val="left" w:pos="4729"/>
        <w:tab w:val="clear" w:pos="4309"/>
      </w:tabs>
      <w:ind w:left="4729"/>
      <w:outlineLvl w:val="4"/>
    </w:pPr>
  </w:style>
  <w:style w:type="paragraph" w:customStyle="1" w:styleId="235">
    <w:name w:val="Test2"/>
    <w:basedOn w:val="4"/>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36">
    <w:name w:val="默认段落字体 Para Char Char Char Char Char Char Char"/>
    <w:basedOn w:val="1"/>
    <w:qFormat/>
    <w:uiPriority w:val="0"/>
  </w:style>
  <w:style w:type="paragraph" w:customStyle="1" w:styleId="237">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38">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39">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40">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41">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42">
    <w:name w:val="列表段落1"/>
    <w:basedOn w:val="1"/>
    <w:qFormat/>
    <w:uiPriority w:val="0"/>
    <w:pPr>
      <w:ind w:firstLine="420" w:firstLineChars="200"/>
    </w:pPr>
    <w:rPr>
      <w:rFonts w:ascii="Calibri" w:hAnsi="Calibri"/>
      <w:szCs w:val="22"/>
    </w:rPr>
  </w:style>
  <w:style w:type="paragraph" w:customStyle="1" w:styleId="243">
    <w:name w:val="五级条标题"/>
    <w:basedOn w:val="244"/>
    <w:next w:val="1"/>
    <w:qFormat/>
    <w:uiPriority w:val="0"/>
    <w:pPr>
      <w:tabs>
        <w:tab w:val="left" w:pos="5149"/>
        <w:tab w:val="left" w:pos="5569"/>
      </w:tabs>
      <w:ind w:left="5569"/>
      <w:outlineLvl w:val="6"/>
    </w:pPr>
  </w:style>
  <w:style w:type="paragraph" w:customStyle="1" w:styleId="244">
    <w:name w:val="四级条标题"/>
    <w:basedOn w:val="234"/>
    <w:next w:val="1"/>
    <w:qFormat/>
    <w:uiPriority w:val="0"/>
    <w:pPr>
      <w:tabs>
        <w:tab w:val="left" w:pos="5149"/>
        <w:tab w:val="clear" w:pos="4729"/>
      </w:tabs>
      <w:ind w:left="5149"/>
      <w:outlineLvl w:val="5"/>
    </w:pPr>
  </w:style>
  <w:style w:type="paragraph" w:customStyle="1" w:styleId="245">
    <w:name w:val="正文-宋体四号"/>
    <w:basedOn w:val="1"/>
    <w:qFormat/>
    <w:uiPriority w:val="0"/>
    <w:pPr>
      <w:spacing w:line="360" w:lineRule="auto"/>
      <w:ind w:firstLine="560" w:firstLineChars="200"/>
    </w:pPr>
    <w:rPr>
      <w:rFonts w:cs="宋体"/>
      <w:sz w:val="28"/>
      <w:szCs w:val="20"/>
    </w:rPr>
  </w:style>
  <w:style w:type="paragraph" w:customStyle="1" w:styleId="246">
    <w:name w:val="纯文本1"/>
    <w:basedOn w:val="1"/>
    <w:qFormat/>
    <w:uiPriority w:val="0"/>
    <w:pPr>
      <w:adjustRightInd w:val="0"/>
      <w:textAlignment w:val="baseline"/>
    </w:pPr>
    <w:rPr>
      <w:rFonts w:ascii="宋体" w:hAnsi="Courier New" w:eastAsia="楷体_GB2312"/>
      <w:sz w:val="28"/>
      <w:szCs w:val="20"/>
    </w:rPr>
  </w:style>
  <w:style w:type="paragraph" w:customStyle="1" w:styleId="247">
    <w:name w:val="Char2"/>
    <w:basedOn w:val="1"/>
    <w:qFormat/>
    <w:uiPriority w:val="0"/>
  </w:style>
  <w:style w:type="paragraph" w:customStyle="1" w:styleId="248">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49">
    <w:name w:val="样式5"/>
    <w:basedOn w:val="9"/>
    <w:qFormat/>
    <w:uiPriority w:val="0"/>
    <w:pPr>
      <w:adjustRightInd/>
      <w:spacing w:line="360" w:lineRule="auto"/>
      <w:ind w:firstLine="200" w:firstLineChars="200"/>
      <w:textAlignment w:val="auto"/>
    </w:pPr>
    <w:rPr>
      <w:sz w:val="28"/>
      <w:szCs w:val="21"/>
    </w:rPr>
  </w:style>
  <w:style w:type="paragraph" w:customStyle="1" w:styleId="250">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251">
    <w:name w:val="Char Char Char Char Char Char Char Char Char Char Char Char Char1"/>
    <w:basedOn w:val="1"/>
    <w:qFormat/>
    <w:uiPriority w:val="0"/>
  </w:style>
  <w:style w:type="paragraph" w:customStyle="1" w:styleId="252">
    <w:name w:val="样式 标题 1Level 1Level 11h1II+IHeading1H1-Heading 1Header 1..."/>
    <w:basedOn w:val="3"/>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53">
    <w:name w:val="样式 标题 3 + 黑色 段前: 5 磅 段后: 5 磅 行距: 1.5 倍行距"/>
    <w:basedOn w:val="1"/>
    <w:qFormat/>
    <w:uiPriority w:val="0"/>
    <w:pPr>
      <w:ind w:left="855" w:hanging="855"/>
    </w:pPr>
    <w:rPr>
      <w:sz w:val="24"/>
      <w:szCs w:val="20"/>
    </w:rPr>
  </w:style>
  <w:style w:type="paragraph" w:customStyle="1" w:styleId="254">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55">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256">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57">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58">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59">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260">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261">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26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6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6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5">
    <w:name w:val="tabletext"/>
    <w:basedOn w:val="1"/>
    <w:qFormat/>
    <w:uiPriority w:val="0"/>
    <w:pPr>
      <w:widowControl/>
      <w:spacing w:line="300" w:lineRule="atLeast"/>
      <w:jc w:val="left"/>
    </w:pPr>
    <w:rPr>
      <w:rFonts w:ascii="宋体" w:hAnsi="宋体" w:cs="宋体"/>
      <w:kern w:val="0"/>
      <w:sz w:val="18"/>
      <w:szCs w:val="18"/>
    </w:rPr>
  </w:style>
  <w:style w:type="paragraph" w:customStyle="1" w:styleId="266">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267">
    <w:name w:val="TOC 标题1"/>
    <w:basedOn w:val="3"/>
    <w:next w:val="1"/>
    <w:unhideWhenUsed/>
    <w:qFormat/>
    <w:uiPriority w:val="39"/>
    <w:pPr>
      <w:widowControl/>
      <w:spacing w:before="480" w:line="276" w:lineRule="auto"/>
      <w:jc w:val="left"/>
      <w:outlineLvl w:val="9"/>
    </w:pPr>
    <w:rPr>
      <w:rFonts w:ascii="Cambria" w:hAnsi="Cambria" w:eastAsia="宋体"/>
      <w:color w:val="366091"/>
      <w:kern w:val="0"/>
      <w:sz w:val="28"/>
      <w:szCs w:val="28"/>
    </w:rPr>
  </w:style>
  <w:style w:type="paragraph" w:customStyle="1" w:styleId="268">
    <w:name w:val="xl55"/>
    <w:basedOn w:val="1"/>
    <w:qFormat/>
    <w:uiPriority w:val="0"/>
    <w:pPr>
      <w:widowControl/>
      <w:spacing w:before="100" w:beforeAutospacing="1" w:after="100" w:afterAutospacing="1"/>
      <w:jc w:val="center"/>
      <w:textAlignment w:val="center"/>
    </w:pPr>
    <w:rPr>
      <w:rFonts w:ascii="Arial Unicode MS" w:hAnsi="Arial Unicode MS"/>
      <w:kern w:val="0"/>
      <w:sz w:val="24"/>
    </w:rPr>
  </w:style>
  <w:style w:type="paragraph" w:customStyle="1" w:styleId="269">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70">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271">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72">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273">
    <w:name w:val="简单回函地址"/>
    <w:basedOn w:val="1"/>
    <w:qFormat/>
    <w:uiPriority w:val="0"/>
  </w:style>
  <w:style w:type="paragraph" w:customStyle="1" w:styleId="274">
    <w:name w:val="前言、引言标题"/>
    <w:next w:val="1"/>
    <w:qFormat/>
    <w:uiPriority w:val="0"/>
    <w:pPr>
      <w:shd w:val="clear" w:color="FFFFFF" w:fill="FFFFFF"/>
      <w:tabs>
        <w:tab w:val="left" w:pos="3349"/>
      </w:tabs>
      <w:spacing w:before="640" w:after="560"/>
      <w:ind w:left="3349" w:hanging="720"/>
      <w:jc w:val="center"/>
      <w:outlineLvl w:val="0"/>
    </w:pPr>
    <w:rPr>
      <w:rFonts w:ascii="黑体" w:hAnsi="Times New Roman" w:eastAsia="黑体" w:cs="Times New Roman"/>
      <w:sz w:val="32"/>
      <w:lang w:val="en-US" w:eastAsia="zh-CN" w:bidi="ar-SA"/>
    </w:rPr>
  </w:style>
  <w:style w:type="paragraph" w:customStyle="1" w:styleId="275">
    <w:name w:val="正文_0"/>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276">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277">
    <w:name w:val="1 Char"/>
    <w:basedOn w:val="9"/>
    <w:qFormat/>
    <w:uiPriority w:val="0"/>
    <w:pPr>
      <w:adjustRightInd/>
      <w:spacing w:line="360" w:lineRule="auto"/>
      <w:ind w:firstLine="200" w:firstLineChars="200"/>
      <w:textAlignment w:val="auto"/>
    </w:pPr>
    <w:rPr>
      <w:kern w:val="2"/>
    </w:rPr>
  </w:style>
  <w:style w:type="paragraph" w:customStyle="1" w:styleId="278">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9">
    <w:name w:val="TOC 标题2"/>
    <w:basedOn w:val="3"/>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80">
    <w:name w:val="Char Char"/>
    <w:basedOn w:val="1"/>
    <w:qFormat/>
    <w:uiPriority w:val="0"/>
    <w:rPr>
      <w:rFonts w:ascii="仿宋_GB2312" w:eastAsia="仿宋_GB2312"/>
      <w:b/>
      <w:sz w:val="32"/>
      <w:szCs w:val="32"/>
    </w:rPr>
  </w:style>
  <w:style w:type="paragraph" w:customStyle="1" w:styleId="281">
    <w:name w:val="l正文"/>
    <w:basedOn w:val="1"/>
    <w:qFormat/>
    <w:uiPriority w:val="0"/>
    <w:pPr>
      <w:spacing w:line="360" w:lineRule="auto"/>
      <w:ind w:firstLine="200" w:firstLineChars="200"/>
    </w:pPr>
    <w:rPr>
      <w:rFonts w:ascii="宋体" w:hAnsi="宋体"/>
      <w:sz w:val="24"/>
    </w:rPr>
  </w:style>
  <w:style w:type="paragraph" w:customStyle="1" w:styleId="282">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28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84">
    <w:name w:val="Item List in Table"/>
    <w:qFormat/>
    <w:uiPriority w:val="0"/>
    <w:pPr>
      <w:tabs>
        <w:tab w:val="left" w:pos="284"/>
        <w:tab w:val="left" w:pos="720"/>
      </w:tabs>
      <w:spacing w:before="40" w:after="40"/>
      <w:ind w:left="720" w:hanging="720"/>
      <w:jc w:val="both"/>
    </w:pPr>
    <w:rPr>
      <w:rFonts w:ascii="Times New Roman" w:hAnsi="Times New Roman" w:eastAsia="宋体" w:cs="Arial"/>
      <w:kern w:val="2"/>
      <w:sz w:val="18"/>
      <w:szCs w:val="18"/>
      <w:lang w:val="en-US" w:eastAsia="zh-CN" w:bidi="ar-SA"/>
    </w:rPr>
  </w:style>
  <w:style w:type="paragraph" w:customStyle="1" w:styleId="285">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86">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87">
    <w:name w:val="Char Char Char Char Char Char Char1"/>
    <w:basedOn w:val="1"/>
    <w:qFormat/>
    <w:uiPriority w:val="0"/>
    <w:rPr>
      <w:rFonts w:ascii="仿宋_GB2312" w:eastAsia="仿宋_GB2312"/>
      <w:b/>
      <w:sz w:val="32"/>
      <w:szCs w:val="32"/>
    </w:rPr>
  </w:style>
  <w:style w:type="paragraph" w:customStyle="1" w:styleId="288">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89">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90">
    <w:name w:val="标题2"/>
    <w:basedOn w:val="4"/>
    <w:qFormat/>
    <w:uiPriority w:val="0"/>
    <w:pPr>
      <w:tabs>
        <w:tab w:val="left" w:pos="709"/>
      </w:tabs>
    </w:pPr>
    <w:rPr>
      <w:rFonts w:ascii="宋体" w:hAnsi="宋体"/>
      <w:sz w:val="36"/>
      <w:szCs w:val="36"/>
    </w:rPr>
  </w:style>
  <w:style w:type="paragraph" w:customStyle="1" w:styleId="291">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9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293">
    <w:name w:val="Char1"/>
    <w:basedOn w:val="1"/>
    <w:qFormat/>
    <w:uiPriority w:val="0"/>
    <w:rPr>
      <w:rFonts w:ascii="仿宋_GB2312" w:eastAsia="仿宋_GB2312"/>
      <w:b/>
      <w:sz w:val="32"/>
      <w:szCs w:val="32"/>
    </w:rPr>
  </w:style>
  <w:style w:type="paragraph" w:customStyle="1" w:styleId="294">
    <w:name w:val="正文字缩2字"/>
    <w:basedOn w:val="1"/>
    <w:qFormat/>
    <w:uiPriority w:val="0"/>
    <w:pPr>
      <w:spacing w:before="60" w:after="60" w:line="360" w:lineRule="auto"/>
      <w:ind w:left="200" w:leftChars="200" w:firstLine="200" w:firstLineChars="200"/>
    </w:pPr>
    <w:rPr>
      <w:sz w:val="24"/>
    </w:rPr>
  </w:style>
  <w:style w:type="paragraph" w:customStyle="1" w:styleId="295">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6">
    <w:name w:val="保留正文"/>
    <w:basedOn w:val="21"/>
    <w:qFormat/>
    <w:uiPriority w:val="0"/>
    <w:pPr>
      <w:keepNext/>
      <w:spacing w:after="160"/>
    </w:pPr>
    <w:rPr>
      <w:szCs w:val="20"/>
    </w:rPr>
  </w:style>
  <w:style w:type="paragraph" w:customStyle="1" w:styleId="297">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8">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99">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00">
    <w:name w:val="Char"/>
    <w:basedOn w:val="1"/>
    <w:qFormat/>
    <w:uiPriority w:val="0"/>
    <w:rPr>
      <w:rFonts w:ascii="仿宋_GB2312" w:eastAsia="仿宋_GB2312"/>
      <w:b/>
      <w:sz w:val="32"/>
      <w:szCs w:val="32"/>
    </w:rPr>
  </w:style>
  <w:style w:type="paragraph" w:customStyle="1" w:styleId="301">
    <w:name w:val="Char21"/>
    <w:basedOn w:val="1"/>
    <w:qFormat/>
    <w:uiPriority w:val="0"/>
    <w:pPr>
      <w:autoSpaceDE w:val="0"/>
      <w:autoSpaceDN w:val="0"/>
      <w:adjustRightInd w:val="0"/>
      <w:jc w:val="left"/>
    </w:pPr>
    <w:rPr>
      <w:rFonts w:ascii="仿宋_GB2312" w:eastAsia="仿宋_GB2312"/>
      <w:b/>
      <w:kern w:val="0"/>
      <w:sz w:val="32"/>
      <w:szCs w:val="32"/>
    </w:rPr>
  </w:style>
  <w:style w:type="paragraph" w:customStyle="1" w:styleId="302">
    <w:name w:val="正文文字表格居中"/>
    <w:basedOn w:val="1"/>
    <w:next w:val="47"/>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04">
    <w:name w:val="Char1 Char Char Char Char Char Char"/>
    <w:basedOn w:val="1"/>
    <w:qFormat/>
    <w:uiPriority w:val="0"/>
    <w:rPr>
      <w:rFonts w:ascii="宋体" w:hAnsi="宋体"/>
      <w:color w:val="000000"/>
      <w:sz w:val="24"/>
    </w:rPr>
  </w:style>
  <w:style w:type="paragraph" w:customStyle="1" w:styleId="305">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306">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307">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308">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309">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310">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312">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313">
    <w:name w:val="features1"/>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14">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15">
    <w:name w:val="章标题"/>
    <w:next w:val="1"/>
    <w:qFormat/>
    <w:uiPriority w:val="0"/>
    <w:pPr>
      <w:tabs>
        <w:tab w:val="left" w:pos="3469"/>
      </w:tabs>
      <w:spacing w:beforeLines="50" w:afterLines="50"/>
      <w:ind w:left="3469" w:hanging="420"/>
      <w:jc w:val="both"/>
      <w:outlineLvl w:val="1"/>
    </w:pPr>
    <w:rPr>
      <w:rFonts w:ascii="黑体" w:hAnsi="Times New Roman" w:eastAsia="黑体" w:cs="Times New Roman"/>
      <w:sz w:val="21"/>
      <w:lang w:val="en-US" w:eastAsia="zh-CN" w:bidi="ar-SA"/>
    </w:rPr>
  </w:style>
  <w:style w:type="paragraph" w:customStyle="1" w:styleId="316">
    <w:name w:val="样式 标题 3 + 黑体 小四 非加粗"/>
    <w:basedOn w:val="5"/>
    <w:qFormat/>
    <w:uiPriority w:val="0"/>
    <w:pPr>
      <w:spacing w:before="260" w:after="260" w:line="413" w:lineRule="auto"/>
    </w:pPr>
    <w:rPr>
      <w:rFonts w:ascii="黑体" w:hAnsi="黑体"/>
      <w:b w:val="0"/>
      <w:kern w:val="0"/>
      <w:sz w:val="24"/>
      <w:szCs w:val="32"/>
    </w:rPr>
  </w:style>
  <w:style w:type="paragraph" w:customStyle="1" w:styleId="317">
    <w:name w:val="正文_0_0"/>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318">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319">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32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21">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22">
    <w:name w:val="文档正文"/>
    <w:basedOn w:val="1"/>
    <w:qFormat/>
    <w:uiPriority w:val="0"/>
    <w:pPr>
      <w:adjustRightInd w:val="0"/>
      <w:spacing w:line="300" w:lineRule="auto"/>
      <w:ind w:firstLine="567"/>
      <w:textAlignment w:val="baseline"/>
    </w:pPr>
    <w:rPr>
      <w:kern w:val="0"/>
      <w:sz w:val="24"/>
      <w:szCs w:val="20"/>
    </w:rPr>
  </w:style>
  <w:style w:type="paragraph" w:customStyle="1" w:styleId="323">
    <w:name w:val="列出段落2"/>
    <w:basedOn w:val="1"/>
    <w:qFormat/>
    <w:uiPriority w:val="0"/>
    <w:pPr>
      <w:ind w:firstLine="420" w:firstLineChars="200"/>
    </w:pPr>
  </w:style>
  <w:style w:type="paragraph" w:customStyle="1" w:styleId="324">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325">
    <w:name w:val="È±Ê¡ÎÄ±¾ Char"/>
    <w:basedOn w:val="1"/>
    <w:qFormat/>
    <w:uiPriority w:val="0"/>
    <w:pPr>
      <w:widowControl/>
      <w:overflowPunct w:val="0"/>
      <w:autoSpaceDE w:val="0"/>
      <w:autoSpaceDN w:val="0"/>
      <w:adjustRightInd w:val="0"/>
      <w:textAlignment w:val="baseline"/>
    </w:pPr>
    <w:rPr>
      <w:szCs w:val="21"/>
      <w:lang w:val="zh-CN"/>
    </w:rPr>
  </w:style>
  <w:style w:type="paragraph" w:customStyle="1" w:styleId="326">
    <w:name w:val="p0"/>
    <w:basedOn w:val="1"/>
    <w:qFormat/>
    <w:uiPriority w:val="0"/>
    <w:pPr>
      <w:widowControl/>
    </w:pPr>
    <w:rPr>
      <w:kern w:val="0"/>
      <w:szCs w:val="21"/>
    </w:rPr>
  </w:style>
  <w:style w:type="paragraph" w:customStyle="1" w:styleId="327">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table" w:customStyle="1" w:styleId="328">
    <w:name w:val="TableGrid"/>
    <w:qFormat/>
    <w:uiPriority w:val="0"/>
    <w:tblPr>
      <w:tblCellMar>
        <w:top w:w="0" w:type="dxa"/>
        <w:left w:w="0" w:type="dxa"/>
        <w:bottom w:w="0" w:type="dxa"/>
        <w:right w:w="0" w:type="dxa"/>
      </w:tblCellMar>
    </w:tblPr>
  </w:style>
  <w:style w:type="paragraph" w:styleId="329">
    <w:name w:val="List Paragraph"/>
    <w:basedOn w:val="1"/>
    <w:qFormat/>
    <w:uiPriority w:val="99"/>
    <w:pPr>
      <w:ind w:firstLine="420" w:firstLineChars="200"/>
    </w:pPr>
  </w:style>
  <w:style w:type="paragraph" w:customStyle="1" w:styleId="330">
    <w:name w:val="正文段"/>
    <w:basedOn w:val="1"/>
    <w:qFormat/>
    <w:uiPriority w:val="0"/>
    <w:pPr>
      <w:widowControl/>
      <w:snapToGrid w:val="0"/>
      <w:spacing w:afterLines="50"/>
      <w:ind w:firstLine="200" w:firstLineChars="200"/>
    </w:pPr>
    <w:rPr>
      <w:sz w:val="24"/>
      <w:szCs w:val="20"/>
    </w:rPr>
  </w:style>
  <w:style w:type="paragraph" w:customStyle="1" w:styleId="331">
    <w:name w:val="_Style 3"/>
    <w:basedOn w:val="1"/>
    <w:next w:val="1"/>
    <w:qFormat/>
    <w:uiPriority w:val="34"/>
    <w:pPr>
      <w:spacing w:line="360" w:lineRule="auto"/>
      <w:ind w:firstLine="420" w:firstLineChars="200"/>
    </w:pPr>
  </w:style>
  <w:style w:type="paragraph" w:customStyle="1" w:styleId="332">
    <w:name w:val="_Style 2"/>
    <w:basedOn w:val="1"/>
    <w:next w:val="1"/>
    <w:qFormat/>
    <w:uiPriority w:val="0"/>
    <w:pPr>
      <w:pBdr>
        <w:bottom w:val="single" w:color="auto" w:sz="6" w:space="1"/>
      </w:pBdr>
      <w:jc w:val="center"/>
    </w:pPr>
    <w:rPr>
      <w:rFonts w:ascii="Arial"/>
      <w:vanish/>
      <w:sz w:val="16"/>
    </w:rPr>
  </w:style>
  <w:style w:type="character" w:customStyle="1" w:styleId="333">
    <w:name w:val="font31"/>
    <w:basedOn w:val="54"/>
    <w:qFormat/>
    <w:uiPriority w:val="0"/>
    <w:rPr>
      <w:rFonts w:hint="eastAsia" w:ascii="宋体" w:hAnsi="宋体" w:eastAsia="宋体" w:cs="宋体"/>
      <w:color w:val="000000"/>
      <w:sz w:val="24"/>
      <w:szCs w:val="24"/>
      <w:u w:val="single"/>
    </w:rPr>
  </w:style>
  <w:style w:type="paragraph" w:customStyle="1" w:styleId="334">
    <w:name w:val="表格文字"/>
    <w:basedOn w:val="1"/>
    <w:next w:val="21"/>
    <w:qFormat/>
    <w:uiPriority w:val="0"/>
    <w:pPr>
      <w:adjustRightInd w:val="0"/>
      <w:spacing w:line="420" w:lineRule="atLeast"/>
      <w:jc w:val="left"/>
      <w:textAlignment w:val="baseline"/>
    </w:pPr>
    <w:rPr>
      <w:kern w:val="0"/>
    </w:rPr>
  </w:style>
  <w:style w:type="character" w:customStyle="1" w:styleId="335">
    <w:name w:val="font01"/>
    <w:basedOn w:val="54"/>
    <w:qFormat/>
    <w:uiPriority w:val="0"/>
    <w:rPr>
      <w:rFonts w:ascii="Arial" w:hAnsi="Arial" w:cs="Arial"/>
      <w:color w:val="000000"/>
      <w:sz w:val="18"/>
      <w:szCs w:val="18"/>
      <w:u w:val="none"/>
    </w:rPr>
  </w:style>
  <w:style w:type="paragraph" w:customStyle="1" w:styleId="336">
    <w:name w:val="列出段落3"/>
    <w:basedOn w:val="1"/>
    <w:qFormat/>
    <w:uiPriority w:val="34"/>
    <w:pPr>
      <w:adjustRightInd w:val="0"/>
      <w:snapToGrid w:val="0"/>
      <w:spacing w:after="200"/>
      <w:ind w:firstLine="420" w:firstLineChars="200"/>
    </w:pPr>
    <w:rPr>
      <w:rFonts w:ascii="Tahoma" w:hAnsi="Tahoma" w:eastAsia="微软雅黑"/>
      <w:sz w:val="22"/>
    </w:rPr>
  </w:style>
  <w:style w:type="paragraph" w:customStyle="1" w:styleId="337">
    <w:name w:val="标题3 附件1"/>
    <w:basedOn w:val="1"/>
    <w:qFormat/>
    <w:uiPriority w:val="0"/>
    <w:pPr>
      <w:keepNext/>
      <w:keepLines/>
      <w:spacing w:before="340" w:after="330" w:line="360" w:lineRule="exact"/>
      <w:jc w:val="left"/>
      <w:outlineLvl w:val="2"/>
    </w:pPr>
    <w:rPr>
      <w:b/>
      <w:bCs/>
      <w:kern w:val="44"/>
      <w:szCs w:val="21"/>
    </w:rPr>
  </w:style>
  <w:style w:type="character" w:customStyle="1" w:styleId="338">
    <w:name w:val="font61"/>
    <w:basedOn w:val="54"/>
    <w:qFormat/>
    <w:uiPriority w:val="0"/>
    <w:rPr>
      <w:rFonts w:hint="eastAsia" w:ascii="宋体" w:hAnsi="宋体" w:eastAsia="宋体" w:cs="宋体"/>
      <w:color w:val="000000"/>
      <w:sz w:val="20"/>
      <w:szCs w:val="20"/>
      <w:u w:val="none"/>
    </w:rPr>
  </w:style>
  <w:style w:type="character" w:customStyle="1" w:styleId="339">
    <w:name w:val="font81"/>
    <w:basedOn w:val="54"/>
    <w:qFormat/>
    <w:uiPriority w:val="0"/>
    <w:rPr>
      <w:rFonts w:ascii="Calibri" w:hAnsi="Calibri" w:cs="Calibri"/>
      <w:color w:val="000000"/>
      <w:sz w:val="20"/>
      <w:szCs w:val="20"/>
      <w:u w:val="none"/>
    </w:rPr>
  </w:style>
  <w:style w:type="character" w:customStyle="1" w:styleId="340">
    <w:name w:val="font71"/>
    <w:basedOn w:val="54"/>
    <w:qFormat/>
    <w:uiPriority w:val="0"/>
    <w:rPr>
      <w:rFonts w:hint="eastAsia" w:ascii="宋体" w:hAnsi="宋体" w:eastAsia="宋体" w:cs="宋体"/>
      <w:color w:val="000000"/>
      <w:sz w:val="22"/>
      <w:szCs w:val="22"/>
      <w:u w:val="none"/>
    </w:rPr>
  </w:style>
  <w:style w:type="character" w:customStyle="1" w:styleId="341">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中国远东国际贸易总公司</Company>
  <Pages>73</Pages>
  <Words>17070</Words>
  <Characters>17853</Characters>
  <Lines>252</Lines>
  <Paragraphs>70</Paragraphs>
  <TotalTime>3</TotalTime>
  <ScaleCrop>false</ScaleCrop>
  <LinksUpToDate>false</LinksUpToDate>
  <CharactersWithSpaces>18198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2024-07-17T09:22:00Z</dcterms:created>
  <dc:creator>zyq</dc:creator>
  <cp:lastModifiedBy>巴西的风筝</cp:lastModifiedBy>
  <cp:lastPrinted>2022-08-03T17:41:00Z</cp:lastPrinted>
  <dcterms:modified xsi:type="dcterms:W3CDTF">2025-03-12T02:41:50Z</dcterms:modified>
  <dc:title>招标文件目录</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5D83920C084F4AFD9935702031EFE6E8_13</vt:lpwstr>
  </property>
  <property fmtid="{D5CDD505-2E9C-101B-9397-08002B2CF9AE}" pid="4" name="KSOTemplateDocerSaveRecord">
    <vt:lpwstr>eyJoZGlkIjoiN2JlYTVjYmYwZTlkYjdhYjA2YzdkM2U2ZmIwODI4MDciLCJ1c2VySWQiOiI1Njc3NjEzMDAifQ==</vt:lpwstr>
  </property>
</Properties>
</file>