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C8B3DD">
      <w:pPr>
        <w:jc w:val="distribute"/>
        <w:rPr>
          <w:rFonts w:hint="eastAsia" w:ascii="新宋体" w:hAnsi="新宋体" w:eastAsia="新宋体" w:cs="新宋体"/>
          <w:b/>
          <w:bCs/>
          <w:color w:val="auto"/>
          <w:sz w:val="96"/>
          <w:szCs w:val="96"/>
          <w:highlight w:val="none"/>
        </w:rPr>
      </w:pPr>
    </w:p>
    <w:p w14:paraId="7E90D306">
      <w:pPr>
        <w:jc w:val="distribute"/>
        <w:rPr>
          <w:rFonts w:hint="eastAsia" w:ascii="新宋体" w:hAnsi="新宋体" w:eastAsia="新宋体" w:cs="新宋体"/>
          <w:b/>
          <w:bCs/>
          <w:color w:val="auto"/>
          <w:sz w:val="52"/>
          <w:szCs w:val="52"/>
          <w:highlight w:val="none"/>
          <w:lang w:eastAsia="zh-CN"/>
        </w:rPr>
      </w:pPr>
      <w:r>
        <w:rPr>
          <w:rFonts w:hint="eastAsia" w:ascii="新宋体" w:hAnsi="新宋体" w:eastAsia="新宋体" w:cs="新宋体"/>
          <w:b/>
          <w:bCs/>
          <w:color w:val="auto"/>
          <w:sz w:val="96"/>
          <w:szCs w:val="96"/>
          <w:highlight w:val="none"/>
          <w:lang w:eastAsia="zh-CN"/>
        </w:rPr>
        <w:t>温州市第七人民医院</w:t>
      </w:r>
    </w:p>
    <w:p w14:paraId="5E2DA009">
      <w:pPr>
        <w:rPr>
          <w:rFonts w:hint="eastAsia" w:ascii="新宋体" w:hAnsi="新宋体" w:eastAsia="新宋体" w:cs="新宋体"/>
          <w:b/>
          <w:bCs/>
          <w:color w:val="auto"/>
          <w:spacing w:val="140"/>
          <w:sz w:val="72"/>
          <w:highlight w:val="none"/>
        </w:rPr>
      </w:pPr>
    </w:p>
    <w:p w14:paraId="118FF522">
      <w:pPr>
        <w:rPr>
          <w:rFonts w:hint="eastAsia" w:ascii="新宋体" w:hAnsi="新宋体" w:eastAsia="新宋体" w:cs="新宋体"/>
          <w:color w:val="auto"/>
          <w:highlight w:val="none"/>
        </w:rPr>
      </w:pPr>
    </w:p>
    <w:p w14:paraId="1E3FFBF6">
      <w:pPr>
        <w:rPr>
          <w:rFonts w:hint="eastAsia" w:ascii="新宋体" w:hAnsi="新宋体" w:eastAsia="新宋体" w:cs="新宋体"/>
          <w:color w:val="auto"/>
          <w:highlight w:val="none"/>
        </w:rPr>
      </w:pPr>
    </w:p>
    <w:p w14:paraId="68A85802">
      <w:pPr>
        <w:rPr>
          <w:rFonts w:hint="eastAsia" w:ascii="新宋体" w:hAnsi="新宋体" w:eastAsia="新宋体" w:cs="新宋体"/>
          <w:color w:val="auto"/>
          <w:highlight w:val="none"/>
        </w:rPr>
      </w:pPr>
    </w:p>
    <w:p w14:paraId="75F95843">
      <w:pPr>
        <w:adjustRightInd w:val="0"/>
        <w:snapToGrid w:val="0"/>
        <w:spacing w:line="480" w:lineRule="auto"/>
        <w:ind w:right="361"/>
        <w:jc w:val="center"/>
        <w:rPr>
          <w:rFonts w:hint="eastAsia" w:ascii="新宋体" w:hAnsi="新宋体" w:eastAsia="新宋体" w:cs="新宋体"/>
          <w:color w:val="auto"/>
          <w:sz w:val="84"/>
          <w:szCs w:val="84"/>
          <w:highlight w:val="none"/>
        </w:rPr>
      </w:pPr>
      <w:r>
        <w:rPr>
          <w:rFonts w:hint="eastAsia" w:ascii="新宋体" w:hAnsi="新宋体" w:eastAsia="新宋体" w:cs="新宋体"/>
          <w:b/>
          <w:bCs/>
          <w:color w:val="auto"/>
          <w:sz w:val="84"/>
          <w:szCs w:val="84"/>
          <w:highlight w:val="none"/>
        </w:rPr>
        <w:t>招 标 文 件</w:t>
      </w:r>
    </w:p>
    <w:p w14:paraId="560AFA3D">
      <w:pPr>
        <w:spacing w:line="800" w:lineRule="exact"/>
        <w:ind w:firstLine="1520" w:firstLineChars="400"/>
        <w:rPr>
          <w:rFonts w:hint="eastAsia" w:ascii="新宋体" w:hAnsi="新宋体" w:eastAsia="新宋体" w:cs="新宋体"/>
          <w:color w:val="auto"/>
          <w:spacing w:val="40"/>
          <w:sz w:val="30"/>
          <w:szCs w:val="30"/>
          <w:highlight w:val="none"/>
          <w:lang w:eastAsia="zh-CN"/>
        </w:rPr>
      </w:pPr>
      <w:r>
        <w:rPr>
          <w:rFonts w:hint="eastAsia" w:ascii="新宋体" w:hAnsi="新宋体" w:eastAsia="新宋体" w:cs="新宋体"/>
          <w:color w:val="auto"/>
          <w:spacing w:val="40"/>
          <w:sz w:val="30"/>
          <w:szCs w:val="30"/>
          <w:highlight w:val="none"/>
        </w:rPr>
        <w:t>项目编号：</w:t>
      </w:r>
      <w:r>
        <w:rPr>
          <w:rFonts w:hint="eastAsia" w:ascii="新宋体" w:hAnsi="新宋体" w:eastAsia="新宋体" w:cs="新宋体"/>
          <w:b/>
          <w:bCs/>
          <w:color w:val="auto"/>
          <w:spacing w:val="40"/>
          <w:sz w:val="30"/>
          <w:szCs w:val="30"/>
          <w:highlight w:val="none"/>
          <w:lang w:eastAsia="zh-CN"/>
        </w:rPr>
        <w:t>WZLCZB（L）-2025-01027</w:t>
      </w:r>
    </w:p>
    <w:p w14:paraId="3A80F3FF">
      <w:pPr>
        <w:spacing w:line="800" w:lineRule="exact"/>
        <w:ind w:firstLine="1520" w:firstLineChars="400"/>
        <w:rPr>
          <w:rFonts w:hint="eastAsia" w:ascii="新宋体" w:hAnsi="新宋体" w:eastAsia="新宋体" w:cs="新宋体"/>
          <w:color w:val="auto"/>
          <w:spacing w:val="40"/>
          <w:sz w:val="30"/>
          <w:szCs w:val="30"/>
          <w:highlight w:val="none"/>
          <w:lang w:eastAsia="zh-CN"/>
        </w:rPr>
      </w:pPr>
      <w:r>
        <w:rPr>
          <w:rFonts w:hint="eastAsia" w:ascii="新宋体" w:hAnsi="新宋体" w:eastAsia="新宋体" w:cs="新宋体"/>
          <w:color w:val="auto"/>
          <w:spacing w:val="40"/>
          <w:sz w:val="30"/>
          <w:szCs w:val="30"/>
          <w:highlight w:val="none"/>
        </w:rPr>
        <w:t>项目名称：</w:t>
      </w:r>
      <w:r>
        <w:rPr>
          <w:rFonts w:hint="eastAsia" w:ascii="新宋体" w:hAnsi="新宋体" w:eastAsia="新宋体" w:cs="新宋体"/>
          <w:b/>
          <w:color w:val="auto"/>
          <w:spacing w:val="40"/>
          <w:sz w:val="30"/>
          <w:szCs w:val="30"/>
          <w:highlight w:val="none"/>
          <w:lang w:eastAsia="zh-CN"/>
        </w:rPr>
        <w:t>常规检验外送</w:t>
      </w:r>
    </w:p>
    <w:p w14:paraId="20F9E744">
      <w:pPr>
        <w:spacing w:line="800" w:lineRule="exact"/>
        <w:ind w:firstLine="1520" w:firstLineChars="400"/>
        <w:rPr>
          <w:rFonts w:hint="eastAsia" w:ascii="新宋体" w:hAnsi="新宋体" w:eastAsia="新宋体" w:cs="新宋体"/>
          <w:b/>
          <w:color w:val="auto"/>
          <w:spacing w:val="40"/>
          <w:sz w:val="30"/>
          <w:szCs w:val="30"/>
          <w:highlight w:val="none"/>
        </w:rPr>
      </w:pPr>
      <w:r>
        <w:rPr>
          <w:rFonts w:hint="eastAsia" w:ascii="新宋体" w:hAnsi="新宋体" w:eastAsia="新宋体" w:cs="新宋体"/>
          <w:color w:val="auto"/>
          <w:spacing w:val="40"/>
          <w:sz w:val="30"/>
          <w:szCs w:val="30"/>
          <w:highlight w:val="none"/>
        </w:rPr>
        <w:t>采购方式：</w:t>
      </w:r>
      <w:r>
        <w:rPr>
          <w:rFonts w:hint="eastAsia" w:ascii="新宋体" w:hAnsi="新宋体" w:eastAsia="新宋体" w:cs="新宋体"/>
          <w:b/>
          <w:color w:val="auto"/>
          <w:spacing w:val="40"/>
          <w:sz w:val="30"/>
          <w:szCs w:val="30"/>
          <w:highlight w:val="none"/>
        </w:rPr>
        <w:t>公开招标</w:t>
      </w:r>
    </w:p>
    <w:p w14:paraId="790D4DB7">
      <w:pPr>
        <w:spacing w:line="800" w:lineRule="exact"/>
        <w:ind w:firstLine="1520" w:firstLineChars="400"/>
        <w:rPr>
          <w:rFonts w:hint="eastAsia" w:ascii="新宋体" w:hAnsi="新宋体" w:eastAsia="新宋体" w:cs="新宋体"/>
          <w:color w:val="auto"/>
          <w:highlight w:val="none"/>
        </w:rPr>
      </w:pPr>
      <w:r>
        <w:rPr>
          <w:rFonts w:hint="eastAsia" w:ascii="新宋体" w:hAnsi="新宋体" w:eastAsia="新宋体" w:cs="新宋体"/>
          <w:color w:val="auto"/>
          <w:spacing w:val="40"/>
          <w:sz w:val="30"/>
          <w:szCs w:val="30"/>
          <w:highlight w:val="none"/>
        </w:rPr>
        <w:t>评审方式：</w:t>
      </w:r>
      <w:r>
        <w:rPr>
          <w:rFonts w:hint="eastAsia" w:ascii="新宋体" w:hAnsi="新宋体" w:eastAsia="新宋体" w:cs="新宋体"/>
          <w:b/>
          <w:bCs/>
          <w:color w:val="auto"/>
          <w:spacing w:val="40"/>
          <w:sz w:val="30"/>
          <w:szCs w:val="30"/>
          <w:highlight w:val="none"/>
        </w:rPr>
        <w:t>线上电子招投标</w:t>
      </w:r>
    </w:p>
    <w:p w14:paraId="4E39DD6E">
      <w:pPr>
        <w:bidi w:val="0"/>
        <w:rPr>
          <w:rFonts w:hint="eastAsia" w:ascii="新宋体" w:hAnsi="新宋体" w:eastAsia="新宋体" w:cs="新宋体"/>
          <w:color w:val="auto"/>
          <w:highlight w:val="none"/>
        </w:rPr>
      </w:pPr>
    </w:p>
    <w:p w14:paraId="52722B30">
      <w:pPr>
        <w:bidi w:val="0"/>
        <w:rPr>
          <w:rFonts w:hint="eastAsia" w:ascii="新宋体" w:hAnsi="新宋体" w:eastAsia="新宋体" w:cs="新宋体"/>
          <w:color w:val="auto"/>
          <w:highlight w:val="none"/>
        </w:rPr>
      </w:pPr>
    </w:p>
    <w:p w14:paraId="7B1C01D1">
      <w:pPr>
        <w:bidi w:val="0"/>
        <w:rPr>
          <w:rFonts w:hint="eastAsia" w:ascii="新宋体" w:hAnsi="新宋体" w:eastAsia="新宋体" w:cs="新宋体"/>
          <w:color w:val="auto"/>
          <w:highlight w:val="none"/>
        </w:rPr>
      </w:pPr>
    </w:p>
    <w:p w14:paraId="0B4C4A91">
      <w:pPr>
        <w:rPr>
          <w:rFonts w:hint="eastAsia" w:ascii="新宋体" w:hAnsi="新宋体" w:eastAsia="新宋体" w:cs="新宋体"/>
          <w:color w:val="auto"/>
          <w:highlight w:val="none"/>
        </w:rPr>
      </w:pPr>
    </w:p>
    <w:p w14:paraId="58B4CE5F">
      <w:pPr>
        <w:spacing w:line="600" w:lineRule="exact"/>
        <w:jc w:val="center"/>
        <w:rPr>
          <w:rFonts w:hint="eastAsia" w:ascii="新宋体" w:hAnsi="新宋体" w:eastAsia="新宋体" w:cs="新宋体"/>
          <w:color w:val="auto"/>
          <w:spacing w:val="30"/>
          <w:sz w:val="30"/>
          <w:highlight w:val="none"/>
          <w:lang w:eastAsia="zh-CN"/>
        </w:rPr>
      </w:pPr>
      <w:r>
        <w:rPr>
          <w:rFonts w:hint="eastAsia" w:ascii="新宋体" w:hAnsi="新宋体" w:eastAsia="新宋体" w:cs="新宋体"/>
          <w:color w:val="auto"/>
          <w:spacing w:val="30"/>
          <w:sz w:val="30"/>
          <w:highlight w:val="none"/>
        </w:rPr>
        <w:t>招 标 人：</w:t>
      </w:r>
      <w:r>
        <w:rPr>
          <w:rFonts w:hint="eastAsia" w:ascii="新宋体" w:hAnsi="新宋体" w:eastAsia="新宋体" w:cs="新宋体"/>
          <w:color w:val="auto"/>
          <w:spacing w:val="30"/>
          <w:sz w:val="30"/>
          <w:highlight w:val="none"/>
          <w:lang w:eastAsia="zh-CN"/>
        </w:rPr>
        <w:t>温州市第七人民医院</w:t>
      </w:r>
    </w:p>
    <w:p w14:paraId="1C794997">
      <w:pPr>
        <w:spacing w:line="600" w:lineRule="exact"/>
        <w:jc w:val="center"/>
        <w:rPr>
          <w:rFonts w:hint="eastAsia" w:ascii="新宋体" w:hAnsi="新宋体" w:eastAsia="新宋体" w:cs="新宋体"/>
          <w:color w:val="auto"/>
          <w:spacing w:val="30"/>
          <w:sz w:val="30"/>
          <w:highlight w:val="none"/>
        </w:rPr>
      </w:pPr>
      <w:r>
        <w:rPr>
          <w:rFonts w:hint="eastAsia" w:ascii="新宋体" w:hAnsi="新宋体" w:eastAsia="新宋体" w:cs="新宋体"/>
          <w:color w:val="auto"/>
          <w:spacing w:val="30"/>
          <w:sz w:val="30"/>
          <w:highlight w:val="none"/>
        </w:rPr>
        <w:t>招标代理机构：温州历程招标有限公司</w:t>
      </w:r>
    </w:p>
    <w:p w14:paraId="426EC344">
      <w:pPr>
        <w:spacing w:line="600" w:lineRule="exact"/>
        <w:jc w:val="center"/>
        <w:rPr>
          <w:rFonts w:hint="eastAsia" w:ascii="新宋体" w:hAnsi="新宋体" w:eastAsia="新宋体" w:cs="新宋体"/>
          <w:color w:val="auto"/>
          <w:spacing w:val="30"/>
          <w:sz w:val="30"/>
          <w:highlight w:val="none"/>
          <w:lang w:val="en-US" w:eastAsia="zh-CN"/>
        </w:rPr>
      </w:pPr>
      <w:r>
        <w:rPr>
          <w:rFonts w:hint="eastAsia" w:ascii="新宋体" w:hAnsi="新宋体" w:eastAsia="新宋体" w:cs="新宋体"/>
          <w:color w:val="auto"/>
          <w:spacing w:val="30"/>
          <w:sz w:val="30"/>
          <w:highlight w:val="none"/>
        </w:rPr>
        <w:t>二〇二</w:t>
      </w:r>
      <w:r>
        <w:rPr>
          <w:rFonts w:hint="eastAsia" w:ascii="新宋体" w:hAnsi="新宋体" w:eastAsia="新宋体" w:cs="新宋体"/>
          <w:color w:val="auto"/>
          <w:spacing w:val="30"/>
          <w:sz w:val="30"/>
          <w:highlight w:val="none"/>
          <w:lang w:val="en-US" w:eastAsia="zh-CN"/>
        </w:rPr>
        <w:t>五</w:t>
      </w:r>
      <w:r>
        <w:rPr>
          <w:rFonts w:hint="eastAsia" w:ascii="新宋体" w:hAnsi="新宋体" w:eastAsia="新宋体" w:cs="新宋体"/>
          <w:color w:val="auto"/>
          <w:spacing w:val="30"/>
          <w:sz w:val="30"/>
          <w:highlight w:val="none"/>
        </w:rPr>
        <w:t>年</w:t>
      </w:r>
      <w:r>
        <w:rPr>
          <w:rFonts w:hint="eastAsia" w:ascii="新宋体" w:hAnsi="新宋体" w:eastAsia="新宋体" w:cs="新宋体"/>
          <w:color w:val="auto"/>
          <w:spacing w:val="30"/>
          <w:sz w:val="30"/>
          <w:highlight w:val="none"/>
          <w:lang w:val="en-US" w:eastAsia="zh-CN"/>
        </w:rPr>
        <w:t>一月</w:t>
      </w:r>
    </w:p>
    <w:p w14:paraId="5E101736">
      <w:pPr>
        <w:pStyle w:val="24"/>
        <w:ind w:left="0" w:leftChars="0"/>
        <w:rPr>
          <w:rFonts w:hint="eastAsia" w:ascii="新宋体" w:hAnsi="新宋体" w:eastAsia="新宋体" w:cs="新宋体"/>
          <w:color w:val="auto"/>
          <w:highlight w:val="none"/>
        </w:rPr>
      </w:pPr>
    </w:p>
    <w:p w14:paraId="15C37B3A">
      <w:pPr>
        <w:spacing w:before="100" w:beforeAutospacing="1" w:after="100" w:afterAutospacing="1" w:line="440" w:lineRule="exact"/>
        <w:jc w:val="center"/>
        <w:outlineLvl w:val="0"/>
        <w:rPr>
          <w:rFonts w:hint="eastAsia" w:ascii="新宋体" w:hAnsi="新宋体" w:eastAsia="新宋体" w:cs="新宋体"/>
          <w:b/>
          <w:bCs/>
          <w:color w:val="auto"/>
          <w:sz w:val="32"/>
          <w:szCs w:val="32"/>
          <w:highlight w:val="none"/>
        </w:rPr>
        <w:sectPr>
          <w:headerReference r:id="rId4" w:type="first"/>
          <w:headerReference r:id="rId3" w:type="default"/>
          <w:footerReference r:id="rId5" w:type="default"/>
          <w:pgSz w:w="11907" w:h="16840"/>
          <w:pgMar w:top="1134" w:right="1134" w:bottom="1134" w:left="1134" w:header="851" w:footer="992" w:gutter="0"/>
          <w:pgBorders>
            <w:top w:val="none" w:sz="0" w:space="0"/>
            <w:left w:val="none" w:sz="0" w:space="0"/>
            <w:bottom w:val="none" w:sz="0" w:space="0"/>
            <w:right w:val="none" w:sz="0" w:space="0"/>
          </w:pgBorders>
          <w:pgNumType w:start="1"/>
          <w:cols w:space="720" w:num="1"/>
          <w:titlePg/>
          <w:docGrid w:linePitch="312" w:charSpace="0"/>
        </w:sectPr>
      </w:pPr>
    </w:p>
    <w:p w14:paraId="14C9BD7C">
      <w:pPr>
        <w:spacing w:before="100" w:beforeAutospacing="1" w:after="100" w:afterAutospacing="1" w:line="440" w:lineRule="exact"/>
        <w:jc w:val="center"/>
        <w:outlineLvl w:val="0"/>
        <w:rPr>
          <w:rFonts w:hint="eastAsia" w:ascii="新宋体" w:hAnsi="新宋体" w:eastAsia="新宋体" w:cs="新宋体"/>
          <w:b/>
          <w:bCs/>
          <w:color w:val="auto"/>
          <w:sz w:val="32"/>
          <w:szCs w:val="32"/>
          <w:highlight w:val="none"/>
        </w:rPr>
      </w:pPr>
      <w:bookmarkStart w:id="0" w:name="_Toc15212"/>
      <w:r>
        <w:rPr>
          <w:rFonts w:hint="eastAsia" w:ascii="新宋体" w:hAnsi="新宋体" w:eastAsia="新宋体" w:cs="新宋体"/>
          <w:b/>
          <w:bCs/>
          <w:color w:val="auto"/>
          <w:sz w:val="32"/>
          <w:szCs w:val="32"/>
          <w:highlight w:val="none"/>
        </w:rPr>
        <w:t>目    录</w:t>
      </w:r>
      <w:bookmarkEnd w:id="0"/>
    </w:p>
    <w:p w14:paraId="373B1FDA">
      <w:pPr>
        <w:pStyle w:val="41"/>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TOC \o "1-3" \h \u \* MERGEFORMAT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_Toc15212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目    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_Toc15212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4ADFFE9">
      <w:pPr>
        <w:pStyle w:val="41"/>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_Toc14780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招标公告</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_Toc14780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40322B8">
      <w:pPr>
        <w:pStyle w:val="41"/>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_Toc23025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第一部分    投标人须知</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_Toc23025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87FBCFD">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_Toc24985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前 附 表</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_Toc24985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92F7C9B">
      <w:pPr>
        <w:pStyle w:val="3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_Toc9399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一、 说   明</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_Toc9399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E725798">
      <w:pPr>
        <w:pStyle w:val="3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_Toc21573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二、 招标文件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_Toc21573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DE9C849">
      <w:pPr>
        <w:pStyle w:val="3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_Toc1364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三、 投标文件的编制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_Toc1364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6D1A69A">
      <w:pPr>
        <w:pStyle w:val="3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_Toc29614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四、 投标文件的递交</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_Toc29614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FF46FC9">
      <w:pPr>
        <w:pStyle w:val="3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_Toc8700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五、 开标和评标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_Toc8700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223411B">
      <w:pPr>
        <w:pStyle w:val="3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_Toc28976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 授予合同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_Toc28976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611F062">
      <w:pPr>
        <w:pStyle w:val="41"/>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_Toc25260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第二部分    合同主要条款</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_Toc25260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FFC0FE8">
      <w:pPr>
        <w:pStyle w:val="41"/>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_Toc26778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第三部分    附件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_Toc26778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7028394">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_Toc8348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附件一</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_Toc8348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368341A">
      <w:pPr>
        <w:pStyle w:val="3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_Toc20581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资格证明文件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_Toc20581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1015151">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_Toc23058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_Toc23058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37D14B2">
      <w:pPr>
        <w:pStyle w:val="3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_Toc20642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报价文件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_Toc20642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5816914">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_Toc22040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附件三</w:t>
      </w:r>
      <w:r>
        <w:rPr>
          <w:rFonts w:hint="eastAsia" w:ascii="新宋体" w:hAnsi="新宋体" w:eastAsia="新宋体" w:cs="新宋体"/>
          <w:color w:val="auto"/>
          <w:sz w:val="22"/>
          <w:szCs w:val="22"/>
          <w:highlight w:val="none"/>
        </w:rPr>
        <w:tab/>
      </w:r>
      <w:bookmarkStart w:id="39" w:name="_GoBack"/>
      <w:bookmarkEnd w:id="39"/>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_Toc22040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7E695AC">
      <w:pPr>
        <w:pStyle w:val="3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_Toc24178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商务技术文件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_Toc24178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0F19217">
      <w:pPr>
        <w:pStyle w:val="41"/>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_Toc16037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第四部分   项目技术规范和服务要求</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_Toc16037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44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57DDCF7">
      <w:pPr>
        <w:pStyle w:val="41"/>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_Toc10231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第五部分   评标原则及方法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_Toc10231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7FDE878">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_Toc11569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一、总 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_Toc11569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66A7936">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_Toc32037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二、</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组织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_Toc32037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A209B82">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_Toc17618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三、</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程序</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_Toc17618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8E61A34">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_Toc997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四、评标办法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_Toc997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A5BE33B">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_Toc3662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五、</w:t>
      </w:r>
      <w:r>
        <w:rPr>
          <w:rFonts w:hint="eastAsia" w:ascii="新宋体" w:hAnsi="新宋体" w:eastAsia="新宋体" w:cs="新宋体"/>
          <w:bCs/>
          <w:color w:val="auto"/>
          <w:sz w:val="22"/>
          <w:szCs w:val="22"/>
          <w:highlight w:val="none"/>
        </w:rPr>
        <w:t>评分</w:t>
      </w:r>
      <w:r>
        <w:rPr>
          <w:rFonts w:hint="eastAsia" w:ascii="新宋体" w:hAnsi="新宋体" w:eastAsia="新宋体" w:cs="新宋体"/>
          <w:color w:val="auto"/>
          <w:sz w:val="22"/>
          <w:szCs w:val="22"/>
          <w:highlight w:val="none"/>
        </w:rPr>
        <w:t>细则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_Toc3662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748E00E">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_Toc14937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六、定标办法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_Toc14937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0B1D862">
      <w:pPr>
        <w:pStyle w:val="4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_Toc11730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七、投标人义务</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_Toc11730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25F7C5B">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0"/>
        <w:rPr>
          <w:rFonts w:hint="eastAsia" w:ascii="新宋体" w:hAnsi="新宋体" w:eastAsia="新宋体" w:cs="新宋体"/>
          <w:b/>
          <w:bCs/>
          <w:color w:val="auto"/>
          <w:sz w:val="36"/>
          <w:szCs w:val="36"/>
          <w:highlight w:val="none"/>
        </w:rPr>
      </w:pPr>
      <w:r>
        <w:rPr>
          <w:rFonts w:hint="eastAsia" w:ascii="新宋体" w:hAnsi="新宋体" w:eastAsia="新宋体" w:cs="新宋体"/>
          <w:color w:val="auto"/>
          <w:sz w:val="22"/>
          <w:szCs w:val="22"/>
          <w:highlight w:val="none"/>
        </w:rPr>
        <w:fldChar w:fldCharType="end"/>
      </w:r>
      <w:bookmarkStart w:id="1" w:name="_Toc14780"/>
      <w:r>
        <w:rPr>
          <w:rFonts w:hint="eastAsia" w:ascii="新宋体" w:hAnsi="新宋体" w:eastAsia="新宋体" w:cs="新宋体"/>
          <w:b/>
          <w:color w:val="auto"/>
          <w:sz w:val="30"/>
          <w:highlight w:val="none"/>
        </w:rPr>
        <w:br w:type="page"/>
      </w:r>
      <w:bookmarkStart w:id="2" w:name="_Toc32186"/>
      <w:bookmarkStart w:id="3" w:name="_Toc18348"/>
      <w:bookmarkStart w:id="4" w:name="_Toc12859"/>
      <w:r>
        <w:rPr>
          <w:rFonts w:hint="eastAsia" w:ascii="新宋体" w:hAnsi="新宋体" w:eastAsia="新宋体" w:cs="新宋体"/>
          <w:b/>
          <w:bCs/>
          <w:color w:val="auto"/>
          <w:sz w:val="36"/>
          <w:szCs w:val="36"/>
          <w:highlight w:val="none"/>
        </w:rPr>
        <w:t>温州历程招标有限公司关于</w:t>
      </w:r>
      <w:r>
        <w:rPr>
          <w:rFonts w:hint="eastAsia" w:ascii="新宋体" w:hAnsi="新宋体" w:eastAsia="新宋体" w:cs="新宋体"/>
          <w:b/>
          <w:bCs/>
          <w:color w:val="auto"/>
          <w:sz w:val="36"/>
          <w:szCs w:val="36"/>
          <w:highlight w:val="none"/>
          <w:lang w:eastAsia="zh-CN"/>
        </w:rPr>
        <w:t>温州市第七人民医院常规检验外送</w:t>
      </w:r>
      <w:r>
        <w:rPr>
          <w:rFonts w:hint="eastAsia" w:ascii="新宋体" w:hAnsi="新宋体" w:eastAsia="新宋体" w:cs="新宋体"/>
          <w:b/>
          <w:bCs/>
          <w:color w:val="auto"/>
          <w:sz w:val="36"/>
          <w:szCs w:val="36"/>
          <w:highlight w:val="none"/>
        </w:rPr>
        <w:t>的公开招标公告</w:t>
      </w:r>
      <w:bookmarkEnd w:id="1"/>
      <w:bookmarkEnd w:id="2"/>
      <w:bookmarkEnd w:id="3"/>
      <w:bookmarkEnd w:id="4"/>
    </w:p>
    <w:tbl>
      <w:tblPr>
        <w:tblStyle w:val="54"/>
        <w:tblW w:w="9945" w:type="dxa"/>
        <w:tblInd w:w="-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45"/>
      </w:tblGrid>
      <w:tr w14:paraId="6D00D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9945" w:type="dxa"/>
          </w:tcPr>
          <w:p w14:paraId="6A918B3E">
            <w:pPr>
              <w:spacing w:line="460" w:lineRule="exact"/>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项目概况</w:t>
            </w:r>
          </w:p>
          <w:p w14:paraId="0224EE8C">
            <w:pPr>
              <w:spacing w:line="460" w:lineRule="exact"/>
              <w:ind w:firstLine="440" w:firstLineChars="200"/>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eastAsia="zh-CN"/>
              </w:rPr>
              <w:t>常规检验外送</w:t>
            </w:r>
            <w:r>
              <w:rPr>
                <w:rFonts w:hint="eastAsia" w:ascii="新宋体" w:hAnsi="新宋体" w:eastAsia="新宋体" w:cs="新宋体"/>
                <w:b w:val="0"/>
                <w:bCs w:val="0"/>
                <w:color w:val="auto"/>
                <w:sz w:val="22"/>
                <w:szCs w:val="22"/>
                <w:highlight w:val="none"/>
              </w:rPr>
              <w:t>招标项目的潜在投标人应在乐采云平台(https://www.lecaiyun.com/)线上获取招标文件，并于202</w:t>
            </w:r>
            <w:r>
              <w:rPr>
                <w:rFonts w:hint="eastAsia" w:ascii="新宋体" w:hAnsi="新宋体" w:eastAsia="新宋体" w:cs="新宋体"/>
                <w:b w:val="0"/>
                <w:bCs w:val="0"/>
                <w:color w:val="auto"/>
                <w:sz w:val="22"/>
                <w:szCs w:val="22"/>
                <w:highlight w:val="none"/>
                <w:lang w:val="en-US" w:eastAsia="zh-CN"/>
              </w:rPr>
              <w:t>5</w:t>
            </w:r>
            <w:r>
              <w:rPr>
                <w:rFonts w:hint="eastAsia" w:ascii="新宋体" w:hAnsi="新宋体" w:eastAsia="新宋体" w:cs="新宋体"/>
                <w:b w:val="0"/>
                <w:bCs w:val="0"/>
                <w:color w:val="auto"/>
                <w:sz w:val="22"/>
                <w:szCs w:val="22"/>
                <w:highlight w:val="none"/>
              </w:rPr>
              <w:t>年</w:t>
            </w:r>
            <w:r>
              <w:rPr>
                <w:rFonts w:hint="eastAsia" w:ascii="新宋体" w:hAnsi="新宋体" w:eastAsia="新宋体" w:cs="新宋体"/>
                <w:b w:val="0"/>
                <w:bCs w:val="0"/>
                <w:color w:val="auto"/>
                <w:sz w:val="22"/>
                <w:szCs w:val="22"/>
                <w:highlight w:val="none"/>
                <w:lang w:val="en-US" w:eastAsia="zh-CN"/>
              </w:rPr>
              <w:t>02</w:t>
            </w:r>
            <w:r>
              <w:rPr>
                <w:rFonts w:hint="eastAsia" w:ascii="新宋体" w:hAnsi="新宋体" w:eastAsia="新宋体" w:cs="新宋体"/>
                <w:b w:val="0"/>
                <w:bCs w:val="0"/>
                <w:color w:val="auto"/>
                <w:sz w:val="22"/>
                <w:szCs w:val="22"/>
                <w:highlight w:val="none"/>
              </w:rPr>
              <w:t>月</w:t>
            </w:r>
            <w:r>
              <w:rPr>
                <w:rFonts w:hint="eastAsia" w:ascii="新宋体" w:hAnsi="新宋体" w:eastAsia="新宋体" w:cs="新宋体"/>
                <w:b w:val="0"/>
                <w:bCs w:val="0"/>
                <w:color w:val="auto"/>
                <w:sz w:val="22"/>
                <w:szCs w:val="22"/>
                <w:highlight w:val="none"/>
                <w:lang w:val="en-US" w:eastAsia="zh-CN"/>
              </w:rPr>
              <w:t>07</w:t>
            </w:r>
            <w:r>
              <w:rPr>
                <w:rFonts w:hint="eastAsia" w:ascii="新宋体" w:hAnsi="新宋体" w:eastAsia="新宋体" w:cs="新宋体"/>
                <w:b w:val="0"/>
                <w:bCs w:val="0"/>
                <w:color w:val="auto"/>
                <w:sz w:val="22"/>
                <w:szCs w:val="22"/>
                <w:highlight w:val="none"/>
              </w:rPr>
              <w:t>日</w:t>
            </w:r>
            <w:r>
              <w:rPr>
                <w:rFonts w:hint="eastAsia" w:ascii="新宋体" w:hAnsi="新宋体" w:eastAsia="新宋体" w:cs="新宋体"/>
                <w:b w:val="0"/>
                <w:bCs w:val="0"/>
                <w:color w:val="auto"/>
                <w:sz w:val="22"/>
                <w:szCs w:val="22"/>
                <w:highlight w:val="none"/>
                <w:lang w:val="en-US" w:eastAsia="zh-CN"/>
              </w:rPr>
              <w:t>09</w:t>
            </w:r>
            <w:r>
              <w:rPr>
                <w:rFonts w:hint="eastAsia" w:ascii="新宋体" w:hAnsi="新宋体" w:eastAsia="新宋体" w:cs="新宋体"/>
                <w:b w:val="0"/>
                <w:bCs w:val="0"/>
                <w:color w:val="auto"/>
                <w:sz w:val="22"/>
                <w:szCs w:val="22"/>
                <w:highlight w:val="none"/>
              </w:rPr>
              <w:t>：30（北京时间）前递交投标文件。</w:t>
            </w:r>
          </w:p>
        </w:tc>
      </w:tr>
    </w:tbl>
    <w:p w14:paraId="63E53F4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一、项目基本情况</w:t>
      </w:r>
    </w:p>
    <w:p w14:paraId="755B329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WZLCZB（L）-2025-01027</w:t>
      </w:r>
    </w:p>
    <w:p w14:paraId="5ED6BA1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常规检验外送</w:t>
      </w:r>
    </w:p>
    <w:p w14:paraId="501984EB">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150000.00</w:t>
      </w:r>
    </w:p>
    <w:p w14:paraId="531EEBE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最高限价（元）：</w:t>
      </w:r>
      <w:r>
        <w:rPr>
          <w:rFonts w:hint="eastAsia" w:ascii="新宋体" w:hAnsi="新宋体" w:eastAsia="新宋体" w:cs="新宋体"/>
          <w:b w:val="0"/>
          <w:bCs w:val="0"/>
          <w:color w:val="auto"/>
          <w:sz w:val="22"/>
          <w:szCs w:val="22"/>
          <w:highlight w:val="none"/>
          <w:lang w:val="en-US" w:eastAsia="zh-CN"/>
        </w:rPr>
        <w:t>150000.00</w:t>
      </w:r>
    </w:p>
    <w:p w14:paraId="4DE2F4B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采购需求：</w:t>
      </w:r>
    </w:p>
    <w:p w14:paraId="4B169F5A">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标项名称</w:t>
      </w:r>
      <w:r>
        <w:rPr>
          <w:rFonts w:hint="eastAsia" w:ascii="新宋体" w:hAnsi="新宋体" w:eastAsia="新宋体" w:cs="新宋体"/>
          <w:b w:val="0"/>
          <w:bCs w:val="0"/>
          <w:color w:val="auto"/>
          <w:sz w:val="22"/>
          <w:szCs w:val="22"/>
          <w:highlight w:val="none"/>
          <w:lang w:eastAsia="zh-CN"/>
        </w:rPr>
        <w:t>：常规检验外送</w:t>
      </w:r>
    </w:p>
    <w:p w14:paraId="5D13FE5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数量</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lang w:val="en-US" w:eastAsia="zh-CN"/>
        </w:rPr>
        <w:t>1项</w:t>
      </w:r>
    </w:p>
    <w:p w14:paraId="2715259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150000.00</w:t>
      </w:r>
    </w:p>
    <w:p w14:paraId="06D0B23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简要规格描述或项目基本概况介绍、用途：详见招标文件</w:t>
      </w:r>
    </w:p>
    <w:p w14:paraId="49E8C2B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备注：</w:t>
      </w:r>
    </w:p>
    <w:p w14:paraId="39BD93D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合同履约期限：标项 1，详见招标文件</w:t>
      </w:r>
    </w:p>
    <w:p w14:paraId="2A312D8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本项目（</w:t>
      </w:r>
      <w:r>
        <w:rPr>
          <w:rFonts w:hint="eastAsia" w:ascii="新宋体" w:hAnsi="新宋体" w:eastAsia="新宋体" w:cs="新宋体"/>
          <w:b w:val="0"/>
          <w:bCs w:val="0"/>
          <w:color w:val="auto"/>
          <w:sz w:val="22"/>
          <w:szCs w:val="22"/>
          <w:highlight w:val="none"/>
          <w:lang w:val="en-US" w:eastAsia="zh-CN"/>
        </w:rPr>
        <w:t>是</w:t>
      </w:r>
      <w:r>
        <w:rPr>
          <w:rFonts w:hint="eastAsia" w:ascii="新宋体" w:hAnsi="新宋体" w:eastAsia="新宋体" w:cs="新宋体"/>
          <w:b w:val="0"/>
          <w:bCs w:val="0"/>
          <w:color w:val="auto"/>
          <w:sz w:val="22"/>
          <w:szCs w:val="22"/>
          <w:highlight w:val="none"/>
        </w:rPr>
        <w:t>）接受联合体投标。</w:t>
      </w:r>
    </w:p>
    <w:p w14:paraId="21E4A5A0">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二、申请人的资格要求</w:t>
      </w:r>
    </w:p>
    <w:p w14:paraId="2D7830B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满足《中华人民共和国政府采购法》第二十二条规定；未被“信用中国”（www.creditchina.gov.cn）、中国政府采购网（www.ccgp.gov.cn）列入失信被执行人、重大税收违法案件当事人名单、政府采购严重违法失信行为记录名单。</w:t>
      </w:r>
    </w:p>
    <w:p w14:paraId="5987E2C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2.落实政府采购政策需满足的资格要求：标项1：无</w:t>
      </w:r>
    </w:p>
    <w:p w14:paraId="43BE2A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3.本项目的特定资格要求：</w:t>
      </w:r>
      <w:r>
        <w:rPr>
          <w:rFonts w:hint="eastAsia" w:ascii="新宋体" w:hAnsi="新宋体" w:eastAsia="新宋体" w:cs="新宋体"/>
          <w:b/>
          <w:bCs/>
          <w:color w:val="auto"/>
          <w:sz w:val="22"/>
          <w:szCs w:val="22"/>
          <w:highlight w:val="none"/>
          <w:lang w:val="en-US" w:eastAsia="zh-CN"/>
        </w:rPr>
        <w:t>标项1：具有医学检验技术服务能力，需有卫生行政部门批准《医疗机构执业许可证》</w:t>
      </w:r>
    </w:p>
    <w:p w14:paraId="6A58BD8F">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三、获取招标文件</w:t>
      </w:r>
    </w:p>
    <w:p w14:paraId="7AC51F0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时间：</w:t>
      </w:r>
      <w:r>
        <w:rPr>
          <w:rFonts w:hint="eastAsia" w:ascii="新宋体" w:hAnsi="新宋体" w:eastAsia="新宋体" w:cs="新宋体"/>
          <w:b w:val="0"/>
          <w:bCs w:val="0"/>
          <w:color w:val="auto"/>
          <w:sz w:val="22"/>
          <w:szCs w:val="22"/>
          <w:highlight w:val="none"/>
          <w:lang w:val="en-US" w:eastAsia="zh-CN"/>
        </w:rPr>
        <w:t>/</w:t>
      </w:r>
      <w:r>
        <w:rPr>
          <w:rFonts w:hint="eastAsia" w:ascii="新宋体" w:hAnsi="新宋体" w:eastAsia="新宋体" w:cs="新宋体"/>
          <w:b w:val="0"/>
          <w:bCs w:val="0"/>
          <w:color w:val="auto"/>
          <w:sz w:val="22"/>
          <w:szCs w:val="22"/>
          <w:highlight w:val="none"/>
        </w:rPr>
        <w:t>至202</w:t>
      </w:r>
      <w:r>
        <w:rPr>
          <w:rFonts w:hint="eastAsia" w:ascii="新宋体" w:hAnsi="新宋体" w:eastAsia="新宋体" w:cs="新宋体"/>
          <w:b w:val="0"/>
          <w:bCs w:val="0"/>
          <w:color w:val="auto"/>
          <w:sz w:val="22"/>
          <w:szCs w:val="22"/>
          <w:highlight w:val="none"/>
          <w:lang w:val="en-US" w:eastAsia="zh-CN"/>
        </w:rPr>
        <w:t>5</w:t>
      </w:r>
      <w:r>
        <w:rPr>
          <w:rFonts w:hint="eastAsia" w:ascii="新宋体" w:hAnsi="新宋体" w:eastAsia="新宋体" w:cs="新宋体"/>
          <w:b w:val="0"/>
          <w:bCs w:val="0"/>
          <w:color w:val="auto"/>
          <w:sz w:val="22"/>
          <w:szCs w:val="22"/>
          <w:highlight w:val="none"/>
        </w:rPr>
        <w:t>年</w:t>
      </w:r>
      <w:r>
        <w:rPr>
          <w:rFonts w:hint="eastAsia" w:ascii="新宋体" w:hAnsi="新宋体" w:eastAsia="新宋体" w:cs="新宋体"/>
          <w:b w:val="0"/>
          <w:bCs w:val="0"/>
          <w:color w:val="auto"/>
          <w:sz w:val="22"/>
          <w:szCs w:val="22"/>
          <w:highlight w:val="none"/>
          <w:lang w:val="en-US" w:eastAsia="zh-CN"/>
        </w:rPr>
        <w:t>02</w:t>
      </w:r>
      <w:r>
        <w:rPr>
          <w:rFonts w:hint="eastAsia" w:ascii="新宋体" w:hAnsi="新宋体" w:eastAsia="新宋体" w:cs="新宋体"/>
          <w:b w:val="0"/>
          <w:bCs w:val="0"/>
          <w:color w:val="auto"/>
          <w:sz w:val="22"/>
          <w:szCs w:val="22"/>
          <w:highlight w:val="none"/>
        </w:rPr>
        <w:t>月</w:t>
      </w:r>
      <w:r>
        <w:rPr>
          <w:rFonts w:hint="eastAsia" w:ascii="新宋体" w:hAnsi="新宋体" w:eastAsia="新宋体" w:cs="新宋体"/>
          <w:b w:val="0"/>
          <w:bCs w:val="0"/>
          <w:color w:val="auto"/>
          <w:sz w:val="22"/>
          <w:szCs w:val="22"/>
          <w:highlight w:val="none"/>
          <w:lang w:val="en-US" w:eastAsia="zh-CN"/>
        </w:rPr>
        <w:t>07</w:t>
      </w:r>
      <w:r>
        <w:rPr>
          <w:rFonts w:hint="eastAsia" w:ascii="新宋体" w:hAnsi="新宋体" w:eastAsia="新宋体" w:cs="新宋体"/>
          <w:b w:val="0"/>
          <w:bCs w:val="0"/>
          <w:color w:val="auto"/>
          <w:sz w:val="22"/>
          <w:szCs w:val="22"/>
          <w:highlight w:val="none"/>
        </w:rPr>
        <w:t>日，每天上午00</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00，下午12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00至23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59（北京时间，法定节假日除外）</w:t>
      </w:r>
    </w:p>
    <w:p w14:paraId="524F683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地点：乐采云平台(https://www.lecaiyun.com/)线上</w:t>
      </w:r>
    </w:p>
    <w:p w14:paraId="4CF6EE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方式：供应商乐采云平台https://www.lecaiyun.com/在线申请获取</w:t>
      </w:r>
      <w:r>
        <w:rPr>
          <w:rFonts w:hint="eastAsia" w:ascii="新宋体" w:hAnsi="新宋体" w:eastAsia="新宋体" w:cs="新宋体"/>
          <w:b w:val="0"/>
          <w:bCs w:val="0"/>
          <w:color w:val="auto"/>
          <w:sz w:val="22"/>
          <w:szCs w:val="22"/>
          <w:highlight w:val="none"/>
          <w:lang w:val="en-US" w:eastAsia="zh-CN"/>
        </w:rPr>
        <w:t>招标</w:t>
      </w:r>
      <w:r>
        <w:rPr>
          <w:rFonts w:hint="eastAsia" w:ascii="新宋体" w:hAnsi="新宋体" w:eastAsia="新宋体" w:cs="新宋体"/>
          <w:b w:val="0"/>
          <w:bCs w:val="0"/>
          <w:color w:val="auto"/>
          <w:sz w:val="22"/>
          <w:szCs w:val="22"/>
          <w:highlight w:val="none"/>
        </w:rPr>
        <w:t>文件</w:t>
      </w:r>
    </w:p>
    <w:p w14:paraId="1B6DA5AC">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售价（元）：0</w:t>
      </w:r>
    </w:p>
    <w:p w14:paraId="3E4716F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四、提交投标文件截止时间、开标时间和地点</w:t>
      </w:r>
    </w:p>
    <w:p w14:paraId="2485AA85">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提交投标文件截止时间：202</w:t>
      </w:r>
      <w:r>
        <w:rPr>
          <w:rFonts w:hint="eastAsia" w:ascii="新宋体" w:hAnsi="新宋体" w:eastAsia="新宋体" w:cs="新宋体"/>
          <w:b w:val="0"/>
          <w:bCs w:val="0"/>
          <w:color w:val="auto"/>
          <w:sz w:val="22"/>
          <w:szCs w:val="22"/>
          <w:highlight w:val="none"/>
          <w:lang w:val="en-US" w:eastAsia="zh-CN"/>
        </w:rPr>
        <w:t>5</w:t>
      </w:r>
      <w:r>
        <w:rPr>
          <w:rFonts w:hint="eastAsia" w:ascii="新宋体" w:hAnsi="新宋体" w:eastAsia="新宋体" w:cs="新宋体"/>
          <w:b w:val="0"/>
          <w:bCs w:val="0"/>
          <w:color w:val="auto"/>
          <w:sz w:val="22"/>
          <w:szCs w:val="22"/>
          <w:highlight w:val="none"/>
        </w:rPr>
        <w:t>年</w:t>
      </w:r>
      <w:r>
        <w:rPr>
          <w:rFonts w:hint="eastAsia" w:ascii="新宋体" w:hAnsi="新宋体" w:eastAsia="新宋体" w:cs="新宋体"/>
          <w:b w:val="0"/>
          <w:bCs w:val="0"/>
          <w:color w:val="auto"/>
          <w:sz w:val="22"/>
          <w:szCs w:val="22"/>
          <w:highlight w:val="none"/>
          <w:lang w:val="en-US" w:eastAsia="zh-CN"/>
        </w:rPr>
        <w:t>02</w:t>
      </w:r>
      <w:r>
        <w:rPr>
          <w:rFonts w:hint="eastAsia" w:ascii="新宋体" w:hAnsi="新宋体" w:eastAsia="新宋体" w:cs="新宋体"/>
          <w:b w:val="0"/>
          <w:bCs w:val="0"/>
          <w:color w:val="auto"/>
          <w:sz w:val="22"/>
          <w:szCs w:val="22"/>
          <w:highlight w:val="none"/>
        </w:rPr>
        <w:t>月</w:t>
      </w:r>
      <w:r>
        <w:rPr>
          <w:rFonts w:hint="eastAsia" w:ascii="新宋体" w:hAnsi="新宋体" w:eastAsia="新宋体" w:cs="新宋体"/>
          <w:b w:val="0"/>
          <w:bCs w:val="0"/>
          <w:color w:val="auto"/>
          <w:sz w:val="22"/>
          <w:szCs w:val="22"/>
          <w:highlight w:val="none"/>
          <w:lang w:val="en-US" w:eastAsia="zh-CN"/>
        </w:rPr>
        <w:t>07</w:t>
      </w:r>
      <w:r>
        <w:rPr>
          <w:rFonts w:hint="eastAsia" w:ascii="新宋体" w:hAnsi="新宋体" w:eastAsia="新宋体" w:cs="新宋体"/>
          <w:b w:val="0"/>
          <w:bCs w:val="0"/>
          <w:color w:val="auto"/>
          <w:sz w:val="22"/>
          <w:szCs w:val="22"/>
          <w:highlight w:val="none"/>
        </w:rPr>
        <w:t>日</w:t>
      </w:r>
      <w:r>
        <w:rPr>
          <w:rFonts w:hint="eastAsia" w:ascii="新宋体" w:hAnsi="新宋体" w:eastAsia="新宋体" w:cs="新宋体"/>
          <w:b w:val="0"/>
          <w:bCs w:val="0"/>
          <w:color w:val="auto"/>
          <w:sz w:val="22"/>
          <w:szCs w:val="22"/>
          <w:highlight w:val="none"/>
          <w:lang w:val="en-US" w:eastAsia="zh-CN"/>
        </w:rPr>
        <w:t>09</w:t>
      </w:r>
      <w:r>
        <w:rPr>
          <w:rFonts w:hint="eastAsia" w:ascii="新宋体" w:hAnsi="新宋体" w:eastAsia="新宋体" w:cs="新宋体"/>
          <w:b w:val="0"/>
          <w:bCs w:val="0"/>
          <w:color w:val="auto"/>
          <w:sz w:val="22"/>
          <w:szCs w:val="22"/>
          <w:highlight w:val="none"/>
        </w:rPr>
        <w:t>：30（北京时间）</w:t>
      </w:r>
    </w:p>
    <w:p w14:paraId="323DD75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投标地点（网址）：请登录乐采云投标客户端投标</w:t>
      </w:r>
    </w:p>
    <w:p w14:paraId="54ABB31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开标时间：202</w:t>
      </w:r>
      <w:r>
        <w:rPr>
          <w:rFonts w:hint="eastAsia" w:ascii="新宋体" w:hAnsi="新宋体" w:eastAsia="新宋体" w:cs="新宋体"/>
          <w:b w:val="0"/>
          <w:bCs w:val="0"/>
          <w:color w:val="auto"/>
          <w:sz w:val="22"/>
          <w:szCs w:val="22"/>
          <w:highlight w:val="none"/>
          <w:lang w:val="en-US" w:eastAsia="zh-CN"/>
        </w:rPr>
        <w:t>5</w:t>
      </w:r>
      <w:r>
        <w:rPr>
          <w:rFonts w:hint="eastAsia" w:ascii="新宋体" w:hAnsi="新宋体" w:eastAsia="新宋体" w:cs="新宋体"/>
          <w:b w:val="0"/>
          <w:bCs w:val="0"/>
          <w:color w:val="auto"/>
          <w:sz w:val="22"/>
          <w:szCs w:val="22"/>
          <w:highlight w:val="none"/>
        </w:rPr>
        <w:t>年</w:t>
      </w:r>
      <w:r>
        <w:rPr>
          <w:rFonts w:hint="eastAsia" w:ascii="新宋体" w:hAnsi="新宋体" w:eastAsia="新宋体" w:cs="新宋体"/>
          <w:b w:val="0"/>
          <w:bCs w:val="0"/>
          <w:color w:val="auto"/>
          <w:sz w:val="22"/>
          <w:szCs w:val="22"/>
          <w:highlight w:val="none"/>
          <w:lang w:val="en-US" w:eastAsia="zh-CN"/>
        </w:rPr>
        <w:t>02</w:t>
      </w:r>
      <w:r>
        <w:rPr>
          <w:rFonts w:hint="eastAsia" w:ascii="新宋体" w:hAnsi="新宋体" w:eastAsia="新宋体" w:cs="新宋体"/>
          <w:b w:val="0"/>
          <w:bCs w:val="0"/>
          <w:color w:val="auto"/>
          <w:sz w:val="22"/>
          <w:szCs w:val="22"/>
          <w:highlight w:val="none"/>
        </w:rPr>
        <w:t>月</w:t>
      </w:r>
      <w:r>
        <w:rPr>
          <w:rFonts w:hint="eastAsia" w:ascii="新宋体" w:hAnsi="新宋体" w:eastAsia="新宋体" w:cs="新宋体"/>
          <w:b w:val="0"/>
          <w:bCs w:val="0"/>
          <w:color w:val="auto"/>
          <w:sz w:val="22"/>
          <w:szCs w:val="22"/>
          <w:highlight w:val="none"/>
          <w:lang w:val="en-US" w:eastAsia="zh-CN"/>
        </w:rPr>
        <w:t>07</w:t>
      </w:r>
      <w:r>
        <w:rPr>
          <w:rFonts w:hint="eastAsia" w:ascii="新宋体" w:hAnsi="新宋体" w:eastAsia="新宋体" w:cs="新宋体"/>
          <w:b w:val="0"/>
          <w:bCs w:val="0"/>
          <w:color w:val="auto"/>
          <w:sz w:val="22"/>
          <w:szCs w:val="22"/>
          <w:highlight w:val="none"/>
        </w:rPr>
        <w:t>日</w:t>
      </w:r>
      <w:r>
        <w:rPr>
          <w:rFonts w:hint="eastAsia" w:ascii="新宋体" w:hAnsi="新宋体" w:eastAsia="新宋体" w:cs="新宋体"/>
          <w:b w:val="0"/>
          <w:bCs w:val="0"/>
          <w:color w:val="auto"/>
          <w:sz w:val="22"/>
          <w:szCs w:val="22"/>
          <w:highlight w:val="none"/>
          <w:lang w:val="en-US" w:eastAsia="zh-CN"/>
        </w:rPr>
        <w:t>09</w:t>
      </w:r>
      <w:r>
        <w:rPr>
          <w:rFonts w:hint="eastAsia" w:ascii="新宋体" w:hAnsi="新宋体" w:eastAsia="新宋体" w:cs="新宋体"/>
          <w:b w:val="0"/>
          <w:bCs w:val="0"/>
          <w:color w:val="auto"/>
          <w:sz w:val="22"/>
          <w:szCs w:val="22"/>
          <w:highlight w:val="none"/>
        </w:rPr>
        <w:t>：30</w:t>
      </w:r>
    </w:p>
    <w:p w14:paraId="163160D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开标地点：</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https://www.lecaiyun.com/</w:t>
      </w:r>
      <w:r>
        <w:rPr>
          <w:rFonts w:hint="eastAsia" w:ascii="新宋体" w:hAnsi="新宋体" w:eastAsia="新宋体" w:cs="新宋体"/>
          <w:color w:val="auto"/>
          <w:sz w:val="22"/>
          <w:szCs w:val="22"/>
          <w:highlight w:val="none"/>
        </w:rPr>
        <w:t>）</w:t>
      </w:r>
    </w:p>
    <w:p w14:paraId="4CEF9FC7">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五、公告期限</w:t>
      </w:r>
    </w:p>
    <w:p w14:paraId="4BB43FA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自本公告发布之日起5个工作日。</w:t>
      </w:r>
    </w:p>
    <w:p w14:paraId="66D9CF63">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六、其他补充事宜</w:t>
      </w:r>
    </w:p>
    <w:p w14:paraId="3B32056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本项目通过“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https://www.lecaiyun.com/</w:t>
      </w:r>
      <w:r>
        <w:rPr>
          <w:rFonts w:hint="eastAsia" w:ascii="新宋体" w:hAnsi="新宋体" w:eastAsia="新宋体" w:cs="新宋体"/>
          <w:b w:val="0"/>
          <w:bCs w:val="0"/>
          <w:color w:val="auto"/>
          <w:sz w:val="22"/>
          <w:szCs w:val="22"/>
          <w:highlight w:val="none"/>
        </w:rPr>
        <w:t>）”实行在线投标响应（电子投标），供应商应先安装“</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电子交易客户端”，并按照本招标文件和“</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”的要求，通过“</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电子交易客户端”编制并加密投标文件。供应商未按规定加密的投标文件，“</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”将予以拒收。</w:t>
      </w:r>
    </w:p>
    <w:p w14:paraId="4677C5A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”进行下载；通过“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”参与在线投标时如遇平台技术问题详询95763。</w:t>
      </w:r>
    </w:p>
    <w:p w14:paraId="47C76D3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为确保网上操作合法、有效和安全，投标人应当在投标截止时间前完成在“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”的身份认证，确保在电子投标过程中能够对相关数据电文进行加密和使用电子签章。使用“</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电子交易客户端”需要提前申领CA数字证书，申领流程请自行前往“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”进行查阅；</w:t>
      </w:r>
    </w:p>
    <w:p w14:paraId="329218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投标人应当在投标截止时间前，将生成的“电子加密投标文件”上传递交至“</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”。投标截止时间以后上传递交的投标文件将被“</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”拒收。</w:t>
      </w:r>
    </w:p>
    <w:p w14:paraId="7C1580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4</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完成“电子加密投标文件”的上传递交后，还可以在投标截止时间前递交以介质（U盘）存储的数据电文形式的“备份投标文件”，“备份投标文件”应当密封包装并在包装上标注投标项目名称、投标人名称并加盖公章。（可以（邮寄形式，建议顺丰）在投标截止时间前递交，并需招标代理机构确认是否收到）</w:t>
      </w:r>
    </w:p>
    <w:p w14:paraId="25B060D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5</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”上传递交的“电子加密投标文件”无法按时解密，投标人递交了备份投标文件的，以备份投标文件为依据，否则视为投标文件撤回。通过“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”上传递交的“电子加密投标文件”已按时解密的，“备份投标文件”自动失效。投标人仅递交备份投标文件的，投标无效。</w:t>
      </w:r>
    </w:p>
    <w:p w14:paraId="129EC61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6.</w:t>
      </w:r>
      <w:r>
        <w:rPr>
          <w:rFonts w:hint="eastAsia" w:ascii="新宋体" w:hAnsi="新宋体" w:eastAsia="新宋体" w:cs="新宋体"/>
          <w:b w:val="0"/>
          <w:bCs w:val="0"/>
          <w:color w:val="auto"/>
          <w:sz w:val="22"/>
          <w:szCs w:val="22"/>
          <w:highlight w:val="none"/>
        </w:rPr>
        <w:t>供应商认为招标文件使自己的权益受到损害的，可以自获取到招标文件之日（公告期限截止日之后获取到招标文件的，以公告期限截止日为准）起7个工作日内，且应当在投标截止时间之前以书面形式向招标人和招标代理机构提出质疑。质疑供应商对招标人、招标代理机构的答复不满意或者招标人、招标代理机构未在规定的时间内作出答复的，可以在答复期满后十五个工作日内向采购监督管理部门投诉。</w:t>
      </w:r>
    </w:p>
    <w:p w14:paraId="449056A6">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7.</w:t>
      </w:r>
      <w:r>
        <w:rPr>
          <w:rFonts w:hint="eastAsia" w:ascii="新宋体" w:hAnsi="新宋体" w:eastAsia="新宋体" w:cs="新宋体"/>
          <w:b w:val="0"/>
          <w:bCs w:val="0"/>
          <w:color w:val="auto"/>
          <w:sz w:val="22"/>
          <w:szCs w:val="22"/>
          <w:highlight w:val="none"/>
        </w:rPr>
        <w:t>书面质疑受理地点：</w:t>
      </w:r>
      <w:r>
        <w:rPr>
          <w:rFonts w:hint="eastAsia" w:ascii="新宋体" w:hAnsi="新宋体" w:eastAsia="新宋体" w:cs="新宋体"/>
          <w:b w:val="0"/>
          <w:bCs w:val="0"/>
          <w:color w:val="auto"/>
          <w:sz w:val="22"/>
          <w:szCs w:val="22"/>
          <w:highlight w:val="none"/>
          <w:lang w:eastAsia="zh-CN"/>
        </w:rPr>
        <w:t>温州市鹿城区南汇街道勤民路鹿城壹号18幢803室，</w:t>
      </w:r>
      <w:r>
        <w:rPr>
          <w:rFonts w:hint="eastAsia" w:ascii="新宋体" w:hAnsi="新宋体" w:eastAsia="新宋体" w:cs="新宋体"/>
          <w:b w:val="0"/>
          <w:bCs w:val="0"/>
          <w:color w:val="auto"/>
          <w:sz w:val="22"/>
          <w:szCs w:val="22"/>
          <w:highlight w:val="none"/>
        </w:rPr>
        <w:t>联系人：肖女士</w:t>
      </w:r>
    </w:p>
    <w:p w14:paraId="112DAC0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8.</w:t>
      </w:r>
      <w:r>
        <w:rPr>
          <w:rFonts w:hint="eastAsia" w:ascii="新宋体" w:hAnsi="新宋体" w:eastAsia="新宋体" w:cs="新宋体"/>
          <w:b w:val="0"/>
          <w:bCs w:val="0"/>
          <w:color w:val="auto"/>
          <w:sz w:val="22"/>
          <w:szCs w:val="22"/>
          <w:highlight w:val="none"/>
        </w:rPr>
        <w:t>本项目对符合财政扶持政策的中小企业（小型、微型）、监狱企业、残疾人福利性单位给予价格优惠扶持，执行节能产品政府强制采购和优先采购政策，执行环境标志产品政府优先采购政策。</w:t>
      </w:r>
    </w:p>
    <w:p w14:paraId="1DD349A2">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七、对本次采购提出询问，请按以下方式联系</w:t>
      </w:r>
    </w:p>
    <w:p w14:paraId="348ED18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招标人</w:t>
      </w:r>
      <w:r>
        <w:rPr>
          <w:rFonts w:hint="eastAsia" w:ascii="新宋体" w:hAnsi="新宋体" w:eastAsia="新宋体" w:cs="新宋体"/>
          <w:color w:val="auto"/>
          <w:sz w:val="22"/>
          <w:szCs w:val="22"/>
          <w:highlight w:val="none"/>
        </w:rPr>
        <w:t>信息</w:t>
      </w:r>
    </w:p>
    <w:p w14:paraId="12A378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r>
        <w:rPr>
          <w:rFonts w:hint="eastAsia" w:ascii="新宋体" w:hAnsi="新宋体" w:eastAsia="新宋体" w:cs="新宋体"/>
          <w:color w:val="auto"/>
          <w:sz w:val="22"/>
          <w:szCs w:val="22"/>
          <w:highlight w:val="none"/>
          <w:lang w:eastAsia="zh-CN"/>
        </w:rPr>
        <w:t>温州市第七人民医院</w:t>
      </w:r>
    </w:p>
    <w:p w14:paraId="3500C2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温州市瓯海区学士前路</w:t>
      </w:r>
    </w:p>
    <w:p w14:paraId="25ABE78C">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768CF6E4">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项目联系人（询问）：王女士</w:t>
      </w:r>
    </w:p>
    <w:p w14:paraId="6B040318">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项目联系方式（询问）：0577-8987015</w:t>
      </w:r>
      <w:r>
        <w:rPr>
          <w:rFonts w:hint="eastAsia" w:ascii="新宋体" w:hAnsi="新宋体" w:eastAsia="新宋体" w:cs="新宋体"/>
          <w:color w:val="auto"/>
          <w:sz w:val="22"/>
          <w:szCs w:val="22"/>
          <w:highlight w:val="none"/>
          <w:lang w:val="en-US" w:eastAsia="zh-CN"/>
        </w:rPr>
        <w:t>3</w:t>
      </w:r>
    </w:p>
    <w:p w14:paraId="2E1D9FD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质疑联系人：王女士</w:t>
      </w:r>
    </w:p>
    <w:p w14:paraId="4D2A386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质疑联系方式：0577-8987015</w:t>
      </w:r>
      <w:r>
        <w:rPr>
          <w:rFonts w:hint="eastAsia" w:ascii="新宋体" w:hAnsi="新宋体" w:eastAsia="新宋体" w:cs="新宋体"/>
          <w:color w:val="auto"/>
          <w:sz w:val="22"/>
          <w:szCs w:val="22"/>
          <w:highlight w:val="none"/>
          <w:lang w:val="en-US" w:eastAsia="zh-CN"/>
        </w:rPr>
        <w:t>3</w:t>
      </w:r>
    </w:p>
    <w:p w14:paraId="5C3457C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w:t>
      </w:r>
      <w:r>
        <w:rPr>
          <w:rFonts w:hint="eastAsia" w:ascii="新宋体" w:hAnsi="新宋体" w:eastAsia="新宋体" w:cs="新宋体"/>
          <w:color w:val="auto"/>
          <w:sz w:val="22"/>
          <w:szCs w:val="22"/>
          <w:highlight w:val="none"/>
        </w:rPr>
        <w:t>代理机构信息</w:t>
      </w:r>
    </w:p>
    <w:p w14:paraId="6CE95F4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称：温州历程招标有限公司</w:t>
      </w:r>
    </w:p>
    <w:p w14:paraId="13118156">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温州市鹿城区南汇街道勤民路鹿城壹号18幢803室</w:t>
      </w:r>
    </w:p>
    <w:p w14:paraId="30A4AD8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76AD2A2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项目联系人（询问）：郑永强</w:t>
      </w:r>
    </w:p>
    <w:p w14:paraId="1A33CB1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项目联系方式（询问）：0577-89887255、13757727199</w:t>
      </w:r>
    </w:p>
    <w:p w14:paraId="28BDB25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质疑联系人：肖忠文</w:t>
      </w:r>
    </w:p>
    <w:p w14:paraId="5C5D6595">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质疑联系方式：0577-89887322</w:t>
      </w:r>
    </w:p>
    <w:p w14:paraId="66CF688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3.同级采购监督管理部门</w:t>
      </w:r>
    </w:p>
    <w:p w14:paraId="7E97836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称：温州市第七人民医院纪检监察室</w:t>
      </w:r>
    </w:p>
    <w:p w14:paraId="4F58C0B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温州市瓯海区学士前路</w:t>
      </w:r>
    </w:p>
    <w:p w14:paraId="334BCA6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0C4F9342">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联系人：</w:t>
      </w:r>
      <w:r>
        <w:rPr>
          <w:rFonts w:hint="eastAsia" w:ascii="新宋体" w:hAnsi="新宋体" w:eastAsia="新宋体" w:cs="新宋体"/>
          <w:color w:val="auto"/>
          <w:sz w:val="22"/>
          <w:szCs w:val="22"/>
          <w:highlight w:val="none"/>
          <w:lang w:val="en-US" w:eastAsia="zh-CN"/>
        </w:rPr>
        <w:t>/</w:t>
      </w:r>
    </w:p>
    <w:p w14:paraId="2311795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监督投诉电话：0577-56575113</w:t>
      </w:r>
    </w:p>
    <w:p w14:paraId="3847B75C">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温州市第七人民医院</w:t>
      </w:r>
    </w:p>
    <w:p w14:paraId="37CC5FA6">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温州历程招标有限公司</w:t>
      </w:r>
    </w:p>
    <w:p w14:paraId="4FA98666">
      <w:pPr>
        <w:keepNext w:val="0"/>
        <w:keepLines w:val="0"/>
        <w:pageBreakBefore w:val="0"/>
        <w:tabs>
          <w:tab w:val="left" w:pos="360"/>
        </w:tabs>
        <w:kinsoku/>
        <w:wordWrap/>
        <w:overflowPunct/>
        <w:topLinePunct w:val="0"/>
        <w:autoSpaceDE/>
        <w:autoSpaceDN/>
        <w:bidi w:val="0"/>
        <w:adjustRightInd/>
        <w:spacing w:line="460" w:lineRule="exact"/>
        <w:ind w:firstLine="7920" w:firstLineChars="3600"/>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202</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lang w:val="en-US" w:eastAsia="zh-CN"/>
        </w:rPr>
        <w:t>01</w:t>
      </w:r>
      <w:r>
        <w:rPr>
          <w:rFonts w:hint="eastAsia" w:ascii="新宋体" w:hAnsi="新宋体" w:eastAsia="新宋体" w:cs="新宋体"/>
          <w:color w:val="auto"/>
          <w:sz w:val="22"/>
          <w:szCs w:val="22"/>
          <w:highlight w:val="none"/>
        </w:rPr>
        <w:t>月</w:t>
      </w:r>
    </w:p>
    <w:p w14:paraId="62FB4C9D">
      <w:pPr>
        <w:rPr>
          <w:rFonts w:hint="eastAsia" w:ascii="新宋体" w:hAnsi="新宋体" w:eastAsia="新宋体" w:cs="新宋体"/>
          <w:color w:val="auto"/>
          <w:highlight w:val="none"/>
        </w:rPr>
      </w:pPr>
    </w:p>
    <w:p w14:paraId="76BD94B8">
      <w:pPr>
        <w:pStyle w:val="24"/>
        <w:rPr>
          <w:rFonts w:hint="eastAsia" w:ascii="新宋体" w:hAnsi="新宋体" w:eastAsia="新宋体" w:cs="新宋体"/>
          <w:color w:val="auto"/>
          <w:highlight w:val="none"/>
        </w:rPr>
      </w:pPr>
    </w:p>
    <w:p w14:paraId="10767B4F">
      <w:pPr>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p>
    <w:p w14:paraId="460621F2">
      <w:pPr>
        <w:pStyle w:val="24"/>
        <w:spacing w:line="460" w:lineRule="exact"/>
        <w:ind w:left="0" w:leftChars="0"/>
        <w:jc w:val="center"/>
        <w:outlineLvl w:val="0"/>
        <w:rPr>
          <w:rFonts w:hint="eastAsia" w:ascii="新宋体" w:hAnsi="新宋体" w:eastAsia="新宋体" w:cs="新宋体"/>
          <w:b/>
          <w:color w:val="auto"/>
          <w:sz w:val="30"/>
          <w:highlight w:val="none"/>
        </w:rPr>
      </w:pPr>
      <w:bookmarkStart w:id="5" w:name="_Toc23025"/>
      <w:r>
        <w:rPr>
          <w:rFonts w:hint="eastAsia" w:ascii="新宋体" w:hAnsi="新宋体" w:eastAsia="新宋体" w:cs="新宋体"/>
          <w:b/>
          <w:color w:val="auto"/>
          <w:sz w:val="30"/>
          <w:highlight w:val="none"/>
        </w:rPr>
        <w:t>第一部分    投标人须知</w:t>
      </w:r>
      <w:bookmarkEnd w:id="5"/>
    </w:p>
    <w:p w14:paraId="6BAC3926">
      <w:pPr>
        <w:bidi w:val="0"/>
        <w:jc w:val="center"/>
        <w:outlineLvl w:val="1"/>
        <w:rPr>
          <w:rFonts w:hint="eastAsia" w:ascii="新宋体" w:hAnsi="新宋体" w:eastAsia="新宋体" w:cs="新宋体"/>
          <w:b/>
          <w:bCs/>
          <w:color w:val="auto"/>
          <w:sz w:val="24"/>
          <w:szCs w:val="24"/>
          <w:highlight w:val="none"/>
        </w:rPr>
      </w:pPr>
      <w:bookmarkStart w:id="6" w:name="_Toc233618971"/>
      <w:bookmarkStart w:id="7" w:name="_Toc354996695"/>
      <w:bookmarkStart w:id="8" w:name="_Toc24985"/>
      <w:bookmarkStart w:id="9" w:name="_Toc33194387"/>
      <w:r>
        <w:rPr>
          <w:rFonts w:hint="eastAsia" w:ascii="新宋体" w:hAnsi="新宋体" w:eastAsia="新宋体" w:cs="新宋体"/>
          <w:b/>
          <w:bCs/>
          <w:color w:val="auto"/>
          <w:sz w:val="24"/>
          <w:szCs w:val="24"/>
          <w:highlight w:val="none"/>
        </w:rPr>
        <w:t>前 附 表</w:t>
      </w:r>
      <w:bookmarkEnd w:id="6"/>
      <w:bookmarkEnd w:id="7"/>
      <w:bookmarkEnd w:id="8"/>
      <w:bookmarkEnd w:id="9"/>
    </w:p>
    <w:tbl>
      <w:tblPr>
        <w:tblStyle w:val="53"/>
        <w:tblW w:w="966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32"/>
        <w:gridCol w:w="9031"/>
      </w:tblGrid>
      <w:tr w14:paraId="2B8879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8" w:space="0"/>
              <w:left w:val="single" w:color="000000" w:sz="8" w:space="0"/>
              <w:bottom w:val="single" w:color="000000" w:sz="2" w:space="0"/>
              <w:right w:val="single" w:color="000000" w:sz="2" w:space="0"/>
            </w:tcBorders>
            <w:vAlign w:val="center"/>
          </w:tcPr>
          <w:p w14:paraId="21650605">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条款</w:t>
            </w:r>
          </w:p>
        </w:tc>
        <w:tc>
          <w:tcPr>
            <w:tcW w:w="9031" w:type="dxa"/>
            <w:tcBorders>
              <w:top w:val="single" w:color="000000" w:sz="8" w:space="0"/>
              <w:left w:val="single" w:color="000000" w:sz="2" w:space="0"/>
              <w:bottom w:val="single" w:color="000000" w:sz="2" w:space="0"/>
              <w:right w:val="single" w:color="000000" w:sz="8" w:space="0"/>
            </w:tcBorders>
            <w:vAlign w:val="center"/>
          </w:tcPr>
          <w:p w14:paraId="5C794482">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内容规定</w:t>
            </w:r>
          </w:p>
        </w:tc>
      </w:tr>
      <w:tr w14:paraId="0D5DF6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45136805">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p>
        </w:tc>
        <w:tc>
          <w:tcPr>
            <w:tcW w:w="9031" w:type="dxa"/>
            <w:tcBorders>
              <w:top w:val="single" w:color="000000" w:sz="2" w:space="0"/>
              <w:left w:val="single" w:color="000000" w:sz="2" w:space="0"/>
              <w:bottom w:val="single" w:color="000000" w:sz="2" w:space="0"/>
              <w:right w:val="single" w:color="000000" w:sz="8" w:space="0"/>
            </w:tcBorders>
          </w:tcPr>
          <w:p w14:paraId="50869050">
            <w:pPr>
              <w:tabs>
                <w:tab w:val="left" w:pos="360"/>
              </w:tabs>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一、项目名称：</w:t>
            </w:r>
            <w:r>
              <w:rPr>
                <w:rFonts w:hint="eastAsia" w:ascii="新宋体" w:hAnsi="新宋体" w:eastAsia="新宋体" w:cs="新宋体"/>
                <w:color w:val="auto"/>
                <w:sz w:val="22"/>
                <w:szCs w:val="22"/>
                <w:highlight w:val="none"/>
                <w:lang w:eastAsia="zh-CN"/>
              </w:rPr>
              <w:t>常规检验外送</w:t>
            </w:r>
          </w:p>
          <w:p w14:paraId="263CC86F">
            <w:pPr>
              <w:spacing w:line="460" w:lineRule="exact"/>
              <w:rPr>
                <w:rFonts w:hint="eastAsia" w:ascii="新宋体" w:hAnsi="新宋体" w:eastAsia="新宋体" w:cs="新宋体"/>
                <w:color w:val="auto"/>
                <w:sz w:val="22"/>
                <w:szCs w:val="22"/>
                <w:highlight w:val="none"/>
              </w:rPr>
            </w:pPr>
            <w:bookmarkStart w:id="10" w:name="_Hlt75139851"/>
            <w:bookmarkEnd w:id="10"/>
            <w:r>
              <w:rPr>
                <w:rFonts w:hint="eastAsia" w:ascii="新宋体" w:hAnsi="新宋体" w:eastAsia="新宋体" w:cs="新宋体"/>
                <w:color w:val="auto"/>
                <w:sz w:val="22"/>
                <w:szCs w:val="22"/>
                <w:highlight w:val="none"/>
              </w:rPr>
              <w:t>二、采购内容：</w:t>
            </w:r>
          </w:p>
          <w:tbl>
            <w:tblPr>
              <w:tblStyle w:val="53"/>
              <w:tblW w:w="87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7"/>
              <w:gridCol w:w="810"/>
              <w:gridCol w:w="1546"/>
              <w:gridCol w:w="2634"/>
              <w:gridCol w:w="1337"/>
            </w:tblGrid>
            <w:tr w14:paraId="1FC7F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07" w:type="dxa"/>
                  <w:tcBorders>
                    <w:top w:val="single" w:color="auto" w:sz="4" w:space="0"/>
                    <w:left w:val="single" w:color="auto" w:sz="4" w:space="0"/>
                    <w:bottom w:val="single" w:color="auto" w:sz="4" w:space="0"/>
                    <w:right w:val="single" w:color="auto" w:sz="4" w:space="0"/>
                  </w:tcBorders>
                  <w:vAlign w:val="center"/>
                </w:tcPr>
                <w:p w14:paraId="5374EB2B">
                  <w:pPr>
                    <w:widowControl/>
                    <w:snapToGrid w:val="0"/>
                    <w:spacing w:line="44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项目内容</w:t>
                  </w:r>
                </w:p>
              </w:tc>
              <w:tc>
                <w:tcPr>
                  <w:tcW w:w="810" w:type="dxa"/>
                  <w:tcBorders>
                    <w:top w:val="single" w:color="auto" w:sz="4" w:space="0"/>
                    <w:left w:val="single" w:color="auto" w:sz="4" w:space="0"/>
                    <w:bottom w:val="single" w:color="auto" w:sz="4" w:space="0"/>
                    <w:right w:val="single" w:color="auto" w:sz="4" w:space="0"/>
                  </w:tcBorders>
                  <w:vAlign w:val="center"/>
                </w:tcPr>
                <w:p w14:paraId="5B387A0F">
                  <w:pPr>
                    <w:widowControl/>
                    <w:snapToGrid w:val="0"/>
                    <w:spacing w:line="44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数量</w:t>
                  </w:r>
                </w:p>
              </w:tc>
              <w:tc>
                <w:tcPr>
                  <w:tcW w:w="1546" w:type="dxa"/>
                  <w:tcBorders>
                    <w:top w:val="single" w:color="auto" w:sz="4" w:space="0"/>
                    <w:left w:val="single" w:color="auto" w:sz="4" w:space="0"/>
                    <w:bottom w:val="single" w:color="auto" w:sz="4" w:space="0"/>
                    <w:right w:val="single" w:color="auto" w:sz="4" w:space="0"/>
                  </w:tcBorders>
                  <w:vAlign w:val="center"/>
                </w:tcPr>
                <w:p w14:paraId="0950E9A8">
                  <w:pPr>
                    <w:widowControl/>
                    <w:snapToGrid w:val="0"/>
                    <w:spacing w:line="44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kern w:val="0"/>
                      <w:sz w:val="22"/>
                      <w:szCs w:val="22"/>
                      <w:highlight w:val="none"/>
                    </w:rPr>
                    <w:t>预算金额</w:t>
                  </w:r>
                  <w:r>
                    <w:rPr>
                      <w:rFonts w:hint="eastAsia" w:ascii="新宋体" w:hAnsi="新宋体" w:eastAsia="新宋体" w:cs="新宋体"/>
                      <w:color w:val="auto"/>
                      <w:kern w:val="0"/>
                      <w:sz w:val="22"/>
                      <w:szCs w:val="22"/>
                      <w:highlight w:val="none"/>
                      <w:lang w:val="en-US" w:eastAsia="zh-CN"/>
                    </w:rPr>
                    <w:t>（元）</w:t>
                  </w:r>
                </w:p>
              </w:tc>
              <w:tc>
                <w:tcPr>
                  <w:tcW w:w="2634" w:type="dxa"/>
                  <w:tcBorders>
                    <w:top w:val="single" w:color="auto" w:sz="4" w:space="0"/>
                    <w:left w:val="single" w:color="auto" w:sz="4" w:space="0"/>
                    <w:bottom w:val="single" w:color="auto" w:sz="4" w:space="0"/>
                    <w:right w:val="single" w:color="auto" w:sz="4" w:space="0"/>
                  </w:tcBorders>
                  <w:vAlign w:val="center"/>
                </w:tcPr>
                <w:p w14:paraId="7D4C3D94">
                  <w:pPr>
                    <w:widowControl/>
                    <w:snapToGrid w:val="0"/>
                    <w:spacing w:line="44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简要技术要求、用途</w:t>
                  </w:r>
                </w:p>
              </w:tc>
              <w:tc>
                <w:tcPr>
                  <w:tcW w:w="1337" w:type="dxa"/>
                  <w:tcBorders>
                    <w:top w:val="single" w:color="auto" w:sz="4" w:space="0"/>
                    <w:left w:val="single" w:color="auto" w:sz="4" w:space="0"/>
                    <w:bottom w:val="single" w:color="auto" w:sz="4" w:space="0"/>
                    <w:right w:val="single" w:color="auto" w:sz="4" w:space="0"/>
                  </w:tcBorders>
                  <w:vAlign w:val="center"/>
                </w:tcPr>
                <w:p w14:paraId="789E1534">
                  <w:pPr>
                    <w:widowControl/>
                    <w:snapToGrid w:val="0"/>
                    <w:spacing w:line="44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w:t>
                  </w:r>
                </w:p>
              </w:tc>
            </w:tr>
            <w:tr w14:paraId="31F50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407" w:type="dxa"/>
                  <w:tcBorders>
                    <w:top w:val="single" w:color="auto" w:sz="4" w:space="0"/>
                    <w:left w:val="single" w:color="auto" w:sz="4" w:space="0"/>
                    <w:right w:val="single" w:color="auto" w:sz="4" w:space="0"/>
                  </w:tcBorders>
                  <w:vAlign w:val="center"/>
                </w:tcPr>
                <w:p w14:paraId="3704B174">
                  <w:pPr>
                    <w:widowControl/>
                    <w:snapToGrid w:val="0"/>
                    <w:spacing w:line="440" w:lineRule="exact"/>
                    <w:jc w:val="cente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常规检验外送</w:t>
                  </w:r>
                </w:p>
              </w:tc>
              <w:tc>
                <w:tcPr>
                  <w:tcW w:w="810" w:type="dxa"/>
                  <w:tcBorders>
                    <w:top w:val="single" w:color="auto" w:sz="4" w:space="0"/>
                    <w:left w:val="single" w:color="auto" w:sz="4" w:space="0"/>
                    <w:right w:val="single" w:color="auto" w:sz="4" w:space="0"/>
                  </w:tcBorders>
                  <w:vAlign w:val="center"/>
                </w:tcPr>
                <w:p w14:paraId="20265471">
                  <w:pPr>
                    <w:widowControl/>
                    <w:snapToGrid w:val="0"/>
                    <w:spacing w:line="44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1项</w:t>
                  </w:r>
                </w:p>
              </w:tc>
              <w:tc>
                <w:tcPr>
                  <w:tcW w:w="1546" w:type="dxa"/>
                  <w:tcBorders>
                    <w:top w:val="single" w:color="auto" w:sz="4" w:space="0"/>
                    <w:left w:val="single" w:color="auto" w:sz="4" w:space="0"/>
                    <w:right w:val="single" w:color="auto" w:sz="4" w:space="0"/>
                  </w:tcBorders>
                  <w:vAlign w:val="center"/>
                </w:tcPr>
                <w:p w14:paraId="513F997A">
                  <w:pPr>
                    <w:widowControl/>
                    <w:snapToGrid w:val="0"/>
                    <w:spacing w:line="44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150000.00</w:t>
                  </w:r>
                </w:p>
              </w:tc>
              <w:tc>
                <w:tcPr>
                  <w:tcW w:w="2634" w:type="dxa"/>
                  <w:tcBorders>
                    <w:top w:val="single" w:color="auto" w:sz="4" w:space="0"/>
                    <w:left w:val="single" w:color="auto" w:sz="4" w:space="0"/>
                    <w:right w:val="single" w:color="auto" w:sz="4" w:space="0"/>
                  </w:tcBorders>
                  <w:vAlign w:val="center"/>
                </w:tcPr>
                <w:p w14:paraId="4CC21C90">
                  <w:pPr>
                    <w:widowControl/>
                    <w:snapToGrid w:val="0"/>
                    <w:spacing w:line="44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详见招标文件“项目技术规范和服务要求”</w:t>
                  </w:r>
                </w:p>
              </w:tc>
              <w:tc>
                <w:tcPr>
                  <w:tcW w:w="1337" w:type="dxa"/>
                  <w:tcBorders>
                    <w:left w:val="single" w:color="auto" w:sz="4" w:space="0"/>
                    <w:right w:val="single" w:color="auto" w:sz="4" w:space="0"/>
                  </w:tcBorders>
                </w:tcPr>
                <w:p w14:paraId="7FF4EE4D">
                  <w:pPr>
                    <w:widowControl/>
                    <w:snapToGrid w:val="0"/>
                    <w:spacing w:line="440" w:lineRule="exact"/>
                    <w:jc w:val="center"/>
                    <w:rPr>
                      <w:rFonts w:hint="eastAsia" w:ascii="新宋体" w:hAnsi="新宋体" w:eastAsia="新宋体" w:cs="新宋体"/>
                      <w:color w:val="auto"/>
                      <w:kern w:val="0"/>
                      <w:sz w:val="22"/>
                      <w:szCs w:val="22"/>
                      <w:highlight w:val="none"/>
                    </w:rPr>
                  </w:pPr>
                </w:p>
              </w:tc>
            </w:tr>
          </w:tbl>
          <w:p w14:paraId="7BC9FD77">
            <w:pPr>
              <w:widowControl/>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kern w:val="0"/>
                <w:sz w:val="22"/>
                <w:szCs w:val="22"/>
                <w:highlight w:val="none"/>
                <w:u w:val="single"/>
              </w:rPr>
              <w:t>合同签订后</w:t>
            </w:r>
            <w:r>
              <w:rPr>
                <w:rFonts w:hint="eastAsia" w:ascii="新宋体" w:hAnsi="新宋体" w:eastAsia="新宋体" w:cs="新宋体"/>
                <w:b/>
                <w:bCs/>
                <w:color w:val="auto"/>
                <w:kern w:val="0"/>
                <w:sz w:val="22"/>
                <w:szCs w:val="22"/>
                <w:highlight w:val="none"/>
                <w:u w:val="single"/>
                <w:lang w:eastAsia="zh-CN"/>
              </w:rPr>
              <w:t>合作期满</w:t>
            </w:r>
            <w:r>
              <w:rPr>
                <w:rFonts w:hint="eastAsia" w:ascii="新宋体" w:hAnsi="新宋体" w:eastAsia="新宋体" w:cs="新宋体"/>
                <w:b/>
                <w:bCs/>
                <w:color w:val="auto"/>
                <w:kern w:val="0"/>
                <w:sz w:val="22"/>
                <w:szCs w:val="22"/>
                <w:highlight w:val="none"/>
                <w:u w:val="single"/>
              </w:rPr>
              <w:t>1年或</w:t>
            </w:r>
            <w:r>
              <w:rPr>
                <w:rFonts w:hint="eastAsia" w:ascii="新宋体" w:hAnsi="新宋体" w:eastAsia="新宋体" w:cs="新宋体"/>
                <w:b/>
                <w:bCs/>
                <w:color w:val="auto"/>
                <w:kern w:val="0"/>
                <w:sz w:val="22"/>
                <w:szCs w:val="22"/>
                <w:highlight w:val="none"/>
                <w:u w:val="single"/>
                <w:lang w:eastAsia="zh-CN"/>
              </w:rPr>
              <w:t>实际检测服务金额</w:t>
            </w:r>
            <w:r>
              <w:rPr>
                <w:rFonts w:hint="eastAsia" w:ascii="新宋体" w:hAnsi="新宋体" w:eastAsia="新宋体" w:cs="新宋体"/>
                <w:b/>
                <w:bCs/>
                <w:color w:val="auto"/>
                <w:kern w:val="0"/>
                <w:sz w:val="22"/>
                <w:szCs w:val="22"/>
                <w:highlight w:val="none"/>
                <w:u w:val="single"/>
              </w:rPr>
              <w:t>达到</w:t>
            </w:r>
            <w:r>
              <w:rPr>
                <w:rFonts w:hint="eastAsia" w:ascii="新宋体" w:hAnsi="新宋体" w:eastAsia="新宋体" w:cs="新宋体"/>
                <w:b/>
                <w:bCs/>
                <w:color w:val="auto"/>
                <w:kern w:val="0"/>
                <w:sz w:val="22"/>
                <w:szCs w:val="22"/>
                <w:highlight w:val="none"/>
                <w:u w:val="single"/>
                <w:lang w:val="en-US" w:eastAsia="zh-CN"/>
              </w:rPr>
              <w:t>15万</w:t>
            </w:r>
            <w:r>
              <w:rPr>
                <w:rFonts w:hint="eastAsia" w:ascii="新宋体" w:hAnsi="新宋体" w:eastAsia="新宋体" w:cs="新宋体"/>
                <w:b/>
                <w:bCs/>
                <w:color w:val="auto"/>
                <w:kern w:val="0"/>
                <w:sz w:val="22"/>
                <w:szCs w:val="22"/>
                <w:highlight w:val="none"/>
                <w:u w:val="single"/>
              </w:rPr>
              <w:t>元</w:t>
            </w:r>
            <w:r>
              <w:rPr>
                <w:rFonts w:hint="eastAsia" w:ascii="新宋体" w:hAnsi="新宋体" w:eastAsia="新宋体" w:cs="新宋体"/>
                <w:b/>
                <w:bCs/>
                <w:color w:val="auto"/>
                <w:sz w:val="22"/>
                <w:szCs w:val="22"/>
                <w:highlight w:val="none"/>
              </w:rPr>
              <w:t>，任一条件达到即视为合同期结束。合同期内如遇政策性原因，导致合同无法履行，则合同自行终止。</w:t>
            </w:r>
          </w:p>
          <w:p w14:paraId="44B1BD4C">
            <w:pPr>
              <w:widowControl/>
              <w:spacing w:line="460" w:lineRule="exact"/>
              <w:jc w:val="lef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en-US" w:eastAsia="zh-CN"/>
              </w:rPr>
              <w:t>三、</w:t>
            </w:r>
            <w:r>
              <w:rPr>
                <w:rFonts w:hint="eastAsia" w:ascii="新宋体" w:hAnsi="新宋体" w:eastAsia="新宋体" w:cs="新宋体"/>
                <w:b/>
                <w:bCs/>
                <w:color w:val="auto"/>
                <w:sz w:val="22"/>
                <w:szCs w:val="22"/>
                <w:highlight w:val="none"/>
              </w:rPr>
              <w:t>本项目</w:t>
            </w:r>
            <w:r>
              <w:rPr>
                <w:rFonts w:hint="eastAsia" w:ascii="新宋体" w:hAnsi="新宋体" w:eastAsia="新宋体" w:cs="新宋体"/>
                <w:b/>
                <w:bCs/>
                <w:color w:val="auto"/>
                <w:sz w:val="22"/>
                <w:szCs w:val="22"/>
                <w:highlight w:val="none"/>
                <w:lang w:val="en-US" w:eastAsia="zh-CN"/>
              </w:rPr>
              <w:t>（是）</w:t>
            </w:r>
            <w:r>
              <w:rPr>
                <w:rFonts w:hint="eastAsia" w:ascii="新宋体" w:hAnsi="新宋体" w:eastAsia="新宋体" w:cs="新宋体"/>
                <w:b/>
                <w:bCs/>
                <w:color w:val="auto"/>
                <w:sz w:val="22"/>
                <w:szCs w:val="22"/>
                <w:highlight w:val="none"/>
              </w:rPr>
              <w:t>接受联合体投标</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rPr>
              <w:t>组成的联合体须满足：①出具联合体共同投标协议书（须明确牵头人）；②以联合体形式参加采购活动的，联合体各方不得再单独参加或者与其他供应商另外组成联合体参加同一合同项下的采购活动</w:t>
            </w:r>
            <w:r>
              <w:rPr>
                <w:rFonts w:hint="eastAsia" w:ascii="新宋体" w:hAnsi="新宋体" w:eastAsia="新宋体" w:cs="新宋体"/>
                <w:b/>
                <w:bCs/>
                <w:color w:val="auto"/>
                <w:sz w:val="22"/>
                <w:szCs w:val="22"/>
                <w:highlight w:val="none"/>
                <w:lang w:eastAsia="zh-CN"/>
              </w:rPr>
              <w:t>；③</w:t>
            </w:r>
            <w:r>
              <w:rPr>
                <w:rFonts w:hint="eastAsia" w:ascii="新宋体" w:hAnsi="新宋体" w:eastAsia="新宋体" w:cs="新宋体"/>
                <w:b/>
                <w:bCs/>
                <w:color w:val="auto"/>
                <w:sz w:val="22"/>
                <w:szCs w:val="22"/>
                <w:highlight w:val="none"/>
                <w:lang w:val="en-US" w:eastAsia="zh-CN"/>
              </w:rPr>
              <w:t>联合体组成成员（含牵头人）不得超过2家。</w:t>
            </w:r>
          </w:p>
        </w:tc>
      </w:tr>
      <w:tr w14:paraId="62B4E4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11E321FF">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w:t>
            </w:r>
          </w:p>
        </w:tc>
        <w:tc>
          <w:tcPr>
            <w:tcW w:w="9031" w:type="dxa"/>
            <w:tcBorders>
              <w:top w:val="single" w:color="000000" w:sz="2" w:space="0"/>
              <w:left w:val="single" w:color="000000" w:sz="2" w:space="0"/>
              <w:bottom w:val="single" w:color="000000" w:sz="2" w:space="0"/>
              <w:right w:val="single" w:color="000000" w:sz="8" w:space="0"/>
            </w:tcBorders>
            <w:vAlign w:val="center"/>
          </w:tcPr>
          <w:p w14:paraId="18E9011B">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投标</w:t>
            </w:r>
            <w:r>
              <w:rPr>
                <w:rFonts w:hint="eastAsia" w:ascii="新宋体" w:hAnsi="新宋体" w:eastAsia="新宋体" w:cs="新宋体"/>
                <w:b/>
                <w:bCs/>
                <w:color w:val="auto"/>
                <w:sz w:val="22"/>
                <w:szCs w:val="22"/>
                <w:highlight w:val="none"/>
              </w:rPr>
              <w:t>有效期：</w:t>
            </w:r>
            <w:r>
              <w:rPr>
                <w:rFonts w:hint="eastAsia" w:ascii="新宋体" w:hAnsi="新宋体" w:eastAsia="新宋体" w:cs="新宋体"/>
                <w:color w:val="auto"/>
                <w:sz w:val="22"/>
                <w:szCs w:val="22"/>
                <w:highlight w:val="none"/>
              </w:rPr>
              <w:t>自投标截止日起</w:t>
            </w:r>
            <w:r>
              <w:rPr>
                <w:rFonts w:hint="eastAsia" w:ascii="新宋体" w:hAnsi="新宋体" w:eastAsia="新宋体" w:cs="新宋体"/>
                <w:color w:val="auto"/>
                <w:sz w:val="22"/>
                <w:szCs w:val="22"/>
                <w:highlight w:val="none"/>
                <w:lang w:val="en-US" w:eastAsia="zh-CN"/>
              </w:rPr>
              <w:t>90</w:t>
            </w:r>
            <w:r>
              <w:rPr>
                <w:rFonts w:hint="eastAsia" w:ascii="新宋体" w:hAnsi="新宋体" w:eastAsia="新宋体" w:cs="新宋体"/>
                <w:color w:val="auto"/>
                <w:sz w:val="22"/>
                <w:szCs w:val="22"/>
                <w:highlight w:val="none"/>
              </w:rPr>
              <w:t>天。</w:t>
            </w:r>
          </w:p>
        </w:tc>
      </w:tr>
      <w:tr w14:paraId="28EB8F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2ADD519A">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w:t>
            </w:r>
          </w:p>
        </w:tc>
        <w:tc>
          <w:tcPr>
            <w:tcW w:w="9031" w:type="dxa"/>
            <w:tcBorders>
              <w:top w:val="single" w:color="000000" w:sz="2" w:space="0"/>
              <w:left w:val="single" w:color="000000" w:sz="2" w:space="0"/>
              <w:bottom w:val="single" w:color="000000" w:sz="2" w:space="0"/>
              <w:right w:val="single" w:color="000000" w:sz="8" w:space="0"/>
            </w:tcBorders>
            <w:vAlign w:val="center"/>
          </w:tcPr>
          <w:p w14:paraId="0326A17A">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投标保证金数额：无</w:t>
            </w:r>
            <w:r>
              <w:rPr>
                <w:rFonts w:hint="eastAsia" w:ascii="新宋体" w:hAnsi="新宋体" w:eastAsia="新宋体" w:cs="新宋体"/>
                <w:color w:val="auto"/>
                <w:sz w:val="22"/>
                <w:szCs w:val="22"/>
                <w:highlight w:val="none"/>
              </w:rPr>
              <w:t>。</w:t>
            </w:r>
          </w:p>
        </w:tc>
      </w:tr>
      <w:tr w14:paraId="31AAE8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935" w:hRule="atLeast"/>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68831B47">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4</w:t>
            </w:r>
          </w:p>
        </w:tc>
        <w:tc>
          <w:tcPr>
            <w:tcW w:w="9031" w:type="dxa"/>
            <w:tcBorders>
              <w:top w:val="single" w:color="000000" w:sz="2" w:space="0"/>
              <w:left w:val="single" w:color="000000" w:sz="2" w:space="0"/>
              <w:bottom w:val="single" w:color="000000" w:sz="2" w:space="0"/>
              <w:right w:val="single" w:color="000000" w:sz="8" w:space="0"/>
            </w:tcBorders>
            <w:vAlign w:val="center"/>
          </w:tcPr>
          <w:p w14:paraId="51057E32">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招标服务费：根据国家计委计价格【2002】1980号《招标代理服务收费管理暂行办法》规定按预算金额（人民币</w:t>
            </w:r>
            <w:r>
              <w:rPr>
                <w:rFonts w:hint="eastAsia" w:ascii="新宋体" w:hAnsi="新宋体" w:eastAsia="新宋体" w:cs="新宋体"/>
                <w:color w:val="auto"/>
                <w:sz w:val="22"/>
                <w:szCs w:val="22"/>
                <w:highlight w:val="none"/>
                <w:lang w:val="en-US" w:eastAsia="zh-CN"/>
              </w:rPr>
              <w:t>壹拾伍万</w:t>
            </w:r>
            <w:r>
              <w:rPr>
                <w:rFonts w:hint="eastAsia" w:ascii="新宋体" w:hAnsi="新宋体" w:eastAsia="新宋体" w:cs="新宋体"/>
                <w:color w:val="auto"/>
                <w:sz w:val="22"/>
                <w:szCs w:val="22"/>
                <w:highlight w:val="none"/>
              </w:rPr>
              <w:t>元整（¥</w:t>
            </w:r>
            <w:r>
              <w:rPr>
                <w:rFonts w:hint="eastAsia" w:ascii="新宋体" w:hAnsi="新宋体" w:eastAsia="新宋体" w:cs="新宋体"/>
                <w:color w:val="auto"/>
                <w:sz w:val="22"/>
                <w:szCs w:val="22"/>
                <w:highlight w:val="none"/>
                <w:lang w:val="en-US" w:eastAsia="zh-CN"/>
              </w:rPr>
              <w:t>150000.00</w:t>
            </w:r>
            <w:r>
              <w:rPr>
                <w:rFonts w:hint="eastAsia" w:ascii="新宋体" w:hAnsi="新宋体" w:eastAsia="新宋体" w:cs="新宋体"/>
                <w:color w:val="auto"/>
                <w:sz w:val="22"/>
                <w:szCs w:val="22"/>
                <w:highlight w:val="none"/>
              </w:rPr>
              <w:t>））的1.5%计算后下浮25%收取</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由中标人在领取中标通知书时支付。</w:t>
            </w:r>
          </w:p>
          <w:p w14:paraId="2DEE4689">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户  名：温州历程招标有限公司乐清分公司</w:t>
            </w:r>
          </w:p>
          <w:p w14:paraId="3F9A5B4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账  号：33050162870400000619</w:t>
            </w:r>
          </w:p>
          <w:p w14:paraId="4F9A4FB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开户行：中国建设银行股份有限公司温州新城支行</w:t>
            </w:r>
          </w:p>
          <w:p w14:paraId="675B213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行  号：105333000038</w:t>
            </w:r>
          </w:p>
        </w:tc>
      </w:tr>
      <w:tr w14:paraId="1656DF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451DC227">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5</w:t>
            </w:r>
          </w:p>
        </w:tc>
        <w:tc>
          <w:tcPr>
            <w:tcW w:w="9031" w:type="dxa"/>
            <w:tcBorders>
              <w:top w:val="single" w:color="000000" w:sz="2" w:space="0"/>
              <w:left w:val="single" w:color="000000" w:sz="2" w:space="0"/>
              <w:bottom w:val="single" w:color="000000" w:sz="2" w:space="0"/>
              <w:right w:val="single" w:color="000000" w:sz="8" w:space="0"/>
            </w:tcBorders>
            <w:vAlign w:val="center"/>
          </w:tcPr>
          <w:p w14:paraId="5F459E2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投标文件的组成：</w:t>
            </w:r>
            <w:r>
              <w:rPr>
                <w:rFonts w:hint="eastAsia" w:ascii="新宋体" w:hAnsi="新宋体" w:eastAsia="新宋体" w:cs="新宋体"/>
                <w:color w:val="auto"/>
                <w:sz w:val="22"/>
                <w:szCs w:val="22"/>
                <w:highlight w:val="none"/>
              </w:rPr>
              <w:t>完整的《投标文件》由“资格文件”、“报价文件”和“商务技术文件”三个部分组成。</w:t>
            </w:r>
          </w:p>
        </w:tc>
      </w:tr>
      <w:tr w14:paraId="2D5610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1263C2AE">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6</w:t>
            </w:r>
          </w:p>
        </w:tc>
        <w:tc>
          <w:tcPr>
            <w:tcW w:w="9031" w:type="dxa"/>
            <w:tcBorders>
              <w:top w:val="single" w:color="000000" w:sz="2" w:space="0"/>
              <w:left w:val="single" w:color="000000" w:sz="2" w:space="0"/>
              <w:bottom w:val="single" w:color="000000" w:sz="2" w:space="0"/>
              <w:right w:val="single" w:color="000000" w:sz="8" w:space="0"/>
            </w:tcBorders>
            <w:vAlign w:val="center"/>
          </w:tcPr>
          <w:p w14:paraId="3195386E">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投标文件的编制：</w:t>
            </w:r>
            <w:r>
              <w:rPr>
                <w:rFonts w:hint="eastAsia" w:ascii="新宋体" w:hAnsi="新宋体" w:eastAsia="新宋体" w:cs="新宋体"/>
                <w:color w:val="auto"/>
                <w:sz w:val="22"/>
                <w:szCs w:val="22"/>
                <w:highlight w:val="none"/>
              </w:rPr>
              <w:t>投标人应先安装“</w:t>
            </w:r>
            <w:r>
              <w:rPr>
                <w:rFonts w:hint="eastAsia" w:ascii="新宋体" w:hAnsi="新宋体" w:eastAsia="新宋体" w:cs="新宋体"/>
                <w:color w:val="auto"/>
                <w:sz w:val="22"/>
                <w:szCs w:val="22"/>
                <w:highlight w:val="none"/>
                <w:lang w:eastAsia="zh-CN"/>
              </w:rPr>
              <w:t>乐采云</w:t>
            </w:r>
            <w:r>
              <w:rPr>
                <w:rFonts w:hint="eastAsia" w:ascii="新宋体" w:hAnsi="新宋体" w:eastAsia="新宋体" w:cs="新宋体"/>
                <w:color w:val="auto"/>
                <w:sz w:val="22"/>
                <w:szCs w:val="22"/>
                <w:highlight w:val="none"/>
              </w:rPr>
              <w:t>电子交易客户端”，并按照本招标文件和“</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”的要求，通过“</w:t>
            </w:r>
            <w:r>
              <w:rPr>
                <w:rFonts w:hint="eastAsia" w:ascii="新宋体" w:hAnsi="新宋体" w:eastAsia="新宋体" w:cs="新宋体"/>
                <w:color w:val="auto"/>
                <w:sz w:val="22"/>
                <w:szCs w:val="22"/>
                <w:highlight w:val="none"/>
                <w:lang w:eastAsia="zh-CN"/>
              </w:rPr>
              <w:t>乐采云</w:t>
            </w:r>
            <w:r>
              <w:rPr>
                <w:rFonts w:hint="eastAsia" w:ascii="新宋体" w:hAnsi="新宋体" w:eastAsia="新宋体" w:cs="新宋体"/>
                <w:color w:val="auto"/>
                <w:sz w:val="22"/>
                <w:szCs w:val="22"/>
                <w:highlight w:val="none"/>
              </w:rPr>
              <w:t>电子交易客户端”编制并加密投标文件。</w:t>
            </w:r>
          </w:p>
        </w:tc>
      </w:tr>
      <w:tr w14:paraId="70657D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09C46D64">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7</w:t>
            </w:r>
          </w:p>
        </w:tc>
        <w:tc>
          <w:tcPr>
            <w:tcW w:w="9031" w:type="dxa"/>
            <w:tcBorders>
              <w:top w:val="single" w:color="000000" w:sz="2" w:space="0"/>
              <w:left w:val="single" w:color="000000" w:sz="2" w:space="0"/>
              <w:bottom w:val="single" w:color="000000" w:sz="2" w:space="0"/>
              <w:right w:val="single" w:color="000000" w:sz="8" w:space="0"/>
            </w:tcBorders>
            <w:vAlign w:val="center"/>
          </w:tcPr>
          <w:p w14:paraId="27846B1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投标文件的签章：</w:t>
            </w:r>
            <w:r>
              <w:rPr>
                <w:rFonts w:hint="eastAsia" w:ascii="新宋体" w:hAnsi="新宋体" w:eastAsia="新宋体" w:cs="新宋体"/>
                <w:color w:val="auto"/>
                <w:sz w:val="22"/>
                <w:szCs w:val="22"/>
                <w:highlight w:val="none"/>
              </w:rPr>
              <w:t>电子签章。</w:t>
            </w:r>
            <w:r>
              <w:rPr>
                <w:rFonts w:hint="eastAsia" w:ascii="新宋体" w:hAnsi="新宋体" w:eastAsia="新宋体" w:cs="新宋体"/>
                <w:b/>
                <w:color w:val="auto"/>
                <w:sz w:val="22"/>
                <w:szCs w:val="22"/>
                <w:highlight w:val="none"/>
                <w:lang w:val="en-US" w:eastAsia="zh-CN"/>
              </w:rPr>
              <w:t>如为联合体投标的，招标文件中需联合体所有成员分别填写的格式，联合体成员（除牵头人外）按招标文件格式分别进行编制（格式中要求提供相关证明材料的还需后附相关证明材料），并按格式要求在指定位置根据要求进行签字（或盖章）后将扫描件提交给牵头人（联合体共同投标协议书须签字或盖章的地方须由联合体双方均签字或盖章）。牵头人在完成投标文件编制后扫描上传加密电子投标文件，电子投标文件中所须加盖公章的地方均加盖牵头人的电子签章。</w:t>
            </w:r>
          </w:p>
        </w:tc>
      </w:tr>
      <w:tr w14:paraId="11464E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662C9542">
            <w:pPr>
              <w:snapToGrid w:val="0"/>
              <w:spacing w:line="460" w:lineRule="exact"/>
              <w:jc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8</w:t>
            </w:r>
          </w:p>
        </w:tc>
        <w:tc>
          <w:tcPr>
            <w:tcW w:w="9031" w:type="dxa"/>
            <w:tcBorders>
              <w:top w:val="single" w:color="000000" w:sz="2" w:space="0"/>
              <w:left w:val="single" w:color="000000" w:sz="2" w:space="0"/>
              <w:bottom w:val="single" w:color="000000" w:sz="2" w:space="0"/>
              <w:right w:val="single" w:color="000000" w:sz="8" w:space="0"/>
            </w:tcBorders>
            <w:vAlign w:val="center"/>
          </w:tcPr>
          <w:p w14:paraId="3C89D2BF">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投标文件的形式：</w:t>
            </w:r>
            <w:r>
              <w:rPr>
                <w:rFonts w:hint="default" w:ascii="Times New Roman" w:hAnsi="Times New Roman" w:eastAsia="新宋体" w:cs="Times New Roman"/>
                <w:color w:val="auto"/>
                <w:sz w:val="22"/>
                <w:szCs w:val="22"/>
                <w:highlight w:val="none"/>
              </w:rPr>
              <w:t>☑</w:t>
            </w:r>
            <w:r>
              <w:rPr>
                <w:rFonts w:hint="eastAsia" w:ascii="新宋体" w:hAnsi="新宋体" w:eastAsia="新宋体" w:cs="新宋体"/>
                <w:color w:val="auto"/>
                <w:sz w:val="22"/>
                <w:szCs w:val="22"/>
                <w:highlight w:val="none"/>
              </w:rPr>
              <w:t>电子投标文件（包括“电子加密投标文件”和“备份投标文件”，在投标文件编制完成后同时生成）；</w:t>
            </w:r>
          </w:p>
          <w:p w14:paraId="152E966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（1）“电子加密投标文件”是指通过“</w:t>
            </w:r>
            <w:r>
              <w:rPr>
                <w:rFonts w:hint="eastAsia" w:ascii="新宋体" w:hAnsi="新宋体" w:eastAsia="新宋体" w:cs="新宋体"/>
                <w:color w:val="auto"/>
                <w:sz w:val="22"/>
                <w:szCs w:val="22"/>
                <w:highlight w:val="none"/>
                <w:lang w:eastAsia="zh-CN"/>
              </w:rPr>
              <w:t>乐采云</w:t>
            </w:r>
            <w:r>
              <w:rPr>
                <w:rFonts w:hint="eastAsia" w:ascii="新宋体" w:hAnsi="新宋体" w:eastAsia="新宋体" w:cs="新宋体"/>
                <w:color w:val="auto"/>
                <w:sz w:val="22"/>
                <w:szCs w:val="22"/>
                <w:highlight w:val="none"/>
              </w:rPr>
              <w:t>电子交易客户端”完成投标文件编制后生成并加密的数据电文形式的投标文件。</w:t>
            </w:r>
          </w:p>
          <w:p w14:paraId="59B10EC3">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（2）“备份投标文件”是指与“电子加密投标文件”同时生成的数据电文形式的电子文件（备份标书），其他方式编制的备份投标文件视为无效备份投标文件。</w:t>
            </w:r>
          </w:p>
        </w:tc>
      </w:tr>
      <w:tr w14:paraId="2D7867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1D339FE1">
            <w:pPr>
              <w:snapToGrid w:val="0"/>
              <w:spacing w:line="460" w:lineRule="exact"/>
              <w:jc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9</w:t>
            </w:r>
          </w:p>
        </w:tc>
        <w:tc>
          <w:tcPr>
            <w:tcW w:w="9031" w:type="dxa"/>
            <w:tcBorders>
              <w:top w:val="single" w:color="000000" w:sz="2" w:space="0"/>
              <w:left w:val="single" w:color="000000" w:sz="2" w:space="0"/>
              <w:bottom w:val="single" w:color="000000" w:sz="2" w:space="0"/>
              <w:right w:val="single" w:color="000000" w:sz="8" w:space="0"/>
            </w:tcBorders>
            <w:vAlign w:val="center"/>
          </w:tcPr>
          <w:p w14:paraId="5332D443">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投标文件份数：</w:t>
            </w:r>
          </w:p>
          <w:p w14:paraId="136EDBDC">
            <w:pPr>
              <w:numPr>
                <w:ilvl w:val="0"/>
                <w:numId w:val="1"/>
              </w:num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“电子加密投标文件”：在线上传递交、一份。</w:t>
            </w:r>
          </w:p>
          <w:p w14:paraId="54CDDB9C">
            <w:pPr>
              <w:numPr>
                <w:ilvl w:val="0"/>
                <w:numId w:val="1"/>
              </w:num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“备份投标文件”：密封包装后投标截止时间前递交、一份</w:t>
            </w:r>
          </w:p>
          <w:p w14:paraId="77665FD3">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（若不提供备份文件，电子加密投标文件解密失败，投标人自行负责。）</w:t>
            </w:r>
          </w:p>
          <w:p w14:paraId="60F365BF">
            <w:pPr>
              <w:tabs>
                <w:tab w:val="left" w:pos="360"/>
              </w:tabs>
              <w:spacing w:line="460" w:lineRule="exact"/>
              <w:rPr>
                <w:rFonts w:hint="eastAsia" w:ascii="新宋体" w:hAnsi="新宋体" w:eastAsia="新宋体" w:cs="新宋体"/>
                <w:b/>
                <w:color w:val="auto"/>
                <w:sz w:val="22"/>
                <w:szCs w:val="22"/>
                <w:highlight w:val="none"/>
                <w:u w:val="single"/>
              </w:rPr>
            </w:pPr>
            <w:r>
              <w:rPr>
                <w:rFonts w:hint="eastAsia" w:ascii="新宋体" w:hAnsi="新宋体" w:eastAsia="新宋体" w:cs="新宋体"/>
                <w:b/>
                <w:bCs/>
                <w:color w:val="auto"/>
                <w:sz w:val="22"/>
                <w:szCs w:val="22"/>
                <w:highlight w:val="none"/>
              </w:rPr>
              <w:t>可以</w:t>
            </w:r>
            <w:r>
              <w:rPr>
                <w:rFonts w:hint="eastAsia" w:ascii="新宋体" w:hAnsi="新宋体" w:eastAsia="新宋体" w:cs="新宋体"/>
                <w:b/>
                <w:color w:val="auto"/>
                <w:sz w:val="22"/>
                <w:szCs w:val="22"/>
                <w:highlight w:val="none"/>
                <w:u w:val="single"/>
              </w:rPr>
              <w:t>（邮寄形式，建议顺丰）在投标截止时间前递交，并需</w:t>
            </w:r>
            <w:r>
              <w:rPr>
                <w:rFonts w:hint="eastAsia" w:ascii="新宋体" w:hAnsi="新宋体" w:eastAsia="新宋体" w:cs="新宋体"/>
                <w:b/>
                <w:color w:val="auto"/>
                <w:sz w:val="22"/>
                <w:szCs w:val="22"/>
                <w:highlight w:val="none"/>
                <w:u w:val="single"/>
                <w:lang w:eastAsia="zh-CN"/>
              </w:rPr>
              <w:t>招标代理机构</w:t>
            </w:r>
            <w:r>
              <w:rPr>
                <w:rFonts w:hint="eastAsia" w:ascii="新宋体" w:hAnsi="新宋体" w:eastAsia="新宋体" w:cs="新宋体"/>
                <w:b/>
                <w:color w:val="auto"/>
                <w:sz w:val="22"/>
                <w:szCs w:val="22"/>
                <w:highlight w:val="none"/>
                <w:u w:val="single"/>
              </w:rPr>
              <w:t>确认是否收到。</w:t>
            </w:r>
          </w:p>
          <w:p w14:paraId="3C8DEF2D">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邮寄地址：</w:t>
            </w:r>
            <w:r>
              <w:rPr>
                <w:rFonts w:hint="eastAsia" w:ascii="新宋体" w:hAnsi="新宋体" w:eastAsia="新宋体" w:cs="新宋体"/>
                <w:color w:val="auto"/>
                <w:sz w:val="22"/>
                <w:szCs w:val="22"/>
                <w:highlight w:val="none"/>
                <w:lang w:eastAsia="zh-CN"/>
              </w:rPr>
              <w:t>温州市鹿城区南汇街道勤民路鹿城壹号18幢803室</w:t>
            </w:r>
            <w:r>
              <w:rPr>
                <w:rFonts w:hint="eastAsia" w:ascii="新宋体" w:hAnsi="新宋体" w:eastAsia="新宋体" w:cs="新宋体"/>
                <w:color w:val="auto"/>
                <w:sz w:val="22"/>
                <w:szCs w:val="22"/>
                <w:highlight w:val="none"/>
              </w:rPr>
              <w:t>。</w:t>
            </w:r>
          </w:p>
        </w:tc>
      </w:tr>
      <w:tr w14:paraId="72FB04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435C6EE5">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0</w:t>
            </w:r>
          </w:p>
        </w:tc>
        <w:tc>
          <w:tcPr>
            <w:tcW w:w="9031" w:type="dxa"/>
            <w:tcBorders>
              <w:top w:val="single" w:color="000000" w:sz="2" w:space="0"/>
              <w:left w:val="single" w:color="000000" w:sz="2" w:space="0"/>
              <w:bottom w:val="single" w:color="000000" w:sz="2" w:space="0"/>
              <w:right w:val="single" w:color="000000" w:sz="8" w:space="0"/>
            </w:tcBorders>
            <w:vAlign w:val="center"/>
          </w:tcPr>
          <w:p w14:paraId="2F912943">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投标文件的上传和递交：</w:t>
            </w:r>
          </w:p>
          <w:p w14:paraId="15BAF372">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（1）“电子加密投标文件”的上传、递交：</w:t>
            </w:r>
          </w:p>
          <w:p w14:paraId="62D576B9">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a.投标人应在投标截止时间前将“电子加密投标文件”成功上传递交至“</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”，否则投标无效。</w:t>
            </w:r>
          </w:p>
          <w:p w14:paraId="1BD31D23">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b.“电子加密投标文件”成功上传递交后，投标人可自行打印投标文件接收回执。</w:t>
            </w:r>
          </w:p>
          <w:p w14:paraId="6E5D120F">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（2）“备份投标文件”的密封包装、递交：</w:t>
            </w:r>
          </w:p>
          <w:p w14:paraId="6F5F2932">
            <w:pPr>
              <w:tabs>
                <w:tab w:val="left" w:pos="360"/>
              </w:tabs>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a.投标人在“</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”完成“电子加密投标文件”的上传递交后，</w:t>
            </w:r>
            <w:r>
              <w:rPr>
                <w:rFonts w:hint="eastAsia" w:ascii="新宋体" w:hAnsi="新宋体" w:eastAsia="新宋体" w:cs="新宋体"/>
                <w:b/>
                <w:bCs/>
                <w:color w:val="auto"/>
                <w:sz w:val="22"/>
                <w:szCs w:val="22"/>
                <w:highlight w:val="none"/>
              </w:rPr>
              <w:t>还可以在投标截止时间前递交以介质（U盘）存储的数据电文形式的“备份投标文件”，（可以（邮寄形式，建议顺丰）在投标截止时间前递交，并需</w:t>
            </w:r>
            <w:r>
              <w:rPr>
                <w:rFonts w:hint="eastAsia" w:ascii="新宋体" w:hAnsi="新宋体" w:eastAsia="新宋体" w:cs="新宋体"/>
                <w:b/>
                <w:bCs/>
                <w:color w:val="auto"/>
                <w:sz w:val="22"/>
                <w:szCs w:val="22"/>
                <w:highlight w:val="none"/>
                <w:lang w:eastAsia="zh-CN"/>
              </w:rPr>
              <w:t>招标代理机构</w:t>
            </w:r>
            <w:r>
              <w:rPr>
                <w:rFonts w:hint="eastAsia" w:ascii="新宋体" w:hAnsi="新宋体" w:eastAsia="新宋体" w:cs="新宋体"/>
                <w:b/>
                <w:bCs/>
                <w:color w:val="auto"/>
                <w:sz w:val="22"/>
                <w:szCs w:val="22"/>
                <w:highlight w:val="none"/>
              </w:rPr>
              <w:t>确认是否收到）</w:t>
            </w:r>
          </w:p>
          <w:p w14:paraId="353A5484">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b.“备份投标文件”应当密封包装，并在包装上标注投标项目名称、投标单位名称并加盖公章。没有密封包装或者逾期（邮寄）送达至投标地点的“备份投标文件”将不予接收；</w:t>
            </w:r>
          </w:p>
          <w:p w14:paraId="02A6E44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c.通过“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”成功上传递交的“电子加密投标文件”已按时解密的，“备份投标文件”自动失效。投标截止时间前，投标人仅递交了“备份投标文件”而未将“电子加密投标文件”成功上传至“</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”的，投标无效。</w:t>
            </w:r>
          </w:p>
          <w:p w14:paraId="431E176E">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d.供应商（联合体投标的，须由牵头人制作并递交电子加密投标文件）通过“乐采云电子投标客户端”完成投标文</w:t>
            </w:r>
            <w:r>
              <w:rPr>
                <w:rFonts w:hint="eastAsia" w:ascii="新宋体" w:hAnsi="新宋体" w:eastAsia="新宋体" w:cs="新宋体"/>
                <w:color w:val="auto"/>
                <w:sz w:val="22"/>
                <w:szCs w:val="22"/>
                <w:highlight w:val="none"/>
              </w:rPr>
              <w:t>件编制</w:t>
            </w:r>
            <w:r>
              <w:rPr>
                <w:rFonts w:hint="eastAsia" w:ascii="新宋体" w:hAnsi="新宋体" w:eastAsia="新宋体" w:cs="新宋体"/>
                <w:color w:val="auto"/>
                <w:sz w:val="22"/>
                <w:szCs w:val="22"/>
                <w:highlight w:val="none"/>
                <w:lang w:val="en-US" w:eastAsia="zh-CN"/>
              </w:rPr>
              <w:t>。</w:t>
            </w:r>
          </w:p>
        </w:tc>
      </w:tr>
      <w:tr w14:paraId="760E3C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690A47F7">
            <w:pPr>
              <w:snapToGrid w:val="0"/>
              <w:spacing w:line="460" w:lineRule="exact"/>
              <w:jc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11</w:t>
            </w:r>
          </w:p>
        </w:tc>
        <w:tc>
          <w:tcPr>
            <w:tcW w:w="9031" w:type="dxa"/>
            <w:tcBorders>
              <w:top w:val="single" w:color="000000" w:sz="2" w:space="0"/>
              <w:left w:val="single" w:color="000000" w:sz="2" w:space="0"/>
              <w:bottom w:val="single" w:color="000000" w:sz="2" w:space="0"/>
              <w:right w:val="single" w:color="000000" w:sz="8" w:space="0"/>
            </w:tcBorders>
            <w:vAlign w:val="center"/>
          </w:tcPr>
          <w:p w14:paraId="0093F22A">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电子加密投标文件的解密和异常情况处理：</w:t>
            </w:r>
          </w:p>
          <w:p w14:paraId="6C00DE0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（1）开标后，采购组织机构将向各投标人发出“电子加密投标文件”的解密通知，各投标人代表应当在接到解密通知后在系统规定时间内自行完成“电子加密投标文件”的在线解密。</w:t>
            </w:r>
          </w:p>
          <w:p w14:paraId="4179FD4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”成功上传递交的“电子加密投标文件”无法按时解密，投标人如按规定递交了“备份投标文件”的，以“备份投标文件”为依据（由采购组织机构按“</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”操作规范将“备份投标文件”上传至“</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”，上传成功后，“电子加密投标文件”自动失效），否则视为投标文件撤回。</w:t>
            </w:r>
          </w:p>
          <w:p w14:paraId="21155F0B">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（3）投标截止时间前，投标人仅递交了“备份投标文件”而未将电子加密投标文件上传至“</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”的，投标无效。</w:t>
            </w:r>
          </w:p>
        </w:tc>
      </w:tr>
      <w:tr w14:paraId="08E021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06" w:hRule="atLeast"/>
          <w:jc w:val="center"/>
        </w:trPr>
        <w:tc>
          <w:tcPr>
            <w:tcW w:w="632" w:type="dxa"/>
            <w:tcBorders>
              <w:top w:val="single" w:color="000000" w:sz="2" w:space="0"/>
              <w:left w:val="single" w:color="000000" w:sz="2" w:space="0"/>
              <w:bottom w:val="single" w:color="000000" w:sz="2" w:space="0"/>
              <w:right w:val="single" w:color="000000" w:sz="2" w:space="0"/>
            </w:tcBorders>
            <w:vAlign w:val="center"/>
          </w:tcPr>
          <w:p w14:paraId="6F1D8C20">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kern w:val="2"/>
                <w:sz w:val="22"/>
                <w:szCs w:val="22"/>
                <w:highlight w:val="none"/>
                <w:lang w:val="en-US" w:eastAsia="zh-CN" w:bidi="ar-SA"/>
              </w:rPr>
              <w:t>12</w:t>
            </w:r>
          </w:p>
        </w:tc>
        <w:tc>
          <w:tcPr>
            <w:tcW w:w="9031" w:type="dxa"/>
            <w:tcBorders>
              <w:top w:val="single" w:color="000000" w:sz="2" w:space="0"/>
              <w:left w:val="single" w:color="000000" w:sz="2" w:space="0"/>
              <w:bottom w:val="single" w:color="000000" w:sz="2" w:space="0"/>
              <w:right w:val="single" w:color="000000" w:sz="2" w:space="0"/>
            </w:tcBorders>
            <w:vAlign w:val="center"/>
          </w:tcPr>
          <w:p w14:paraId="45367AFE">
            <w:pPr>
              <w:snapToGrid w:val="0"/>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投标截止时间：</w:t>
            </w:r>
            <w:r>
              <w:rPr>
                <w:rFonts w:hint="eastAsia" w:ascii="新宋体" w:hAnsi="新宋体" w:eastAsia="新宋体" w:cs="新宋体"/>
                <w:b/>
                <w:bCs/>
                <w:color w:val="auto"/>
                <w:sz w:val="22"/>
                <w:szCs w:val="22"/>
                <w:highlight w:val="none"/>
                <w:lang w:val="en-US" w:eastAsia="zh-CN"/>
              </w:rPr>
              <w:t>详见招标公告。</w:t>
            </w:r>
          </w:p>
          <w:p w14:paraId="2874B003">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投标地点：</w:t>
            </w:r>
            <w:r>
              <w:rPr>
                <w:rFonts w:hint="eastAsia" w:ascii="新宋体" w:hAnsi="新宋体" w:eastAsia="新宋体" w:cs="新宋体"/>
                <w:b/>
                <w:bCs/>
                <w:color w:val="auto"/>
                <w:sz w:val="22"/>
                <w:szCs w:val="22"/>
                <w:highlight w:val="none"/>
                <w:lang w:val="en-US" w:eastAsia="zh-CN"/>
              </w:rPr>
              <w:t>详见招标公告。</w:t>
            </w:r>
          </w:p>
        </w:tc>
      </w:tr>
      <w:tr w14:paraId="74AB80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auto" w:sz="4" w:space="0"/>
              <w:right w:val="single" w:color="000000" w:sz="2" w:space="0"/>
            </w:tcBorders>
            <w:vAlign w:val="center"/>
          </w:tcPr>
          <w:p w14:paraId="7B227EB4">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3</w:t>
            </w:r>
          </w:p>
        </w:tc>
        <w:tc>
          <w:tcPr>
            <w:tcW w:w="9031" w:type="dxa"/>
            <w:tcBorders>
              <w:top w:val="single" w:color="000000" w:sz="2" w:space="0"/>
              <w:left w:val="single" w:color="000000" w:sz="2" w:space="0"/>
              <w:bottom w:val="single" w:color="auto" w:sz="4" w:space="0"/>
              <w:right w:val="single" w:color="000000" w:sz="8" w:space="0"/>
            </w:tcBorders>
            <w:vAlign w:val="center"/>
          </w:tcPr>
          <w:p w14:paraId="7A5DA40B">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开标时间和地点：</w:t>
            </w:r>
            <w:r>
              <w:rPr>
                <w:rFonts w:hint="eastAsia" w:ascii="新宋体" w:hAnsi="新宋体" w:eastAsia="新宋体" w:cs="新宋体"/>
                <w:b/>
                <w:bCs/>
                <w:color w:val="auto"/>
                <w:sz w:val="22"/>
                <w:szCs w:val="22"/>
                <w:highlight w:val="none"/>
                <w:lang w:val="en-US" w:eastAsia="zh-CN"/>
              </w:rPr>
              <w:t>详见招标公告。</w:t>
            </w:r>
          </w:p>
          <w:p w14:paraId="3FEE3DCE">
            <w:pPr>
              <w:widowControl/>
              <w:snapToGrid w:val="0"/>
              <w:spacing w:line="460" w:lineRule="exact"/>
              <w:jc w:val="left"/>
              <w:rPr>
                <w:rFonts w:hint="eastAsia" w:ascii="新宋体" w:hAnsi="新宋体" w:eastAsia="新宋体" w:cs="新宋体"/>
                <w:color w:val="auto"/>
                <w:sz w:val="22"/>
                <w:szCs w:val="22"/>
                <w:highlight w:val="none"/>
                <w:lang w:eastAsia="zh-CN"/>
              </w:rPr>
            </w:pPr>
            <w:r>
              <w:rPr>
                <w:rFonts w:hint="eastAsia" w:ascii="新宋体" w:hAnsi="新宋体" w:eastAsia="新宋体" w:cs="新宋体"/>
                <w:b/>
                <w:bCs/>
                <w:color w:val="auto"/>
                <w:sz w:val="22"/>
                <w:szCs w:val="22"/>
                <w:highlight w:val="none"/>
              </w:rPr>
              <w:t>地点：</w:t>
            </w:r>
            <w:r>
              <w:rPr>
                <w:rFonts w:hint="eastAsia" w:ascii="新宋体" w:hAnsi="新宋体" w:eastAsia="新宋体" w:cs="新宋体"/>
                <w:b/>
                <w:bCs/>
                <w:color w:val="auto"/>
                <w:sz w:val="22"/>
                <w:szCs w:val="22"/>
                <w:highlight w:val="none"/>
                <w:lang w:val="en-US" w:eastAsia="zh-CN"/>
              </w:rPr>
              <w:t>详见招标公告。</w:t>
            </w:r>
          </w:p>
        </w:tc>
      </w:tr>
      <w:tr w14:paraId="316EDD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auto" w:sz="4" w:space="0"/>
              <w:right w:val="single" w:color="000000" w:sz="2" w:space="0"/>
            </w:tcBorders>
            <w:vAlign w:val="center"/>
          </w:tcPr>
          <w:p w14:paraId="6EFCCA53">
            <w:pPr>
              <w:snapToGrid w:val="0"/>
              <w:spacing w:line="460" w:lineRule="exact"/>
              <w:jc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14</w:t>
            </w:r>
          </w:p>
        </w:tc>
        <w:tc>
          <w:tcPr>
            <w:tcW w:w="9031" w:type="dxa"/>
            <w:tcBorders>
              <w:top w:val="single" w:color="000000" w:sz="2" w:space="0"/>
              <w:left w:val="single" w:color="000000" w:sz="2" w:space="0"/>
              <w:bottom w:val="single" w:color="auto" w:sz="4" w:space="0"/>
              <w:right w:val="single" w:color="000000" w:sz="8" w:space="0"/>
            </w:tcBorders>
            <w:vAlign w:val="center"/>
          </w:tcPr>
          <w:p w14:paraId="73A2CBC9">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bidi="ar"/>
              </w:rPr>
              <w:t>评审地点：</w:t>
            </w:r>
            <w:r>
              <w:rPr>
                <w:rFonts w:hint="eastAsia" w:ascii="新宋体" w:hAnsi="新宋体" w:eastAsia="新宋体" w:cs="新宋体"/>
                <w:b/>
                <w:bCs/>
                <w:color w:val="auto"/>
                <w:sz w:val="22"/>
                <w:szCs w:val="22"/>
                <w:highlight w:val="none"/>
                <w:lang w:eastAsia="zh-CN" w:bidi="ar"/>
              </w:rPr>
              <w:t>温州市鹿城区南汇街道勤民路鹿城壹号18幢803室</w:t>
            </w:r>
            <w:r>
              <w:rPr>
                <w:rFonts w:hint="eastAsia" w:ascii="新宋体" w:hAnsi="新宋体" w:eastAsia="新宋体" w:cs="新宋体"/>
                <w:b/>
                <w:bCs/>
                <w:color w:val="auto"/>
                <w:sz w:val="22"/>
                <w:szCs w:val="22"/>
                <w:highlight w:val="none"/>
                <w:lang w:bidi="ar"/>
              </w:rPr>
              <w:t>。</w:t>
            </w:r>
          </w:p>
        </w:tc>
      </w:tr>
      <w:tr w14:paraId="2BBE89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auto" w:sz="4" w:space="0"/>
              <w:left w:val="single" w:color="000000" w:sz="8" w:space="0"/>
              <w:bottom w:val="single" w:color="auto" w:sz="4" w:space="0"/>
              <w:right w:val="single" w:color="000000" w:sz="2" w:space="0"/>
            </w:tcBorders>
            <w:vAlign w:val="center"/>
          </w:tcPr>
          <w:p w14:paraId="1D3F617D">
            <w:pPr>
              <w:widowControl/>
              <w:snapToGrid w:val="0"/>
              <w:spacing w:line="460" w:lineRule="exact"/>
              <w:jc w:val="center"/>
              <w:textAlignment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kern w:val="0"/>
                <w:sz w:val="22"/>
                <w:szCs w:val="22"/>
                <w:highlight w:val="none"/>
                <w:lang w:val="en-US" w:eastAsia="zh-CN"/>
              </w:rPr>
              <w:t>15</w:t>
            </w:r>
          </w:p>
        </w:tc>
        <w:tc>
          <w:tcPr>
            <w:tcW w:w="9031" w:type="dxa"/>
            <w:tcBorders>
              <w:top w:val="single" w:color="auto" w:sz="4" w:space="0"/>
              <w:left w:val="single" w:color="000000" w:sz="2" w:space="0"/>
              <w:bottom w:val="single" w:color="auto" w:sz="4" w:space="0"/>
              <w:right w:val="single" w:color="000000" w:sz="8" w:space="0"/>
            </w:tcBorders>
            <w:vAlign w:val="center"/>
          </w:tcPr>
          <w:p w14:paraId="6A037DF1">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带“▲”条款系指实质性要求条款</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“★”是关键技术参数及要求。</w:t>
            </w:r>
          </w:p>
        </w:tc>
      </w:tr>
      <w:tr w14:paraId="60424D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auto" w:sz="4" w:space="0"/>
              <w:left w:val="single" w:color="000000" w:sz="8" w:space="0"/>
              <w:bottom w:val="single" w:color="auto" w:sz="4" w:space="0"/>
              <w:right w:val="single" w:color="000000" w:sz="2" w:space="0"/>
            </w:tcBorders>
            <w:vAlign w:val="center"/>
          </w:tcPr>
          <w:p w14:paraId="21AC0CC4">
            <w:pPr>
              <w:widowControl/>
              <w:snapToGrid w:val="0"/>
              <w:spacing w:line="460" w:lineRule="exact"/>
              <w:jc w:val="center"/>
              <w:textAlignment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6</w:t>
            </w:r>
          </w:p>
        </w:tc>
        <w:tc>
          <w:tcPr>
            <w:tcW w:w="9031" w:type="dxa"/>
            <w:tcBorders>
              <w:top w:val="single" w:color="auto" w:sz="4" w:space="0"/>
              <w:left w:val="single" w:color="000000" w:sz="2" w:space="0"/>
              <w:bottom w:val="single" w:color="auto" w:sz="4" w:space="0"/>
              <w:right w:val="single" w:color="000000" w:sz="8" w:space="0"/>
            </w:tcBorders>
            <w:vAlign w:val="center"/>
          </w:tcPr>
          <w:p w14:paraId="689CE44B">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为优化政府采购金融服务，为投标人参与信用融资提供便利，中标投标人可通过“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金融服务中心”了解有关金融政采贷相关信息。详情请查看：</w:t>
            </w:r>
            <w:r>
              <w:rPr>
                <w:rFonts w:hint="eastAsia" w:ascii="新宋体" w:hAnsi="新宋体" w:eastAsia="新宋体" w:cs="新宋体"/>
                <w:b/>
                <w:bCs/>
                <w:color w:val="auto"/>
                <w:sz w:val="22"/>
                <w:szCs w:val="22"/>
                <w:highlight w:val="none"/>
              </w:rPr>
              <w:t>https://jinrong.zcygov.cn/</w:t>
            </w:r>
          </w:p>
        </w:tc>
      </w:tr>
      <w:tr w14:paraId="058023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159375C3">
            <w:pPr>
              <w:widowControl/>
              <w:snapToGrid w:val="0"/>
              <w:spacing w:line="460" w:lineRule="exact"/>
              <w:jc w:val="center"/>
              <w:textAlignment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17</w:t>
            </w:r>
          </w:p>
        </w:tc>
        <w:tc>
          <w:tcPr>
            <w:tcW w:w="9031" w:type="dxa"/>
            <w:tcBorders>
              <w:top w:val="single" w:color="000000" w:sz="2" w:space="0"/>
              <w:left w:val="single" w:color="000000" w:sz="2" w:space="0"/>
              <w:bottom w:val="single" w:color="000000" w:sz="2" w:space="0"/>
              <w:right w:val="single" w:color="000000" w:sz="8" w:space="0"/>
            </w:tcBorders>
            <w:vAlign w:val="center"/>
          </w:tcPr>
          <w:p w14:paraId="22BAA9A4">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color w:val="auto"/>
                <w:kern w:val="10"/>
                <w:sz w:val="22"/>
                <w:szCs w:val="22"/>
                <w:highlight w:val="none"/>
              </w:rPr>
              <w:t>潜在投标人需在</w:t>
            </w:r>
            <w:r>
              <w:rPr>
                <w:rFonts w:hint="eastAsia" w:ascii="新宋体" w:hAnsi="新宋体" w:eastAsia="新宋体" w:cs="新宋体"/>
                <w:b/>
                <w:color w:val="auto"/>
                <w:kern w:val="10"/>
                <w:sz w:val="22"/>
                <w:szCs w:val="22"/>
                <w:highlight w:val="none"/>
                <w:lang w:eastAsia="zh-CN"/>
              </w:rPr>
              <w:t>乐采云平台https://www.lecaiyun.com/</w:t>
            </w:r>
            <w:r>
              <w:rPr>
                <w:rFonts w:hint="eastAsia" w:ascii="新宋体" w:hAnsi="新宋体" w:eastAsia="新宋体" w:cs="新宋体"/>
                <w:b/>
                <w:color w:val="auto"/>
                <w:kern w:val="10"/>
                <w:sz w:val="22"/>
                <w:szCs w:val="22"/>
                <w:highlight w:val="none"/>
              </w:rPr>
              <w:t>进行免费注册，具体详见</w:t>
            </w:r>
            <w:r>
              <w:rPr>
                <w:rFonts w:hint="eastAsia" w:ascii="新宋体" w:hAnsi="新宋体" w:eastAsia="新宋体" w:cs="新宋体"/>
                <w:b/>
                <w:color w:val="auto"/>
                <w:kern w:val="10"/>
                <w:sz w:val="22"/>
                <w:szCs w:val="22"/>
                <w:highlight w:val="none"/>
                <w:lang w:eastAsia="zh-CN"/>
              </w:rPr>
              <w:t>乐采云平台</w:t>
            </w:r>
            <w:r>
              <w:rPr>
                <w:rFonts w:hint="eastAsia" w:ascii="新宋体" w:hAnsi="新宋体" w:eastAsia="新宋体" w:cs="新宋体"/>
                <w:b/>
                <w:color w:val="auto"/>
                <w:kern w:val="10"/>
                <w:sz w:val="22"/>
                <w:szCs w:val="22"/>
                <w:highlight w:val="none"/>
              </w:rPr>
              <w:t>投标人注册要求。</w:t>
            </w:r>
          </w:p>
        </w:tc>
      </w:tr>
      <w:tr w14:paraId="7245C1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53978DCF">
            <w:pPr>
              <w:widowControl/>
              <w:snapToGrid w:val="0"/>
              <w:spacing w:line="460" w:lineRule="exact"/>
              <w:jc w:val="center"/>
              <w:textAlignment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8</w:t>
            </w:r>
          </w:p>
        </w:tc>
        <w:tc>
          <w:tcPr>
            <w:tcW w:w="9031" w:type="dxa"/>
            <w:tcBorders>
              <w:top w:val="single" w:color="000000" w:sz="2" w:space="0"/>
              <w:left w:val="single" w:color="000000" w:sz="2" w:space="0"/>
              <w:bottom w:val="single" w:color="000000" w:sz="2" w:space="0"/>
              <w:right w:val="single" w:color="000000" w:sz="8" w:space="0"/>
            </w:tcBorders>
            <w:vAlign w:val="center"/>
          </w:tcPr>
          <w:p w14:paraId="6948E470">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1、扶持中小企业（监狱企业、残疾人福利性单位）：</w:t>
            </w:r>
          </w:p>
          <w:p w14:paraId="1D0621D1">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政府采购促进中小企业发展管理办法》（财库〔2020〕46号），本单位在政府采购活动中应当通过加强采购需求管理，落实预留采购份额，价格评审优惠、优先采购等措施，提高中小企业在政府采购中的份额，支持中小企业发展。项目相关情况如下：</w:t>
            </w:r>
          </w:p>
          <w:p w14:paraId="4EAF5EBA">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（1）项目预算：</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150000.00</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元</w:t>
            </w:r>
          </w:p>
          <w:p w14:paraId="55E396B1">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（2）项目属性：</w:t>
            </w:r>
            <w:r>
              <w:rPr>
                <w:rFonts w:hint="eastAsia" w:ascii="新宋体" w:hAnsi="新宋体" w:eastAsia="新宋体" w:cs="新宋体"/>
                <w:color w:val="auto"/>
                <w:kern w:val="0"/>
                <w:sz w:val="22"/>
                <w:szCs w:val="22"/>
                <w:highlight w:val="none"/>
                <w:u w:val="single"/>
              </w:rPr>
              <w:t>  ②服务类  </w:t>
            </w:r>
            <w:r>
              <w:rPr>
                <w:rFonts w:hint="eastAsia" w:ascii="新宋体" w:hAnsi="新宋体" w:eastAsia="新宋体" w:cs="新宋体"/>
                <w:color w:val="auto"/>
                <w:kern w:val="0"/>
                <w:sz w:val="22"/>
                <w:szCs w:val="22"/>
                <w:highlight w:val="none"/>
              </w:rPr>
              <w:t>（①货物类/②服务类/③工程类）</w:t>
            </w:r>
          </w:p>
          <w:p w14:paraId="47BB1824">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（3）项目对应的中小企业划分标准所属行业：</w:t>
            </w:r>
            <w:r>
              <w:rPr>
                <w:rFonts w:hint="eastAsia" w:ascii="新宋体" w:hAnsi="新宋体" w:eastAsia="新宋体" w:cs="新宋体"/>
                <w:color w:val="auto"/>
                <w:kern w:val="0"/>
                <w:sz w:val="22"/>
                <w:szCs w:val="22"/>
                <w:highlight w:val="none"/>
                <w:u w:val="single"/>
              </w:rPr>
              <w:t> 租赁和商业服务业 </w:t>
            </w:r>
            <w:r>
              <w:rPr>
                <w:rFonts w:hint="eastAsia" w:ascii="新宋体" w:hAnsi="新宋体" w:eastAsia="新宋体" w:cs="新宋体"/>
                <w:color w:val="auto"/>
                <w:kern w:val="0"/>
                <w:sz w:val="22"/>
                <w:szCs w:val="22"/>
                <w:highlight w:val="none"/>
              </w:rPr>
              <w:t>（具体根据《中小企业划型标准规定》执行）</w:t>
            </w:r>
          </w:p>
          <w:p w14:paraId="1A427149">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14:paraId="6A8878B1">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（4）本项目</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u w:val="single"/>
                <w:lang w:val="en-US" w:eastAsia="zh-CN"/>
              </w:rPr>
              <w:t xml:space="preserve"> 否</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（是/否）属于预留份额专门面向中小企业采购的项目。</w:t>
            </w:r>
          </w:p>
          <w:p w14:paraId="10A21383">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（5）上述第4项中确定为“是”的采购项目，预留份额通过（</w:t>
            </w:r>
            <w:r>
              <w:rPr>
                <w:rFonts w:hint="eastAsia" w:ascii="新宋体" w:hAnsi="新宋体" w:eastAsia="新宋体" w:cs="新宋体"/>
                <w:color w:val="auto"/>
                <w:kern w:val="0"/>
                <w:sz w:val="22"/>
                <w:szCs w:val="22"/>
                <w:highlight w:val="none"/>
                <w:lang w:val="en-US" w:eastAsia="zh-CN"/>
              </w:rPr>
              <w:t xml:space="preserve">  </w:t>
            </w:r>
            <w:r>
              <w:rPr>
                <w:rFonts w:hint="eastAsia" w:ascii="新宋体" w:hAnsi="新宋体" w:eastAsia="新宋体" w:cs="新宋体"/>
                <w:color w:val="auto"/>
                <w:kern w:val="0"/>
                <w:sz w:val="22"/>
                <w:szCs w:val="22"/>
                <w:highlight w:val="none"/>
              </w:rPr>
              <w:t>）措施进行：</w:t>
            </w:r>
          </w:p>
          <w:p w14:paraId="42A36835">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①将采购项目整体或者设置采购包专门面向中小企业采购； </w:t>
            </w:r>
          </w:p>
          <w:p w14:paraId="40F7F9F5">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②要求供应商以联合体形式参加采购活动，且联合体中中小企业承担的部分达到</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比例</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 xml:space="preserve">； </w:t>
            </w:r>
          </w:p>
          <w:p w14:paraId="689A6344">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③要求获得采购合同的供应商将采购项目中的</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比例</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分包给一家或者多家中小企业。</w:t>
            </w:r>
          </w:p>
          <w:p w14:paraId="3922578E">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（6）对于经主管预算单位统筹后未预留份额专门面向中小企业采购的采购项目，以及预留份额项目中的非预留部分采购包，对符合本办法规定的小微企业报价给予</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10%</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10</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2</w:t>
            </w:r>
            <w:r>
              <w:rPr>
                <w:rFonts w:hint="eastAsia" w:ascii="新宋体" w:hAnsi="新宋体" w:eastAsia="新宋体" w:cs="新宋体"/>
                <w:color w:val="auto"/>
                <w:kern w:val="0"/>
                <w:sz w:val="22"/>
                <w:szCs w:val="22"/>
                <w:highlight w:val="none"/>
              </w:rPr>
              <w:t xml:space="preserve">0%）（工程项目为 3%—5%）的扣除，用扣除后的价格参加评审。 </w:t>
            </w:r>
          </w:p>
          <w:p w14:paraId="7AB31656">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4%</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4</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6</w:t>
            </w:r>
            <w:r>
              <w:rPr>
                <w:rFonts w:hint="eastAsia" w:ascii="新宋体" w:hAnsi="新宋体" w:eastAsia="新宋体" w:cs="新宋体"/>
                <w:color w:val="auto"/>
                <w:kern w:val="0"/>
                <w:sz w:val="22"/>
                <w:szCs w:val="22"/>
                <w:highlight w:val="none"/>
              </w:rPr>
              <w:t>%）（工程项目为 1%—2%）的扣除，用扣除后的价格参加评审。</w:t>
            </w:r>
          </w:p>
          <w:p w14:paraId="77864C09">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专门面向中小企业采购的项目或者标项，不再执行价格评审优惠的扶持政策。</w:t>
            </w:r>
          </w:p>
          <w:p w14:paraId="0DBB89B7">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2、节能产品、环境标志产品的强制采购政策</w:t>
            </w:r>
          </w:p>
          <w:p w14:paraId="30471752">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w:t>
            </w:r>
            <w:r>
              <w:rPr>
                <w:rFonts w:hint="eastAsia" w:ascii="新宋体" w:hAnsi="新宋体" w:eastAsia="新宋体" w:cs="新宋体"/>
                <w:color w:val="auto"/>
                <w:kern w:val="0"/>
                <w:sz w:val="22"/>
                <w:szCs w:val="22"/>
                <w:highlight w:val="none"/>
                <w:lang w:eastAsia="zh-CN"/>
              </w:rPr>
              <w:t>招标人</w:t>
            </w:r>
            <w:r>
              <w:rPr>
                <w:rFonts w:hint="eastAsia" w:ascii="新宋体" w:hAnsi="新宋体" w:eastAsia="新宋体" w:cs="新宋体"/>
                <w:color w:val="auto"/>
                <w:kern w:val="0"/>
                <w:sz w:val="22"/>
                <w:szCs w:val="22"/>
                <w:highlight w:val="none"/>
              </w:rPr>
              <w:t>拟采购的产品属于品目清单范围内的强制采购品目的，</w:t>
            </w:r>
            <w:r>
              <w:rPr>
                <w:rFonts w:hint="eastAsia" w:ascii="新宋体" w:hAnsi="新宋体" w:eastAsia="新宋体" w:cs="新宋体"/>
                <w:color w:val="auto"/>
                <w:kern w:val="0"/>
                <w:sz w:val="22"/>
                <w:szCs w:val="22"/>
                <w:highlight w:val="none"/>
                <w:lang w:val="en-US" w:eastAsia="zh-CN"/>
              </w:rPr>
              <w:t>投标</w:t>
            </w:r>
            <w:r>
              <w:rPr>
                <w:rFonts w:hint="eastAsia" w:ascii="新宋体" w:hAnsi="新宋体" w:eastAsia="新宋体" w:cs="新宋体"/>
                <w:color w:val="auto"/>
                <w:kern w:val="0"/>
                <w:sz w:val="22"/>
                <w:szCs w:val="22"/>
                <w:highlight w:val="none"/>
              </w:rPr>
              <w:t>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14:paraId="29409706">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3、节能产品、环境标志产品的优先采购政策</w:t>
            </w:r>
          </w:p>
          <w:p w14:paraId="1FADA9F3">
            <w:pPr>
              <w:widowControl/>
              <w:snapToGrid w:val="0"/>
              <w:spacing w:line="460" w:lineRule="exact"/>
              <w:ind w:firstLine="440" w:firstLineChars="200"/>
              <w:jc w:val="left"/>
              <w:rPr>
                <w:rFonts w:hint="eastAsia" w:ascii="新宋体" w:hAnsi="新宋体" w:eastAsia="新宋体" w:cs="新宋体"/>
                <w:b/>
                <w:color w:val="auto"/>
                <w:kern w:val="1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w:t>
            </w:r>
            <w:r>
              <w:rPr>
                <w:rFonts w:hint="eastAsia" w:ascii="新宋体" w:hAnsi="新宋体" w:eastAsia="新宋体" w:cs="新宋体"/>
                <w:color w:val="auto"/>
                <w:kern w:val="0"/>
                <w:sz w:val="22"/>
                <w:szCs w:val="22"/>
                <w:highlight w:val="none"/>
                <w:lang w:eastAsia="zh-CN"/>
              </w:rPr>
              <w:t>招标人</w:t>
            </w:r>
            <w:r>
              <w:rPr>
                <w:rFonts w:hint="eastAsia" w:ascii="新宋体" w:hAnsi="新宋体" w:eastAsia="新宋体" w:cs="新宋体"/>
                <w:color w:val="auto"/>
                <w:kern w:val="0"/>
                <w:sz w:val="22"/>
                <w:szCs w:val="22"/>
                <w:highlight w:val="none"/>
              </w:rPr>
              <w:t>拟采购的产品属于品目清单范围内的优先采购品目的，</w:t>
            </w:r>
            <w:r>
              <w:rPr>
                <w:rFonts w:hint="eastAsia" w:ascii="新宋体" w:hAnsi="新宋体" w:eastAsia="新宋体" w:cs="新宋体"/>
                <w:color w:val="auto"/>
                <w:kern w:val="0"/>
                <w:sz w:val="22"/>
                <w:szCs w:val="22"/>
                <w:highlight w:val="none"/>
                <w:lang w:val="en-US" w:eastAsia="zh-CN"/>
              </w:rPr>
              <w:t>投标</w:t>
            </w:r>
            <w:r>
              <w:rPr>
                <w:rFonts w:hint="eastAsia" w:ascii="新宋体" w:hAnsi="新宋体" w:eastAsia="新宋体" w:cs="新宋体"/>
                <w:color w:val="auto"/>
                <w:kern w:val="0"/>
                <w:sz w:val="22"/>
                <w:szCs w:val="22"/>
                <w:highlight w:val="none"/>
              </w:rPr>
              <w:t>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14:paraId="30B26A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32" w:type="dxa"/>
            <w:tcBorders>
              <w:top w:val="single" w:color="000000" w:sz="2" w:space="0"/>
              <w:left w:val="single" w:color="000000" w:sz="8" w:space="0"/>
              <w:bottom w:val="single" w:color="000000" w:sz="2" w:space="0"/>
              <w:right w:val="single" w:color="000000" w:sz="2" w:space="0"/>
            </w:tcBorders>
            <w:vAlign w:val="center"/>
          </w:tcPr>
          <w:p w14:paraId="77AAE892">
            <w:pPr>
              <w:widowControl/>
              <w:snapToGrid w:val="0"/>
              <w:spacing w:line="460" w:lineRule="exact"/>
              <w:jc w:val="center"/>
              <w:textAlignment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19</w:t>
            </w:r>
          </w:p>
        </w:tc>
        <w:tc>
          <w:tcPr>
            <w:tcW w:w="9031" w:type="dxa"/>
            <w:tcBorders>
              <w:top w:val="single" w:color="000000" w:sz="2" w:space="0"/>
              <w:left w:val="single" w:color="000000" w:sz="2" w:space="0"/>
              <w:bottom w:val="single" w:color="000000" w:sz="2" w:space="0"/>
              <w:right w:val="single" w:color="000000" w:sz="8" w:space="0"/>
            </w:tcBorders>
            <w:vAlign w:val="center"/>
          </w:tcPr>
          <w:p w14:paraId="18795D3A">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根据《关于在政府采购活动中查询及使用信用记录有关问题的通知》财库[2016]125号的规定：</w:t>
            </w:r>
          </w:p>
          <w:p w14:paraId="264A274B">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（1）招标人或</w:t>
            </w:r>
            <w:r>
              <w:rPr>
                <w:rFonts w:hint="eastAsia" w:ascii="新宋体" w:hAnsi="新宋体" w:eastAsia="新宋体" w:cs="新宋体"/>
                <w:color w:val="auto"/>
                <w:sz w:val="22"/>
                <w:szCs w:val="22"/>
                <w:highlight w:val="none"/>
                <w:lang w:eastAsia="zh-CN"/>
              </w:rPr>
              <w:t>招标代理机构</w:t>
            </w:r>
            <w:r>
              <w:rPr>
                <w:rFonts w:hint="eastAsia" w:ascii="新宋体" w:hAnsi="新宋体" w:eastAsia="新宋体" w:cs="新宋体"/>
                <w:color w:val="auto"/>
                <w:sz w:val="22"/>
                <w:szCs w:val="22"/>
                <w:highlight w:val="none"/>
              </w:rPr>
              <w:t>将对本项目投标人的信用记录进行查询。查询渠道为信用中国网站（</w:t>
            </w:r>
            <w:bookmarkStart w:id="11" w:name="OLE_LINK8"/>
            <w:r>
              <w:rPr>
                <w:rFonts w:hint="eastAsia" w:ascii="新宋体" w:hAnsi="新宋体" w:eastAsia="新宋体" w:cs="新宋体"/>
                <w:color w:val="auto"/>
                <w:sz w:val="22"/>
                <w:szCs w:val="22"/>
                <w:highlight w:val="none"/>
              </w:rPr>
              <w:t>https://www.creditchina.gov.cn/</w:t>
            </w:r>
            <w:bookmarkEnd w:id="11"/>
            <w:r>
              <w:rPr>
                <w:rFonts w:hint="eastAsia" w:ascii="新宋体" w:hAnsi="新宋体" w:eastAsia="新宋体" w:cs="新宋体"/>
                <w:color w:val="auto"/>
                <w:sz w:val="22"/>
                <w:szCs w:val="22"/>
                <w:highlight w:val="none"/>
              </w:rPr>
              <w:t>）、中国政府采购网（</w:t>
            </w:r>
            <w:bookmarkStart w:id="12" w:name="OLE_LINK10"/>
            <w:r>
              <w:rPr>
                <w:rFonts w:hint="eastAsia" w:ascii="新宋体" w:hAnsi="新宋体" w:eastAsia="新宋体" w:cs="新宋体"/>
                <w:color w:val="auto"/>
                <w:sz w:val="22"/>
                <w:szCs w:val="22"/>
                <w:highlight w:val="none"/>
              </w:rPr>
              <w:t>http://www.ccgp.gov.cn/</w:t>
            </w:r>
            <w:bookmarkEnd w:id="12"/>
            <w:r>
              <w:rPr>
                <w:rFonts w:hint="eastAsia" w:ascii="新宋体" w:hAnsi="新宋体" w:eastAsia="新宋体" w:cs="新宋体"/>
                <w:color w:val="auto"/>
                <w:sz w:val="22"/>
                <w:szCs w:val="22"/>
                <w:highlight w:val="none"/>
              </w:rPr>
              <w:t>）；</w:t>
            </w:r>
          </w:p>
          <w:p w14:paraId="7606B280">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（2）截止时点：提交投标文件（响应文件）截止时间前3年内；</w:t>
            </w:r>
          </w:p>
          <w:p w14:paraId="4DCAF20F">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（3）查询记录和证据的留存：信用信息查询记录和证据以网页截图等方式留存。</w:t>
            </w:r>
          </w:p>
          <w:p w14:paraId="33A75F58">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14:paraId="3F89E19A">
            <w:pPr>
              <w:snapToGrid w:val="0"/>
              <w:spacing w:line="460" w:lineRule="exact"/>
              <w:ind w:left="105" w:leftChars="50"/>
              <w:rPr>
                <w:rFonts w:hint="eastAsia" w:ascii="新宋体" w:hAnsi="新宋体" w:eastAsia="新宋体" w:cs="新宋体"/>
                <w:b/>
                <w:color w:val="auto"/>
                <w:kern w:val="10"/>
                <w:sz w:val="22"/>
                <w:szCs w:val="22"/>
                <w:highlight w:val="none"/>
              </w:rPr>
            </w:pPr>
            <w:r>
              <w:rPr>
                <w:rFonts w:hint="eastAsia" w:ascii="新宋体" w:hAnsi="新宋体" w:eastAsia="新宋体" w:cs="新宋体"/>
                <w:color w:val="auto"/>
                <w:sz w:val="22"/>
                <w:szCs w:val="22"/>
                <w:highlight w:val="none"/>
              </w:rPr>
              <w:t>（5）</w:t>
            </w:r>
            <w:r>
              <w:rPr>
                <w:rFonts w:hint="eastAsia" w:ascii="新宋体" w:hAnsi="新宋体" w:eastAsia="新宋体" w:cs="新宋体"/>
                <w:b/>
                <w:bCs/>
                <w:color w:val="auto"/>
                <w:sz w:val="22"/>
                <w:szCs w:val="22"/>
                <w:highlight w:val="none"/>
                <w:u w:val="single"/>
              </w:rPr>
              <w:t>联合体投标时，对所有联合体成员进行信用记录查询，联合体成员任意一方存在不良信用记录的，视同联合体存在不良信用记录。</w:t>
            </w:r>
          </w:p>
        </w:tc>
      </w:tr>
    </w:tbl>
    <w:p w14:paraId="53D785F9">
      <w:pPr>
        <w:spacing w:before="100" w:beforeAutospacing="1" w:after="100" w:afterAutospacing="1" w:line="460" w:lineRule="exact"/>
        <w:jc w:val="center"/>
        <w:outlineLvl w:val="2"/>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6"/>
          <w:szCs w:val="26"/>
          <w:highlight w:val="none"/>
        </w:rPr>
        <w:br w:type="page"/>
      </w:r>
      <w:bookmarkStart w:id="13" w:name="_Toc9399"/>
      <w:r>
        <w:rPr>
          <w:rFonts w:hint="eastAsia" w:ascii="新宋体" w:hAnsi="新宋体" w:eastAsia="新宋体" w:cs="新宋体"/>
          <w:b/>
          <w:bCs/>
          <w:color w:val="auto"/>
          <w:sz w:val="26"/>
          <w:szCs w:val="26"/>
          <w:highlight w:val="none"/>
        </w:rPr>
        <w:t>一、 说   明</w:t>
      </w:r>
      <w:bookmarkEnd w:id="13"/>
    </w:p>
    <w:p w14:paraId="575A22B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本次招标是参考《中华人民共和国政府采购法》、《政府采购货物和服务招标投标管理办法》、《中华人民共和国政府采购法实施条例》和《关于进一步规范政府采购活动的若干意见》等法律及有关法规组织和实施的。</w:t>
      </w:r>
    </w:p>
    <w:p w14:paraId="33F73F6A">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2、定义</w:t>
      </w:r>
    </w:p>
    <w:p w14:paraId="50F4EE6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招标人：是指依法进行采购的国家机关、事业单位、团体组织</w:t>
      </w:r>
    </w:p>
    <w:p w14:paraId="5C9BA69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招标代理机构：受招标人委托，在委托的范围内办理采购事宜的机构；</w:t>
      </w:r>
    </w:p>
    <w:p w14:paraId="08E26A0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投标人：是指参加本采购项目投标的供应商；</w:t>
      </w:r>
    </w:p>
    <w:p w14:paraId="67A0166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投标人代表：是指参加本项目投标活动的供应商法定代表人或法定代表人授权代表；</w:t>
      </w:r>
    </w:p>
    <w:p w14:paraId="2569093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投标联合体：是指两个以上供应商组成联合体，以一个供应商的身份参加投标；</w:t>
      </w:r>
    </w:p>
    <w:p w14:paraId="5C56EAC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甲方：是指合同签订的一方，一般与招标人、用户相同；</w:t>
      </w:r>
    </w:p>
    <w:p w14:paraId="599B368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乙方：是指合同签订的另一方，与中标人相同；</w:t>
      </w:r>
    </w:p>
    <w:p w14:paraId="11BA1F2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制造商：是指拥有投标产品自主知识产权的单位；</w:t>
      </w:r>
    </w:p>
    <w:p w14:paraId="4EF6F68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t>带“▲”条款系指实质性要求条款</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“★”是关键技术参数及要求。</w:t>
      </w:r>
    </w:p>
    <w:p w14:paraId="2D9F6C1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3、投标人代表</w:t>
      </w:r>
    </w:p>
    <w:p w14:paraId="11B85B5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3.1指全权代表投标人参加投标活动并签署投标文件的人，如果投标人代表不是法定代表人，须持有《法定代表人授权书》（见附件）。</w:t>
      </w:r>
    </w:p>
    <w:p w14:paraId="0899FC5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根据政府采购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p>
    <w:p w14:paraId="005C8C96">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4、投标费用</w:t>
      </w:r>
    </w:p>
    <w:p w14:paraId="439C726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投标人应承担所有与准备和参加投标有关费用，不论投标的结果如何，招标人或招标代理机构均无义务和责任承担这些费用。</w:t>
      </w:r>
    </w:p>
    <w:p w14:paraId="7DC4F795">
      <w:pPr>
        <w:spacing w:before="100" w:beforeAutospacing="1" w:after="100" w:afterAutospacing="1" w:line="460" w:lineRule="exact"/>
        <w:jc w:val="center"/>
        <w:outlineLvl w:val="2"/>
        <w:rPr>
          <w:rFonts w:hint="eastAsia" w:ascii="新宋体" w:hAnsi="新宋体" w:eastAsia="新宋体" w:cs="新宋体"/>
          <w:b/>
          <w:bCs/>
          <w:color w:val="auto"/>
          <w:sz w:val="26"/>
          <w:szCs w:val="26"/>
          <w:highlight w:val="none"/>
        </w:rPr>
      </w:pPr>
      <w:bookmarkStart w:id="14" w:name="_Toc21573"/>
      <w:r>
        <w:rPr>
          <w:rFonts w:hint="eastAsia" w:ascii="新宋体" w:hAnsi="新宋体" w:eastAsia="新宋体" w:cs="新宋体"/>
          <w:b/>
          <w:bCs/>
          <w:color w:val="auto"/>
          <w:sz w:val="26"/>
          <w:szCs w:val="26"/>
          <w:highlight w:val="none"/>
        </w:rPr>
        <w:t>二、 招标文件</w:t>
      </w:r>
      <w:bookmarkEnd w:id="14"/>
    </w:p>
    <w:p w14:paraId="20133E0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1、招标文件由招标文件目录所列内容及相关资料组成。</w:t>
      </w:r>
    </w:p>
    <w:p w14:paraId="7A0127BB">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2、招标文件的澄清</w:t>
      </w:r>
    </w:p>
    <w:p w14:paraId="46BDC1E6">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果招标文件澄清期内未收到有关澄清要求，视为投标人完全同意招标文件所有条款，且对于招标文件有关表述以及未尽事宜如有异议，以招标人或招标代理机构解释为准。</w:t>
      </w:r>
    </w:p>
    <w:p w14:paraId="03C427BA">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3、招标文件的修改</w:t>
      </w:r>
    </w:p>
    <w:p w14:paraId="2970E559">
      <w:pPr>
        <w:spacing w:line="460" w:lineRule="exact"/>
        <w:ind w:firstLine="440" w:firstLineChars="20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3.1招标人或招标代理机构对已发出的招标文件进行必要的澄清或者修改的，应当在招标文件要求递交投标文件截止时间十五日前，在财政部门指定的政府采购信息发布媒体上发布更正公告。该澄清或修改内容为招标文件的组成部分。</w:t>
      </w:r>
    </w:p>
    <w:p w14:paraId="5A900F48">
      <w:pPr>
        <w:spacing w:line="460" w:lineRule="exact"/>
        <w:ind w:firstLine="440" w:firstLineChars="20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3.2招标人、招标代理机构可以视采购的具体情况决定是否延长投标截止时间和开标时间，并在招标文件要求递交投标文件的截止时间前，在财政部门指定的政府采购信息发布媒体上发布变更公告。</w:t>
      </w:r>
    </w:p>
    <w:p w14:paraId="2BBBEF34">
      <w:pPr>
        <w:spacing w:before="100" w:beforeAutospacing="1" w:after="100" w:afterAutospacing="1" w:line="460" w:lineRule="exact"/>
        <w:jc w:val="center"/>
        <w:outlineLvl w:val="2"/>
        <w:rPr>
          <w:rFonts w:hint="eastAsia" w:ascii="新宋体" w:hAnsi="新宋体" w:eastAsia="新宋体" w:cs="新宋体"/>
          <w:b/>
          <w:bCs/>
          <w:color w:val="auto"/>
          <w:sz w:val="26"/>
          <w:szCs w:val="26"/>
          <w:highlight w:val="none"/>
        </w:rPr>
      </w:pPr>
      <w:bookmarkStart w:id="15" w:name="_Toc1364"/>
      <w:r>
        <w:rPr>
          <w:rFonts w:hint="eastAsia" w:ascii="新宋体" w:hAnsi="新宋体" w:eastAsia="新宋体" w:cs="新宋体"/>
          <w:b/>
          <w:bCs/>
          <w:color w:val="auto"/>
          <w:sz w:val="26"/>
          <w:szCs w:val="26"/>
          <w:highlight w:val="none"/>
        </w:rPr>
        <w:t>三、 投标文件的编制</w:t>
      </w:r>
      <w:bookmarkEnd w:id="15"/>
    </w:p>
    <w:p w14:paraId="50655FD6">
      <w:pPr>
        <w:keepNext w:val="0"/>
        <w:keepLines w:val="0"/>
        <w:pageBreakBefore w:val="0"/>
        <w:tabs>
          <w:tab w:val="left" w:pos="360"/>
        </w:tabs>
        <w:kinsoku/>
        <w:wordWrap/>
        <w:topLinePunct w:val="0"/>
        <w:bidi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1、投标人应认真阅读招标文件中所有事项、格式、条款和技术规范等。</w:t>
      </w:r>
      <w:r>
        <w:rPr>
          <w:rFonts w:hint="eastAsia" w:ascii="新宋体" w:hAnsi="新宋体" w:eastAsia="新宋体" w:cs="新宋体"/>
          <w:b/>
          <w:color w:val="auto"/>
          <w:sz w:val="22"/>
          <w:szCs w:val="22"/>
          <w:highlight w:val="none"/>
        </w:rPr>
        <w:t>投标人没有按照招标文件要求提交全部资料，或者没有对招标文件各个方面做出实质性响应，导致投标被否决的风险由投标人自行承担。</w:t>
      </w:r>
    </w:p>
    <w:p w14:paraId="0DD7A041">
      <w:pPr>
        <w:keepNext w:val="0"/>
        <w:keepLines w:val="0"/>
        <w:pageBreakBefore w:val="0"/>
        <w:kinsoku/>
        <w:wordWrap/>
        <w:topLinePunct w:val="0"/>
        <w:bidi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2、投标人应保证所提供文件资料的真实性，所有文件资料必须是针对本次投标的。如发现投标人提供了虚假文件资料，其投标将被否决，并自行承担相应的法律责任。</w:t>
      </w:r>
    </w:p>
    <w:p w14:paraId="619CB4E0">
      <w:pPr>
        <w:keepNext w:val="0"/>
        <w:keepLines w:val="0"/>
        <w:pageBreakBefore w:val="0"/>
        <w:kinsoku/>
        <w:wordWrap/>
        <w:topLinePunct w:val="0"/>
        <w:bidi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w:t>
      </w:r>
      <w:r>
        <w:rPr>
          <w:rFonts w:hint="eastAsia" w:ascii="新宋体" w:hAnsi="新宋体" w:eastAsia="新宋体" w:cs="新宋体"/>
          <w:b/>
          <w:bCs/>
          <w:color w:val="auto"/>
          <w:sz w:val="22"/>
          <w:szCs w:val="22"/>
          <w:highlight w:val="none"/>
        </w:rPr>
        <w:t>投标文件的构成：</w:t>
      </w:r>
    </w:p>
    <w:p w14:paraId="2A402FFA">
      <w:pPr>
        <w:keepNext w:val="0"/>
        <w:keepLines w:val="0"/>
        <w:pageBreakBefore w:val="0"/>
        <w:kinsoku/>
        <w:wordWrap/>
        <w:topLinePunct w:val="0"/>
        <w:bidi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投标</w:t>
      </w:r>
      <w:r>
        <w:rPr>
          <w:rFonts w:hint="eastAsia" w:ascii="新宋体" w:hAnsi="新宋体" w:eastAsia="新宋体" w:cs="新宋体"/>
          <w:color w:val="auto"/>
          <w:kern w:val="0"/>
          <w:sz w:val="22"/>
          <w:szCs w:val="22"/>
          <w:highlight w:val="none"/>
          <w:lang w:val="zh-CN"/>
        </w:rPr>
        <w:t>文件应当包括以下主要内容：资格文件、报价文件、商务技术文件。</w:t>
      </w:r>
    </w:p>
    <w:p w14:paraId="7B96BFDF">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rPr>
        <w:t>3.1</w:t>
      </w:r>
      <w:r>
        <w:rPr>
          <w:rFonts w:hint="eastAsia" w:ascii="新宋体" w:hAnsi="新宋体" w:eastAsia="新宋体" w:cs="新宋体"/>
          <w:b/>
          <w:bCs/>
          <w:color w:val="auto"/>
          <w:kern w:val="0"/>
          <w:sz w:val="22"/>
          <w:szCs w:val="22"/>
          <w:highlight w:val="none"/>
          <w:u w:val="single"/>
          <w:lang w:val="zh-CN"/>
        </w:rPr>
        <w:t xml:space="preserve">投标人的资格文件至少应包括以下内容： </w:t>
      </w:r>
    </w:p>
    <w:p w14:paraId="7AFAD031">
      <w:pPr>
        <w:keepNext w:val="0"/>
        <w:keepLines w:val="0"/>
        <w:pageBreakBefore w:val="0"/>
        <w:tabs>
          <w:tab w:val="left" w:pos="360"/>
        </w:tabs>
        <w:kinsoku/>
        <w:wordWrap/>
        <w:topLinePunct w:val="0"/>
        <w:bidi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kern w:val="0"/>
          <w:sz w:val="22"/>
          <w:szCs w:val="22"/>
          <w:highlight w:val="none"/>
          <w:u w:val="single"/>
          <w:lang w:val="zh-CN"/>
        </w:rPr>
        <w:t>基本资格条件审查材料：即证明</w:t>
      </w:r>
      <w:r>
        <w:rPr>
          <w:rFonts w:hint="eastAsia" w:ascii="新宋体" w:hAnsi="新宋体" w:eastAsia="新宋体" w:cs="新宋体"/>
          <w:color w:val="auto"/>
          <w:kern w:val="0"/>
          <w:sz w:val="22"/>
          <w:szCs w:val="22"/>
          <w:highlight w:val="none"/>
          <w:u w:val="single"/>
          <w:lang w:val="zh-CN" w:eastAsia="zh-CN"/>
        </w:rPr>
        <w:t>供应商</w:t>
      </w:r>
      <w:r>
        <w:rPr>
          <w:rFonts w:hint="eastAsia" w:ascii="新宋体" w:hAnsi="新宋体" w:eastAsia="新宋体" w:cs="新宋体"/>
          <w:color w:val="auto"/>
          <w:kern w:val="0"/>
          <w:sz w:val="22"/>
          <w:szCs w:val="22"/>
          <w:highlight w:val="none"/>
          <w:u w:val="single"/>
          <w:lang w:val="zh-CN"/>
        </w:rPr>
        <w:t>参加本次采购活动前3年内</w:t>
      </w:r>
      <w:r>
        <w:rPr>
          <w:rFonts w:hint="eastAsia" w:ascii="新宋体" w:hAnsi="新宋体" w:eastAsia="新宋体" w:cs="新宋体"/>
          <w:color w:val="auto"/>
          <w:kern w:val="0"/>
          <w:sz w:val="22"/>
          <w:szCs w:val="22"/>
          <w:highlight w:val="none"/>
          <w:u w:val="single"/>
          <w:lang w:val="zh-CN" w:eastAsia="zh-CN"/>
        </w:rPr>
        <w:t>满足</w:t>
      </w:r>
      <w:r>
        <w:rPr>
          <w:rFonts w:hint="eastAsia" w:ascii="新宋体" w:hAnsi="新宋体" w:eastAsia="新宋体" w:cs="新宋体"/>
          <w:color w:val="auto"/>
          <w:kern w:val="0"/>
          <w:sz w:val="22"/>
          <w:szCs w:val="22"/>
          <w:highlight w:val="none"/>
          <w:u w:val="single"/>
          <w:lang w:val="zh-CN"/>
        </w:rPr>
        <w:t>《中华人民共和国政府采购法》的有关资格证明文件。</w:t>
      </w:r>
      <w:r>
        <w:rPr>
          <w:rFonts w:hint="eastAsia" w:ascii="新宋体" w:hAnsi="新宋体" w:eastAsia="新宋体" w:cs="新宋体"/>
          <w:color w:val="auto"/>
          <w:sz w:val="22"/>
          <w:szCs w:val="22"/>
          <w:highlight w:val="none"/>
          <w:u w:val="single"/>
        </w:rPr>
        <w:t>包括：</w:t>
      </w:r>
    </w:p>
    <w:p w14:paraId="350D6E99">
      <w:pPr>
        <w:keepNext w:val="0"/>
        <w:keepLines w:val="0"/>
        <w:pageBreakBefore w:val="0"/>
        <w:kinsoku/>
        <w:wordWrap/>
        <w:topLinePunct w:val="0"/>
        <w:bidi w:val="0"/>
        <w:snapToGrid w:val="0"/>
        <w:spacing w:line="460" w:lineRule="exact"/>
        <w:ind w:firstLine="440" w:firstLineChars="200"/>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lang w:val="en-US" w:eastAsia="zh-CN"/>
        </w:rPr>
        <w:t>1</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资格条件承诺函</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5E81694D">
      <w:pPr>
        <w:keepNext w:val="0"/>
        <w:keepLines w:val="0"/>
        <w:pageBreakBefore w:val="0"/>
        <w:kinsoku/>
        <w:wordWrap/>
        <w:topLinePunct w:val="0"/>
        <w:bidi w:val="0"/>
        <w:snapToGrid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2</w:t>
      </w:r>
      <w:r>
        <w:rPr>
          <w:rFonts w:hint="eastAsia" w:ascii="新宋体" w:hAnsi="新宋体" w:eastAsia="新宋体" w:cs="新宋体"/>
          <w:color w:val="auto"/>
          <w:sz w:val="22"/>
          <w:szCs w:val="22"/>
          <w:highlight w:val="none"/>
          <w:u w:val="single"/>
        </w:rPr>
        <w:t>）营业执照</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或事业法人登记证书或其它工商等登记证明材料；自然人参与政府采购，提供身份证</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 xml:space="preserve">复印件； </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655701D7">
      <w:pPr>
        <w:keepNext w:val="0"/>
        <w:keepLines w:val="0"/>
        <w:pageBreakBefore w:val="0"/>
        <w:kinsoku/>
        <w:wordWrap/>
        <w:topLinePunct w:val="0"/>
        <w:bidi w:val="0"/>
        <w:snapToGrid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2B6F7EB1">
      <w:pPr>
        <w:keepNext w:val="0"/>
        <w:keepLines w:val="0"/>
        <w:pageBreakBefore w:val="0"/>
        <w:kinsoku/>
        <w:wordWrap/>
        <w:topLinePunct w:val="0"/>
        <w:bidi w:val="0"/>
        <w:snapToGrid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lang w:val="en-US" w:eastAsia="zh-CN"/>
        </w:rPr>
        <w:t>（3）投标人信用查询；</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6AEFBF10">
      <w:pPr>
        <w:keepNext w:val="0"/>
        <w:keepLines w:val="0"/>
        <w:pageBreakBefore w:val="0"/>
        <w:kinsoku/>
        <w:wordWrap/>
        <w:topLinePunct w:val="0"/>
        <w:bidi w:val="0"/>
        <w:snapToGrid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4</w:t>
      </w: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eastAsia="zh-CN"/>
        </w:rPr>
        <w:t>需有卫生行政部门批准《医疗机构执业许可证》</w:t>
      </w: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51698FE0">
      <w:pPr>
        <w:keepNext w:val="0"/>
        <w:keepLines w:val="0"/>
        <w:pageBreakBefore w:val="0"/>
        <w:kinsoku/>
        <w:wordWrap/>
        <w:topLinePunct w:val="0"/>
        <w:bidi w:val="0"/>
        <w:spacing w:line="460" w:lineRule="exact"/>
        <w:ind w:firstLine="440" w:firstLineChars="200"/>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lang w:val="en-US" w:eastAsia="zh-CN"/>
        </w:rPr>
        <w:t>5</w:t>
      </w: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sz w:val="22"/>
          <w:szCs w:val="22"/>
          <w:highlight w:val="none"/>
          <w:u w:val="single"/>
        </w:rPr>
        <w:t>采购活动确认声明书</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1D1F714E">
      <w:pPr>
        <w:keepNext w:val="0"/>
        <w:keepLines w:val="0"/>
        <w:pageBreakBefore w:val="0"/>
        <w:kinsoku/>
        <w:wordWrap/>
        <w:topLinePunct w:val="0"/>
        <w:bidi w:val="0"/>
        <w:spacing w:line="460" w:lineRule="exact"/>
        <w:ind w:firstLine="440" w:firstLineChars="200"/>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lang w:val="en-US" w:eastAsia="zh-CN"/>
        </w:rPr>
        <w:t>6</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lang w:val="en-US" w:eastAsia="zh-CN"/>
        </w:rPr>
        <w:t>联合体协议书（如有）</w:t>
      </w:r>
    </w:p>
    <w:p w14:paraId="4A713A2E">
      <w:pPr>
        <w:keepNext w:val="0"/>
        <w:keepLines w:val="0"/>
        <w:pageBreakBefore w:val="0"/>
        <w:kinsoku/>
        <w:wordWrap/>
        <w:topLinePunct w:val="0"/>
        <w:bidi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上述资格条件审查材料有一项不提供的，视为资格审查不通过。</w:t>
      </w:r>
    </w:p>
    <w:p w14:paraId="319ABFFA">
      <w:pPr>
        <w:keepNext w:val="0"/>
        <w:keepLines w:val="0"/>
        <w:pageBreakBefore w:val="0"/>
        <w:kinsoku/>
        <w:wordWrap/>
        <w:topLinePunct w:val="0"/>
        <w:bidi w:val="0"/>
        <w:snapToGrid w:val="0"/>
        <w:spacing w:line="460" w:lineRule="exact"/>
        <w:ind w:firstLine="442" w:firstLineChars="200"/>
        <w:rPr>
          <w:rFonts w:hint="eastAsia" w:ascii="新宋体" w:hAnsi="新宋体" w:eastAsia="新宋体" w:cs="新宋体"/>
          <w:color w:val="auto"/>
          <w:sz w:val="22"/>
          <w:szCs w:val="22"/>
          <w:highlight w:val="none"/>
          <w:u w:val="single"/>
          <w:lang w:val="zh-CN"/>
        </w:rPr>
      </w:pPr>
      <w:r>
        <w:rPr>
          <w:rFonts w:hint="eastAsia" w:ascii="新宋体" w:hAnsi="新宋体" w:eastAsia="新宋体" w:cs="新宋体"/>
          <w:b/>
          <w:bCs/>
          <w:color w:val="auto"/>
          <w:sz w:val="22"/>
          <w:szCs w:val="22"/>
          <w:highlight w:val="none"/>
        </w:rPr>
        <w:t>3.2</w:t>
      </w:r>
      <w:r>
        <w:rPr>
          <w:rFonts w:hint="eastAsia" w:ascii="新宋体" w:hAnsi="新宋体" w:eastAsia="新宋体" w:cs="新宋体"/>
          <w:b/>
          <w:bCs/>
          <w:color w:val="auto"/>
          <w:sz w:val="22"/>
          <w:szCs w:val="22"/>
          <w:highlight w:val="none"/>
          <w:lang w:val="zh-CN"/>
        </w:rPr>
        <w:t>投标人</w:t>
      </w:r>
      <w:r>
        <w:rPr>
          <w:rFonts w:hint="eastAsia" w:ascii="新宋体" w:hAnsi="新宋体" w:eastAsia="新宋体" w:cs="新宋体"/>
          <w:b/>
          <w:bCs/>
          <w:color w:val="auto"/>
          <w:sz w:val="22"/>
          <w:szCs w:val="22"/>
          <w:highlight w:val="none"/>
        </w:rPr>
        <w:t xml:space="preserve">的报价文件至少应包括以下内容： </w:t>
      </w:r>
    </w:p>
    <w:p w14:paraId="2968C538">
      <w:pPr>
        <w:keepNext w:val="0"/>
        <w:keepLines w:val="0"/>
        <w:pageBreakBefore w:val="0"/>
        <w:kinsoku/>
        <w:wordWrap/>
        <w:topLinePunct w:val="0"/>
        <w:bidi w:val="0"/>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1</w:t>
      </w:r>
      <w:r>
        <w:rPr>
          <w:rFonts w:hint="eastAsia" w:ascii="新宋体" w:hAnsi="新宋体" w:eastAsia="新宋体" w:cs="新宋体"/>
          <w:color w:val="auto"/>
          <w:sz w:val="22"/>
          <w:szCs w:val="22"/>
          <w:highlight w:val="none"/>
          <w:u w:val="single"/>
        </w:rPr>
        <w:t>）投标报价一览表</w:t>
      </w:r>
      <w:r>
        <w:rPr>
          <w:rFonts w:hint="eastAsia" w:ascii="新宋体" w:hAnsi="新宋体" w:eastAsia="新宋体" w:cs="新宋体"/>
          <w:color w:val="auto"/>
          <w:sz w:val="22"/>
          <w:szCs w:val="22"/>
          <w:highlight w:val="none"/>
          <w:u w:val="single"/>
          <w:lang w:eastAsia="zh-CN"/>
        </w:rPr>
        <w:t>；</w:t>
      </w:r>
    </w:p>
    <w:p w14:paraId="4A09805D">
      <w:pPr>
        <w:keepNext w:val="0"/>
        <w:keepLines w:val="0"/>
        <w:pageBreakBefore w:val="0"/>
        <w:kinsoku/>
        <w:wordWrap/>
        <w:topLinePunct w:val="0"/>
        <w:bidi w:val="0"/>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2</w:t>
      </w:r>
      <w:r>
        <w:rPr>
          <w:rFonts w:hint="eastAsia" w:ascii="新宋体" w:hAnsi="新宋体" w:eastAsia="新宋体" w:cs="新宋体"/>
          <w:color w:val="auto"/>
          <w:sz w:val="22"/>
          <w:szCs w:val="22"/>
          <w:highlight w:val="none"/>
          <w:u w:val="single"/>
        </w:rPr>
        <w:t>）中小企业声明函、监狱企业、残疾人福利性单位及其他相关的充分的证明材料。（如有）</w:t>
      </w:r>
    </w:p>
    <w:p w14:paraId="774E2079">
      <w:pPr>
        <w:keepNext w:val="0"/>
        <w:keepLines w:val="0"/>
        <w:pageBreakBefore w:val="0"/>
        <w:kinsoku/>
        <w:wordWrap/>
        <w:topLinePunct w:val="0"/>
        <w:bidi w:val="0"/>
        <w:snapToGrid w:val="0"/>
        <w:spacing w:line="460" w:lineRule="exact"/>
        <w:ind w:firstLine="442" w:firstLineChars="200"/>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b/>
          <w:bCs/>
          <w:color w:val="auto"/>
          <w:kern w:val="0"/>
          <w:sz w:val="22"/>
          <w:szCs w:val="22"/>
          <w:highlight w:val="none"/>
        </w:rPr>
        <w:t>3.3</w:t>
      </w:r>
      <w:r>
        <w:rPr>
          <w:rFonts w:hint="eastAsia" w:ascii="新宋体" w:hAnsi="新宋体" w:eastAsia="新宋体" w:cs="新宋体"/>
          <w:b/>
          <w:bCs/>
          <w:color w:val="auto"/>
          <w:kern w:val="0"/>
          <w:sz w:val="22"/>
          <w:szCs w:val="22"/>
          <w:highlight w:val="none"/>
          <w:lang w:val="zh-CN"/>
        </w:rPr>
        <w:t>投标人的商务技术文件应包括以下内容：</w:t>
      </w:r>
      <w:r>
        <w:rPr>
          <w:rFonts w:hint="eastAsia" w:ascii="新宋体" w:hAnsi="新宋体" w:eastAsia="新宋体" w:cs="新宋体"/>
          <w:color w:val="auto"/>
          <w:kern w:val="0"/>
          <w:sz w:val="22"/>
          <w:szCs w:val="22"/>
          <w:highlight w:val="none"/>
          <w:lang w:val="zh-CN"/>
        </w:rPr>
        <w:t xml:space="preserve"> </w:t>
      </w:r>
    </w:p>
    <w:p w14:paraId="7F2CA9AF">
      <w:pPr>
        <w:keepNext w:val="0"/>
        <w:keepLines w:val="0"/>
        <w:pageBreakBefore w:val="0"/>
        <w:kinsoku/>
        <w:wordWrap/>
        <w:topLinePunct w:val="0"/>
        <w:bidi w:val="0"/>
        <w:snapToGrid w:val="0"/>
        <w:spacing w:line="460" w:lineRule="exact"/>
        <w:ind w:firstLine="440" w:firstLineChars="200"/>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sz w:val="22"/>
          <w:szCs w:val="22"/>
          <w:highlight w:val="none"/>
          <w:u w:val="none"/>
        </w:rPr>
        <w:t>（1）投标响应函</w:t>
      </w:r>
      <w:r>
        <w:rPr>
          <w:rFonts w:hint="eastAsia" w:ascii="新宋体" w:hAnsi="新宋体" w:eastAsia="新宋体" w:cs="新宋体"/>
          <w:color w:val="auto"/>
          <w:sz w:val="22"/>
          <w:szCs w:val="22"/>
          <w:highlight w:val="none"/>
          <w:u w:val="non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3FE1BCD9">
      <w:pPr>
        <w:keepNext w:val="0"/>
        <w:keepLines w:val="0"/>
        <w:pageBreakBefore w:val="0"/>
        <w:kinsoku/>
        <w:wordWrap/>
        <w:topLinePunct w:val="0"/>
        <w:bidi w:val="0"/>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）法定代表人授权委托书</w:t>
      </w:r>
      <w:r>
        <w:rPr>
          <w:rFonts w:hint="eastAsia" w:ascii="新宋体" w:hAnsi="新宋体" w:eastAsia="新宋体" w:cs="新宋体"/>
          <w:color w:val="auto"/>
          <w:sz w:val="22"/>
          <w:szCs w:val="22"/>
          <w:highlight w:val="none"/>
          <w:lang w:eastAsia="zh-CN"/>
        </w:rPr>
        <w:t>；</w:t>
      </w:r>
    </w:p>
    <w:p w14:paraId="51E23239">
      <w:pPr>
        <w:keepNext w:val="0"/>
        <w:keepLines w:val="0"/>
        <w:pageBreakBefore w:val="0"/>
        <w:kinsoku/>
        <w:wordWrap/>
        <w:topLinePunct w:val="0"/>
        <w:bidi w:val="0"/>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需提供法定代表人及授权委托人的身份证复印件加盖公章；</w:t>
      </w:r>
    </w:p>
    <w:p w14:paraId="46688780">
      <w:pPr>
        <w:keepNext w:val="0"/>
        <w:keepLines w:val="0"/>
        <w:pageBreakBefore w:val="0"/>
        <w:kinsoku/>
        <w:wordWrap/>
        <w:topLinePunct w:val="0"/>
        <w:bidi w:val="0"/>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）投标人情况表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15E7FA6A">
      <w:pPr>
        <w:keepNext w:val="0"/>
        <w:keepLines w:val="0"/>
        <w:pageBreakBefore w:val="0"/>
        <w:kinsoku/>
        <w:wordWrap/>
        <w:topLinePunct w:val="0"/>
        <w:bidi w:val="0"/>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）廉政承诺书</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12987E5B">
      <w:pPr>
        <w:keepNext w:val="0"/>
        <w:keepLines w:val="0"/>
        <w:pageBreakBefore w:val="0"/>
        <w:kinsoku/>
        <w:wordWrap/>
        <w:topLinePunct w:val="0"/>
        <w:bidi w:val="0"/>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zh-CN"/>
        </w:rPr>
        <w:t>偏离表（</w:t>
      </w:r>
      <w:r>
        <w:rPr>
          <w:rFonts w:hint="eastAsia" w:ascii="新宋体" w:hAnsi="新宋体" w:eastAsia="新宋体" w:cs="新宋体"/>
          <w:color w:val="auto"/>
          <w:sz w:val="22"/>
          <w:szCs w:val="22"/>
          <w:highlight w:val="none"/>
        </w:rPr>
        <w:t>商务、技术偏离</w:t>
      </w:r>
      <w:r>
        <w:rPr>
          <w:rFonts w:hint="eastAsia" w:ascii="新宋体" w:hAnsi="新宋体" w:eastAsia="新宋体" w:cs="新宋体"/>
          <w:color w:val="auto"/>
          <w:sz w:val="22"/>
          <w:szCs w:val="22"/>
          <w:highlight w:val="none"/>
          <w:lang w:val="zh-CN"/>
        </w:rPr>
        <w:t>）；</w:t>
      </w:r>
    </w:p>
    <w:p w14:paraId="26631410">
      <w:pPr>
        <w:keepNext w:val="0"/>
        <w:keepLines w:val="0"/>
        <w:pageBreakBefore w:val="0"/>
        <w:kinsoku/>
        <w:wordWrap/>
        <w:topLinePunct w:val="0"/>
        <w:bidi w:val="0"/>
        <w:snapToGrid w:val="0"/>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zh-CN" w:eastAsia="zh-CN"/>
        </w:rPr>
        <w:t>其他必要提供的资料。</w:t>
      </w:r>
    </w:p>
    <w:p w14:paraId="3418FAE6">
      <w:pPr>
        <w:keepNext w:val="0"/>
        <w:keepLines w:val="0"/>
        <w:pageBreakBefore w:val="0"/>
        <w:kinsoku/>
        <w:wordWrap/>
        <w:topLinePunct w:val="0"/>
        <w:bidi w:val="0"/>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资质文件（如有）、其他必要提供的资料</w:t>
      </w:r>
    </w:p>
    <w:p w14:paraId="55970440">
      <w:pPr>
        <w:keepNext w:val="0"/>
        <w:keepLines w:val="0"/>
        <w:pageBreakBefore w:val="0"/>
        <w:kinsoku/>
        <w:wordWrap/>
        <w:topLinePunct w:val="0"/>
        <w:bidi w:val="0"/>
        <w:spacing w:line="460" w:lineRule="exact"/>
        <w:ind w:firstLine="442" w:firstLineChars="200"/>
        <w:rPr>
          <w:rFonts w:hint="eastAsia"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投标文件中所需的各种证书、证件、证明资料如是复印件，须在复印件上加盖有效公章。</w:t>
      </w:r>
    </w:p>
    <w:p w14:paraId="175BC358">
      <w:pPr>
        <w:pStyle w:val="31"/>
        <w:keepNext w:val="0"/>
        <w:keepLines w:val="0"/>
        <w:pageBreakBefore w:val="0"/>
        <w:kinsoku/>
        <w:wordWrap/>
        <w:topLinePunct w:val="0"/>
        <w:bidi w:val="0"/>
        <w:snapToGrid w:val="0"/>
        <w:spacing w:line="460" w:lineRule="exact"/>
        <w:ind w:firstLine="442"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val="zh-CN"/>
        </w:rPr>
        <w:t>投标人的</w:t>
      </w:r>
      <w:r>
        <w:rPr>
          <w:rFonts w:hint="eastAsia" w:ascii="新宋体" w:hAnsi="新宋体" w:eastAsia="新宋体" w:cs="新宋体"/>
          <w:color w:val="auto"/>
          <w:sz w:val="22"/>
          <w:szCs w:val="22"/>
          <w:highlight w:val="none"/>
        </w:rPr>
        <w:t>投标文件必须按照招标文件要求制作</w:t>
      </w:r>
      <w:r>
        <w:rPr>
          <w:rFonts w:hint="eastAsia" w:ascii="新宋体" w:hAnsi="新宋体" w:eastAsia="新宋体" w:cs="新宋体"/>
          <w:bCs/>
          <w:color w:val="auto"/>
          <w:sz w:val="22"/>
          <w:szCs w:val="22"/>
          <w:highlight w:val="none"/>
        </w:rPr>
        <w:t>。</w:t>
      </w:r>
    </w:p>
    <w:p w14:paraId="426E2DCC">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投标人可在投标文件中对采购货物的技术规格和要求选用替代标准，但这些替代标准必须相当于或优于招标文件中提出的相应要求，并使招标人满意，同时在技术偏离表中作出详细说明。</w:t>
      </w:r>
    </w:p>
    <w:p w14:paraId="79A11442">
      <w:pPr>
        <w:keepNext w:val="0"/>
        <w:keepLines w:val="0"/>
        <w:pageBreakBefore w:val="0"/>
        <w:kinsoku/>
        <w:wordWrap/>
        <w:topLinePunct w:val="0"/>
        <w:bidi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4、投标报价</w:t>
      </w:r>
    </w:p>
    <w:p w14:paraId="6A880920">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4.1报价</w:t>
      </w:r>
      <w:r>
        <w:rPr>
          <w:rFonts w:hint="eastAsia" w:ascii="新宋体" w:hAnsi="新宋体" w:eastAsia="新宋体" w:cs="新宋体"/>
          <w:b/>
          <w:color w:val="auto"/>
          <w:sz w:val="22"/>
          <w:szCs w:val="22"/>
          <w:highlight w:val="none"/>
        </w:rPr>
        <w:t>折扣率指</w:t>
      </w:r>
      <w:r>
        <w:rPr>
          <w:rFonts w:hint="eastAsia" w:ascii="新宋体" w:hAnsi="新宋体" w:eastAsia="新宋体" w:cs="新宋体"/>
          <w:color w:val="auto"/>
          <w:sz w:val="22"/>
          <w:szCs w:val="22"/>
          <w:highlight w:val="none"/>
          <w:lang w:val="en-US" w:eastAsia="zh-CN"/>
        </w:rPr>
        <w:t>以</w:t>
      </w:r>
      <w:r>
        <w:rPr>
          <w:rFonts w:hint="eastAsia" w:ascii="新宋体" w:hAnsi="新宋体" w:eastAsia="新宋体" w:cs="新宋体"/>
          <w:color w:val="auto"/>
          <w:sz w:val="22"/>
          <w:szCs w:val="22"/>
          <w:highlight w:val="none"/>
          <w:lang w:eastAsia="zh-CN"/>
        </w:rPr>
        <w:t>《温州市公立医院医疗服务价格项目表》对应服务项目的收费标准为基准价</w:t>
      </w:r>
      <w:r>
        <w:rPr>
          <w:rFonts w:hint="eastAsia" w:ascii="新宋体" w:hAnsi="新宋体" w:eastAsia="新宋体" w:cs="新宋体"/>
          <w:b/>
          <w:color w:val="auto"/>
          <w:sz w:val="22"/>
          <w:szCs w:val="22"/>
          <w:highlight w:val="none"/>
        </w:rPr>
        <w:t>进行折扣。</w:t>
      </w:r>
    </w:p>
    <w:p w14:paraId="05B2B9FD">
      <w:pPr>
        <w:keepNext w:val="0"/>
        <w:keepLines w:val="0"/>
        <w:pageBreakBefore w:val="0"/>
        <w:kinsoku/>
        <w:wordWrap/>
        <w:topLinePunct w:val="0"/>
        <w:bidi w:val="0"/>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检验项目的检验费用单价：</w:t>
      </w:r>
      <w:r>
        <w:rPr>
          <w:rFonts w:hint="eastAsia" w:ascii="新宋体" w:hAnsi="新宋体" w:eastAsia="新宋体" w:cs="新宋体"/>
          <w:color w:val="auto"/>
          <w:sz w:val="22"/>
          <w:szCs w:val="22"/>
          <w:highlight w:val="none"/>
          <w:lang w:val="en-US" w:eastAsia="zh-CN"/>
        </w:rPr>
        <w:t>以</w:t>
      </w:r>
      <w:r>
        <w:rPr>
          <w:rFonts w:hint="eastAsia" w:ascii="新宋体" w:hAnsi="新宋体" w:eastAsia="新宋体" w:cs="新宋体"/>
          <w:color w:val="auto"/>
          <w:sz w:val="22"/>
          <w:szCs w:val="22"/>
          <w:highlight w:val="none"/>
          <w:lang w:eastAsia="zh-CN"/>
        </w:rPr>
        <w:t>《温州市公立医院医疗服务价格项目表》对应服务项目的收费标准为基准价</w:t>
      </w:r>
      <w:r>
        <w:rPr>
          <w:rFonts w:hint="eastAsia" w:ascii="新宋体" w:hAnsi="新宋体" w:eastAsia="新宋体" w:cs="新宋体"/>
          <w:b/>
          <w:bCs/>
          <w:color w:val="auto"/>
          <w:sz w:val="22"/>
          <w:szCs w:val="22"/>
          <w:highlight w:val="none"/>
        </w:rPr>
        <w:t>乘以折扣率为检验最终检验费用单价。最终检验费用单价为固定综合单价。单价必须包括提供检验服务所需的一切人员的符合国家规定的工资、福利、各种加班费、误餐费、各种社会保险、食宿与交通、设备及工具、器材、服装、安全、管理费用、税费、利润、完成合同所需的一切本身和不可或缺的所有工作开支、政策性文件规定及合同包含的所有风险、责任等各项全部费用并承担一切风险责任。在服务期内不得调整。</w:t>
      </w:r>
    </w:p>
    <w:p w14:paraId="638126C6">
      <w:pPr>
        <w:keepNext w:val="0"/>
        <w:keepLines w:val="0"/>
        <w:pageBreakBefore w:val="0"/>
        <w:kinsoku/>
        <w:wordWrap/>
        <w:topLinePunct w:val="0"/>
        <w:bidi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4.2投标人必须按附件中的投标报价一览表内容填写价格，并由投标人代表签署。</w:t>
      </w:r>
    </w:p>
    <w:p w14:paraId="01BB3CD3">
      <w:pPr>
        <w:keepNext w:val="0"/>
        <w:keepLines w:val="0"/>
        <w:pageBreakBefore w:val="0"/>
        <w:kinsoku/>
        <w:wordWrap/>
        <w:topLinePunct w:val="0"/>
        <w:bidi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4.3</w:t>
      </w:r>
      <w:r>
        <w:rPr>
          <w:rFonts w:hint="eastAsia" w:ascii="新宋体" w:hAnsi="新宋体" w:eastAsia="新宋体" w:cs="新宋体"/>
          <w:b/>
          <w:color w:val="auto"/>
          <w:sz w:val="22"/>
          <w:szCs w:val="22"/>
          <w:highlight w:val="none"/>
        </w:rPr>
        <w:t>投标货币以</w:t>
      </w:r>
      <w:r>
        <w:rPr>
          <w:rFonts w:hint="eastAsia" w:ascii="新宋体" w:hAnsi="新宋体" w:eastAsia="新宋体" w:cs="新宋体"/>
          <w:b/>
          <w:color w:val="auto"/>
          <w:sz w:val="22"/>
          <w:szCs w:val="22"/>
          <w:highlight w:val="none"/>
          <w:lang w:val="en-US" w:eastAsia="zh-CN"/>
        </w:rPr>
        <w:t>折扣率</w:t>
      </w:r>
      <w:r>
        <w:rPr>
          <w:rFonts w:hint="eastAsia" w:ascii="新宋体" w:hAnsi="新宋体" w:eastAsia="新宋体" w:cs="新宋体"/>
          <w:b/>
          <w:color w:val="auto"/>
          <w:sz w:val="22"/>
          <w:szCs w:val="22"/>
          <w:highlight w:val="none"/>
        </w:rPr>
        <w:t>进行投标。</w:t>
      </w:r>
    </w:p>
    <w:p w14:paraId="1C715EE6">
      <w:pPr>
        <w:keepNext w:val="0"/>
        <w:keepLines w:val="0"/>
        <w:pageBreakBefore w:val="0"/>
        <w:kinsoku/>
        <w:wordWrap/>
        <w:topLinePunct w:val="0"/>
        <w:bidi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4.4</w:t>
      </w:r>
      <w:r>
        <w:rPr>
          <w:rFonts w:hint="eastAsia" w:ascii="新宋体" w:hAnsi="新宋体" w:eastAsia="新宋体" w:cs="新宋体"/>
          <w:b/>
          <w:color w:val="auto"/>
          <w:sz w:val="22"/>
          <w:szCs w:val="22"/>
          <w:highlight w:val="none"/>
        </w:rPr>
        <w:t>招标人和招标代理机构不接受任何选择投标，对任何</w:t>
      </w:r>
      <w:r>
        <w:rPr>
          <w:rFonts w:hint="eastAsia" w:ascii="新宋体" w:hAnsi="新宋体" w:eastAsia="新宋体" w:cs="新宋体"/>
          <w:b/>
          <w:color w:val="auto"/>
          <w:sz w:val="22"/>
          <w:szCs w:val="22"/>
          <w:highlight w:val="none"/>
          <w:lang w:val="en-US" w:eastAsia="zh-CN"/>
        </w:rPr>
        <w:t>货物或</w:t>
      </w:r>
      <w:r>
        <w:rPr>
          <w:rFonts w:hint="eastAsia" w:ascii="新宋体" w:hAnsi="新宋体" w:eastAsia="新宋体" w:cs="新宋体"/>
          <w:b/>
          <w:color w:val="auto"/>
          <w:sz w:val="22"/>
          <w:szCs w:val="22"/>
          <w:highlight w:val="none"/>
        </w:rPr>
        <w:t>服务只允许一个价格。</w:t>
      </w:r>
    </w:p>
    <w:p w14:paraId="5BEF31DC">
      <w:pPr>
        <w:keepNext w:val="0"/>
        <w:keepLines w:val="0"/>
        <w:pageBreakBefore w:val="0"/>
        <w:kinsoku/>
        <w:wordWrap/>
        <w:topLinePunct w:val="0"/>
        <w:bidi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4.5招标人和招标代理机构要求分类报价是为了方便评标，但在任何情况下不限制招标人以其认为最合适的条款、条件签订合同的权利。</w:t>
      </w:r>
    </w:p>
    <w:p w14:paraId="1E634FDE">
      <w:pPr>
        <w:keepNext w:val="0"/>
        <w:keepLines w:val="0"/>
        <w:pageBreakBefore w:val="0"/>
        <w:kinsoku/>
        <w:wordWrap/>
        <w:topLinePunct w:val="0"/>
        <w:bidi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4.6投标报价报出后，投标人不得以任何理由予以变更。任何包含价格调整的要求，将被认为是非实质性响应投标而予以否决。</w:t>
      </w:r>
    </w:p>
    <w:p w14:paraId="7405B997">
      <w:pPr>
        <w:keepNext w:val="0"/>
        <w:keepLines w:val="0"/>
        <w:pageBreakBefore w:val="0"/>
        <w:kinsoku/>
        <w:wordWrap/>
        <w:topLinePunct w:val="0"/>
        <w:bidi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4.7最低报价不能作为中标的保证。</w:t>
      </w:r>
    </w:p>
    <w:p w14:paraId="4AE4B61B">
      <w:pPr>
        <w:keepNext w:val="0"/>
        <w:keepLines w:val="0"/>
        <w:pageBreakBefore w:val="0"/>
        <w:kinsoku/>
        <w:wordWrap/>
        <w:topLinePunct w:val="0"/>
        <w:bidi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5、投标有效期</w:t>
      </w:r>
    </w:p>
    <w:p w14:paraId="7B6BF0C7">
      <w:pPr>
        <w:keepNext w:val="0"/>
        <w:keepLines w:val="0"/>
        <w:pageBreakBefore w:val="0"/>
        <w:kinsoku/>
        <w:wordWrap/>
        <w:topLinePunct w:val="0"/>
        <w:bidi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5.1自开标之日起</w:t>
      </w:r>
      <w:r>
        <w:rPr>
          <w:rFonts w:hint="eastAsia" w:ascii="新宋体" w:hAnsi="新宋体" w:eastAsia="新宋体" w:cs="新宋体"/>
          <w:b/>
          <w:bCs/>
          <w:color w:val="auto"/>
          <w:sz w:val="22"/>
          <w:szCs w:val="22"/>
          <w:highlight w:val="none"/>
          <w:lang w:val="en-US" w:eastAsia="zh-CN"/>
        </w:rPr>
        <w:t>90</w:t>
      </w:r>
      <w:r>
        <w:rPr>
          <w:rFonts w:hint="eastAsia" w:ascii="新宋体" w:hAnsi="新宋体" w:eastAsia="新宋体" w:cs="新宋体"/>
          <w:b/>
          <w:color w:val="auto"/>
          <w:sz w:val="22"/>
          <w:szCs w:val="22"/>
          <w:highlight w:val="none"/>
        </w:rPr>
        <w:t>天内投标应保持有效。</w:t>
      </w:r>
    </w:p>
    <w:p w14:paraId="19C3AB14">
      <w:pPr>
        <w:keepNext w:val="0"/>
        <w:keepLines w:val="0"/>
        <w:pageBreakBefore w:val="0"/>
        <w:kinsoku/>
        <w:wordWrap/>
        <w:topLinePunct w:val="0"/>
        <w:bidi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14:paraId="4CC3BE65">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6、投标保证金</w:t>
      </w:r>
    </w:p>
    <w:p w14:paraId="79BA0750">
      <w:pPr>
        <w:keepNext w:val="0"/>
        <w:keepLines w:val="0"/>
        <w:pageBreakBefore w:val="0"/>
        <w:kinsoku/>
        <w:wordWrap/>
        <w:topLinePunct w:val="0"/>
        <w:bidi w:val="0"/>
        <w:spacing w:line="460" w:lineRule="exact"/>
        <w:ind w:firstLine="880" w:firstLineChars="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w:t>
      </w:r>
    </w:p>
    <w:p w14:paraId="6C614E0D">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7、投标文件编制</w:t>
      </w:r>
    </w:p>
    <w:p w14:paraId="3CE7378C">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7.1本项目通过“</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bCs/>
          <w:color w:val="auto"/>
          <w:sz w:val="22"/>
          <w:szCs w:val="22"/>
          <w:highlight w:val="none"/>
          <w:u w:val="single"/>
          <w:lang w:eastAsia="zh-CN"/>
        </w:rPr>
        <w:t>https://www.lecaiyun.com/</w:t>
      </w:r>
      <w:r>
        <w:rPr>
          <w:rFonts w:hint="eastAsia" w:ascii="新宋体" w:hAnsi="新宋体" w:eastAsia="新宋体" w:cs="新宋体"/>
          <w:b/>
          <w:bCs/>
          <w:color w:val="auto"/>
          <w:sz w:val="22"/>
          <w:szCs w:val="22"/>
          <w:highlight w:val="none"/>
          <w:u w:val="single"/>
        </w:rPr>
        <w:t>）”实行在线投标响应（电子投标）。投标人应通过“</w:t>
      </w:r>
      <w:r>
        <w:rPr>
          <w:rFonts w:hint="eastAsia" w:ascii="新宋体" w:hAnsi="新宋体" w:eastAsia="新宋体" w:cs="新宋体"/>
          <w:b/>
          <w:bCs/>
          <w:color w:val="auto"/>
          <w:sz w:val="22"/>
          <w:szCs w:val="22"/>
          <w:highlight w:val="none"/>
          <w:u w:val="single"/>
          <w:lang w:eastAsia="zh-CN"/>
        </w:rPr>
        <w:t>乐采云</w:t>
      </w:r>
      <w:r>
        <w:rPr>
          <w:rFonts w:hint="eastAsia" w:ascii="新宋体" w:hAnsi="新宋体" w:eastAsia="新宋体" w:cs="新宋体"/>
          <w:b/>
          <w:bCs/>
          <w:color w:val="auto"/>
          <w:sz w:val="22"/>
          <w:szCs w:val="22"/>
          <w:highlight w:val="none"/>
          <w:u w:val="single"/>
        </w:rPr>
        <w:t>电子交易客户端”，并按照本招标文件和“</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”的要求编制并加密投标文件。</w:t>
      </w:r>
    </w:p>
    <w:p w14:paraId="2B7EFF11">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7.2投标人应当按照本章节“投标文件的构成”规定的内容及顺序在“</w:t>
      </w:r>
      <w:r>
        <w:rPr>
          <w:rFonts w:hint="eastAsia" w:ascii="新宋体" w:hAnsi="新宋体" w:eastAsia="新宋体" w:cs="新宋体"/>
          <w:b/>
          <w:bCs/>
          <w:color w:val="auto"/>
          <w:sz w:val="22"/>
          <w:szCs w:val="22"/>
          <w:highlight w:val="none"/>
          <w:u w:val="single"/>
          <w:lang w:eastAsia="zh-CN"/>
        </w:rPr>
        <w:t>乐采云</w:t>
      </w:r>
      <w:r>
        <w:rPr>
          <w:rFonts w:hint="eastAsia" w:ascii="新宋体" w:hAnsi="新宋体" w:eastAsia="新宋体" w:cs="新宋体"/>
          <w:b/>
          <w:bCs/>
          <w:color w:val="auto"/>
          <w:sz w:val="22"/>
          <w:szCs w:val="22"/>
          <w:highlight w:val="none"/>
          <w:u w:val="single"/>
        </w:rPr>
        <w:t>电子交易客户端”编制投标文件。其中《资格文件》和《商务技术文件》中不得出现本项目投标报价。</w:t>
      </w:r>
    </w:p>
    <w:p w14:paraId="0E9FE239">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7.3本文件《附件》中有提供格式的，投标人须参照格式进行编制（格式中要求提供相关证明材料的还需后附相关证明材料），并按格式要求在指定位置根据要求进行签章，否则视为未提供；本文件《附件》未提供格式的，请各投标单位自行拟定格式，并加盖单位公章并由法定代表人或其授权代表签署（签字或盖章），否则视为未提供。</w:t>
      </w:r>
    </w:p>
    <w:p w14:paraId="5396007D">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7.4《投标文件》内容不完整、编排混乱导致《投标文件》被误读、漏读或者查找不到相关内容的，投标人自行负责。</w:t>
      </w:r>
    </w:p>
    <w:p w14:paraId="624268F0">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7.5《投标文件》因字迹潦草或表达不清所引起的后果由投标人负责。</w:t>
      </w:r>
    </w:p>
    <w:p w14:paraId="20EC9EBC">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7.6投标人没有按照本章节“投标文件的构成”要求提供全部资料，或者没有仔细阅读招标文件，或者没有对招标文件在各方面的要求作出实质性响应是投标人的风险，由此造成的一切后果由投标人自行承担。</w:t>
      </w:r>
    </w:p>
    <w:p w14:paraId="10684265">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8、投标文件的签章</w:t>
      </w:r>
    </w:p>
    <w:p w14:paraId="741A8229">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8.1《投标文件》的签章：见《前附表》；</w:t>
      </w:r>
    </w:p>
    <w:p w14:paraId="53425D7E">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8.2《投标文件》应由投标人法定代表人或其授权代表签字（或盖章），并时加盖投标人公章。</w:t>
      </w:r>
    </w:p>
    <w:p w14:paraId="6DF2ECB8">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8.3电子签章操作指南详见采购公告附件《投标人项目采购-电子招投标操作指南》。</w:t>
      </w:r>
    </w:p>
    <w:p w14:paraId="6F6E164F">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9、投标文件的形式</w:t>
      </w:r>
    </w:p>
    <w:p w14:paraId="1BC6D69D">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9.1投标文件的形式：见《前附表》；</w:t>
      </w:r>
    </w:p>
    <w:p w14:paraId="40877914">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9.2“电子加密投标文件”：“电子加密投标文件”是指通过“</w:t>
      </w:r>
      <w:r>
        <w:rPr>
          <w:rFonts w:hint="eastAsia" w:ascii="新宋体" w:hAnsi="新宋体" w:eastAsia="新宋体" w:cs="新宋体"/>
          <w:b/>
          <w:bCs/>
          <w:color w:val="auto"/>
          <w:sz w:val="22"/>
          <w:szCs w:val="22"/>
          <w:highlight w:val="none"/>
          <w:lang w:eastAsia="zh-CN"/>
        </w:rPr>
        <w:t>乐采云</w:t>
      </w:r>
      <w:r>
        <w:rPr>
          <w:rFonts w:hint="eastAsia" w:ascii="新宋体" w:hAnsi="新宋体" w:eastAsia="新宋体" w:cs="新宋体"/>
          <w:b/>
          <w:bCs/>
          <w:color w:val="auto"/>
          <w:sz w:val="22"/>
          <w:szCs w:val="22"/>
          <w:highlight w:val="none"/>
        </w:rPr>
        <w:t>电子交易客户端”完成投标文件编制后生成并加密的数据电文形式的投标文件。</w:t>
      </w:r>
    </w:p>
    <w:p w14:paraId="29735462">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14:paraId="3FCEC0B6">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10、投标文件的份数</w:t>
      </w:r>
    </w:p>
    <w:p w14:paraId="54D5D480">
      <w:pPr>
        <w:keepNext w:val="0"/>
        <w:keepLines w:val="0"/>
        <w:pageBreakBefore w:val="0"/>
        <w:kinsoku/>
        <w:wordWrap/>
        <w:topLinePunct w:val="0"/>
        <w:bidi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10.1投标文件的份数：见《前附表》。</w:t>
      </w:r>
    </w:p>
    <w:p w14:paraId="4518A4FE">
      <w:pPr>
        <w:spacing w:before="100" w:beforeAutospacing="1" w:after="100" w:afterAutospacing="1" w:line="440" w:lineRule="exact"/>
        <w:jc w:val="center"/>
        <w:outlineLvl w:val="2"/>
        <w:rPr>
          <w:rFonts w:hint="eastAsia" w:ascii="新宋体" w:hAnsi="新宋体" w:eastAsia="新宋体" w:cs="新宋体"/>
          <w:b/>
          <w:bCs/>
          <w:color w:val="auto"/>
          <w:sz w:val="22"/>
          <w:szCs w:val="22"/>
          <w:highlight w:val="none"/>
        </w:rPr>
      </w:pPr>
      <w:bookmarkStart w:id="16" w:name="_Toc29614"/>
      <w:r>
        <w:rPr>
          <w:rFonts w:hint="eastAsia" w:ascii="新宋体" w:hAnsi="新宋体" w:eastAsia="新宋体" w:cs="新宋体"/>
          <w:b/>
          <w:bCs/>
          <w:color w:val="auto"/>
          <w:sz w:val="22"/>
          <w:szCs w:val="22"/>
          <w:highlight w:val="none"/>
        </w:rPr>
        <w:t>四、 投标文件的递交</w:t>
      </w:r>
      <w:bookmarkEnd w:id="16"/>
    </w:p>
    <w:p w14:paraId="48117B9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1、投标文件的上传和递交</w:t>
      </w:r>
    </w:p>
    <w:p w14:paraId="4D23BD2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1.1“投标文件”的上传、递交见《前附表》。</w:t>
      </w:r>
    </w:p>
    <w:p w14:paraId="33D60C7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2、“电子加密投标文件”解密和异常情况处理</w:t>
      </w:r>
    </w:p>
    <w:p w14:paraId="55E6623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2.1“电子加密投标文件”解密：见《前附表》。</w:t>
      </w:r>
    </w:p>
    <w:p w14:paraId="11D14E9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3、投标文件的补充、修改或撤回</w:t>
      </w:r>
    </w:p>
    <w:p w14:paraId="0DD4106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3.1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”将予以拒收。</w:t>
      </w:r>
    </w:p>
    <w:p w14:paraId="13B7A00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3.2投标截止时间后，投标人不得撤回、修改《投标文件》。</w:t>
      </w:r>
    </w:p>
    <w:p w14:paraId="0881C37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4、投标文件的备选方案</w:t>
      </w:r>
    </w:p>
    <w:p w14:paraId="5D50133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4.1投标人不得递交任何的投标备选（替代）方案，否则其投标文件将作无效标处理。与“电子加密投标文件”同时生成的“备份投标文件”不是投标备选（替代）方案。</w:t>
      </w:r>
    </w:p>
    <w:p w14:paraId="01208539">
      <w:pPr>
        <w:spacing w:before="100" w:beforeAutospacing="1" w:after="100" w:afterAutospacing="1" w:line="460" w:lineRule="exact"/>
        <w:jc w:val="center"/>
        <w:outlineLvl w:val="2"/>
        <w:rPr>
          <w:rFonts w:hint="eastAsia" w:ascii="新宋体" w:hAnsi="新宋体" w:eastAsia="新宋体" w:cs="新宋体"/>
          <w:b/>
          <w:bCs/>
          <w:color w:val="auto"/>
          <w:sz w:val="22"/>
          <w:szCs w:val="22"/>
          <w:highlight w:val="none"/>
        </w:rPr>
      </w:pPr>
      <w:bookmarkStart w:id="17" w:name="_Toc8700"/>
      <w:r>
        <w:rPr>
          <w:rFonts w:hint="eastAsia" w:ascii="新宋体" w:hAnsi="新宋体" w:eastAsia="新宋体" w:cs="新宋体"/>
          <w:b/>
          <w:bCs/>
          <w:color w:val="auto"/>
          <w:sz w:val="22"/>
          <w:szCs w:val="22"/>
          <w:highlight w:val="none"/>
        </w:rPr>
        <w:t>五、 开标和评标</w:t>
      </w:r>
      <w:bookmarkEnd w:id="17"/>
    </w:p>
    <w:p w14:paraId="6F89CB84">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1、评标委员会</w:t>
      </w:r>
    </w:p>
    <w:p w14:paraId="7CE5D35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招标人和招标代理机构组建评标委员会。评标委员会的成员在评标过程中必须严格遵守《政府采购法》等有关法律、法规的规定。</w:t>
      </w:r>
    </w:p>
    <w:p w14:paraId="51C97D50">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2、评标过程的保密性</w:t>
      </w:r>
    </w:p>
    <w:p w14:paraId="3C9817E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开标后直至向成交投标人授予合同时止，凡与评审有关的资料均不得向投标人及与评标无关人员透露。如果投标人在评标过程中试图向招标人和招标代理机构施加影响，其投标将被拒绝。</w:t>
      </w:r>
    </w:p>
    <w:p w14:paraId="16D0659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3、开标形式</w:t>
      </w:r>
    </w:p>
    <w:p w14:paraId="076F7F4D">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采购组织机构将按照招标文件规定的时间通过“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”组织开标、开启投标文件，所有投标人均应当准时（在线）参加。</w:t>
      </w:r>
    </w:p>
    <w:p w14:paraId="1AFB877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4、开标准备</w:t>
      </w:r>
    </w:p>
    <w:p w14:paraId="5FC2CE3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4.1开标的准备工作由采购组织机构负责落实；</w:t>
      </w:r>
    </w:p>
    <w:p w14:paraId="714E332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4.2</w:t>
      </w:r>
      <w:r>
        <w:rPr>
          <w:rFonts w:hint="eastAsia" w:ascii="新宋体" w:hAnsi="新宋体" w:eastAsia="新宋体" w:cs="新宋体"/>
          <w:b/>
          <w:color w:val="auto"/>
          <w:sz w:val="22"/>
          <w:szCs w:val="22"/>
          <w:highlight w:val="none"/>
        </w:rPr>
        <w:t>采购组织机构将按照招标文件规定的时间通过“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”组织开标、开启投标文件，所有投标人均应当准时（在线）参加。</w:t>
      </w:r>
      <w:r>
        <w:rPr>
          <w:rFonts w:hint="eastAsia" w:ascii="新宋体" w:hAnsi="新宋体" w:eastAsia="新宋体" w:cs="新宋体"/>
          <w:b/>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投标人如不参加开标大会的，视同认可开标结果，事后不得对采购相关人员、开标过程和开标结果提出异议，同时投标人因未在线参加开标而导致投标文件无法按时解密等一切后果由投标人自己承担。</w:t>
      </w:r>
    </w:p>
    <w:p w14:paraId="00C23992">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5、开标流程</w:t>
      </w:r>
    </w:p>
    <w:p w14:paraId="490DA9C8">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5.1开标、评标</w:t>
      </w:r>
    </w:p>
    <w:p w14:paraId="6ADC093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（1）向各投标人发出电子加密投标文件【开始解密】通知，由投标人按招标文件规定的时间内自行进行投标文件解密。投标人在规定的时间内无法完成已递交的“电子加密投标文件”解密的，如已按规 定递交了备份投标文件的，将由采购组织机构按“</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”操作规范将备份投标文件上传至“</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”，上传成功后，“电子加密投标文件”自动失效；</w:t>
      </w:r>
    </w:p>
    <w:p w14:paraId="2DD2A5D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投标人不足3家的，不得开标。</w:t>
      </w:r>
    </w:p>
    <w:p w14:paraId="33753C7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（2）解密成功后，开启投标人的《报价文件》，投标人通过</w:t>
      </w:r>
      <w:r>
        <w:rPr>
          <w:rFonts w:hint="eastAsia" w:ascii="新宋体" w:hAnsi="新宋体" w:eastAsia="新宋体" w:cs="新宋体"/>
          <w:color w:val="auto"/>
          <w:kern w:val="0"/>
          <w:sz w:val="22"/>
          <w:szCs w:val="22"/>
          <w:highlight w:val="none"/>
          <w:lang w:eastAsia="zh-CN"/>
        </w:rPr>
        <w:t>乐采云</w:t>
      </w:r>
      <w:r>
        <w:rPr>
          <w:rFonts w:hint="eastAsia" w:ascii="新宋体" w:hAnsi="新宋体" w:eastAsia="新宋体" w:cs="新宋体"/>
          <w:color w:val="auto"/>
          <w:kern w:val="0"/>
          <w:sz w:val="22"/>
          <w:szCs w:val="22"/>
          <w:highlight w:val="none"/>
        </w:rPr>
        <w:t>系统对自己报价文件相关内容进行签字确认（不予确认的应说明理由，否则视为无异议）。</w:t>
      </w:r>
    </w:p>
    <w:p w14:paraId="1165DCE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（3）开启《投标文件》，进入资格审查；</w:t>
      </w:r>
      <w:r>
        <w:rPr>
          <w:rFonts w:hint="eastAsia" w:ascii="新宋体" w:hAnsi="新宋体" w:eastAsia="新宋体" w:cs="新宋体"/>
          <w:bCs/>
          <w:color w:val="auto"/>
          <w:sz w:val="22"/>
          <w:szCs w:val="22"/>
          <w:highlight w:val="none"/>
        </w:rPr>
        <w:t>合格投标人不足3家的，不得评标。</w:t>
      </w:r>
    </w:p>
    <w:p w14:paraId="79F136D1">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b/>
          <w:color w:val="auto"/>
          <w:kern w:val="0"/>
          <w:sz w:val="22"/>
          <w:szCs w:val="22"/>
          <w:highlight w:val="none"/>
        </w:rPr>
        <w:t>备注：开标大会的结束后，招标人或</w:t>
      </w:r>
      <w:r>
        <w:rPr>
          <w:rFonts w:hint="eastAsia" w:ascii="新宋体" w:hAnsi="新宋体" w:eastAsia="新宋体" w:cs="新宋体"/>
          <w:b/>
          <w:color w:val="auto"/>
          <w:kern w:val="0"/>
          <w:sz w:val="22"/>
          <w:szCs w:val="22"/>
          <w:highlight w:val="none"/>
          <w:lang w:eastAsia="zh-CN"/>
        </w:rPr>
        <w:t>招标代理机构</w:t>
      </w:r>
      <w:r>
        <w:rPr>
          <w:rFonts w:hint="eastAsia" w:ascii="新宋体" w:hAnsi="新宋体" w:eastAsia="新宋体" w:cs="新宋体"/>
          <w:b/>
          <w:color w:val="auto"/>
          <w:kern w:val="0"/>
          <w:sz w:val="22"/>
          <w:szCs w:val="22"/>
          <w:highlight w:val="none"/>
        </w:rPr>
        <w:t>将对依法对投标人的资格进行审查，资格审查结束后进入符合性审查和商务技术的评审工作，具体见本章节“投标人资格审查”相关规定。</w:t>
      </w:r>
    </w:p>
    <w:p w14:paraId="3CE95B1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（4）开启资格审查通过的投标人的商务技术文件进入符合性审查，</w:t>
      </w:r>
      <w:r>
        <w:rPr>
          <w:rFonts w:hint="eastAsia" w:ascii="新宋体" w:hAnsi="新宋体" w:eastAsia="新宋体" w:cs="新宋体"/>
          <w:bCs/>
          <w:color w:val="auto"/>
          <w:sz w:val="22"/>
          <w:szCs w:val="22"/>
          <w:highlight w:val="none"/>
        </w:rPr>
        <w:t>以确定其是否满足招标文件的实质性要求，合格投标人不足3家的，不得评标。</w:t>
      </w:r>
    </w:p>
    <w:p w14:paraId="4CAA741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14:paraId="5C2BDF9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（5）对通过资格审查、符合性审查的合格投标人进行商务技术部分的评审。</w:t>
      </w:r>
    </w:p>
    <w:p w14:paraId="6F77F43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（6）评标委员会对报价的合理性、准确性等进行审查核实。</w:t>
      </w:r>
    </w:p>
    <w:p w14:paraId="3FB1D56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（7）评审结束后，公布中标（成交）候选投标人名单及招标人最终确定中标或成交投标人名单的时间和公告方式等。</w:t>
      </w:r>
    </w:p>
    <w:p w14:paraId="3DC49E62">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特别说明：如遇“</w:t>
      </w:r>
      <w:r>
        <w:rPr>
          <w:rFonts w:hint="eastAsia" w:ascii="新宋体" w:hAnsi="新宋体" w:eastAsia="新宋体" w:cs="新宋体"/>
          <w:b/>
          <w:color w:val="auto"/>
          <w:kern w:val="0"/>
          <w:sz w:val="22"/>
          <w:szCs w:val="22"/>
          <w:highlight w:val="none"/>
          <w:lang w:eastAsia="zh-CN"/>
        </w:rPr>
        <w:t>乐采云平台</w:t>
      </w:r>
      <w:r>
        <w:rPr>
          <w:rFonts w:hint="eastAsia" w:ascii="新宋体" w:hAnsi="新宋体" w:eastAsia="新宋体" w:cs="新宋体"/>
          <w:b/>
          <w:color w:val="auto"/>
          <w:kern w:val="0"/>
          <w:sz w:val="22"/>
          <w:szCs w:val="22"/>
          <w:highlight w:val="none"/>
        </w:rPr>
        <w:t>”电子化开标或评审程序调整的，按调整后程序执行。</w:t>
      </w:r>
    </w:p>
    <w:p w14:paraId="3DE7463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bookmarkStart w:id="18" w:name="_Toc24550037"/>
      <w:bookmarkStart w:id="19" w:name="_Toc33194393"/>
      <w:r>
        <w:rPr>
          <w:rFonts w:hint="eastAsia" w:ascii="新宋体" w:hAnsi="新宋体" w:eastAsia="新宋体" w:cs="新宋体"/>
          <w:color w:val="auto"/>
          <w:sz w:val="22"/>
          <w:szCs w:val="22"/>
          <w:highlight w:val="none"/>
        </w:rPr>
        <w:t>6、投标人资格审查</w:t>
      </w:r>
      <w:bookmarkEnd w:id="18"/>
      <w:bookmarkEnd w:id="19"/>
    </w:p>
    <w:p w14:paraId="4F639544">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6.1开标大会结束后，招标人或</w:t>
      </w:r>
      <w:r>
        <w:rPr>
          <w:rFonts w:hint="eastAsia" w:ascii="新宋体" w:hAnsi="新宋体" w:eastAsia="新宋体" w:cs="新宋体"/>
          <w:b/>
          <w:color w:val="auto"/>
          <w:sz w:val="22"/>
          <w:szCs w:val="22"/>
          <w:highlight w:val="none"/>
          <w:lang w:eastAsia="zh-CN"/>
        </w:rPr>
        <w:t>招标代理机构</w:t>
      </w:r>
      <w:r>
        <w:rPr>
          <w:rFonts w:hint="eastAsia" w:ascii="新宋体" w:hAnsi="新宋体" w:eastAsia="新宋体" w:cs="新宋体"/>
          <w:b/>
          <w:color w:val="auto"/>
          <w:sz w:val="22"/>
          <w:szCs w:val="22"/>
          <w:highlight w:val="none"/>
        </w:rPr>
        <w:t>首先依法对各投标人的资格进行审查，审查各投标人的资格是否满足招标文件的要求。</w:t>
      </w:r>
      <w:r>
        <w:rPr>
          <w:rFonts w:hint="eastAsia" w:ascii="新宋体" w:hAnsi="新宋体" w:eastAsia="新宋体" w:cs="新宋体"/>
          <w:color w:val="auto"/>
          <w:sz w:val="22"/>
          <w:szCs w:val="22"/>
          <w:highlight w:val="none"/>
        </w:rPr>
        <w:t>招标人或</w:t>
      </w:r>
      <w:r>
        <w:rPr>
          <w:rFonts w:hint="eastAsia" w:ascii="新宋体" w:hAnsi="新宋体" w:eastAsia="新宋体" w:cs="新宋体"/>
          <w:color w:val="auto"/>
          <w:sz w:val="22"/>
          <w:szCs w:val="22"/>
          <w:highlight w:val="none"/>
          <w:lang w:eastAsia="zh-CN"/>
        </w:rPr>
        <w:t>招标代理机构</w:t>
      </w:r>
      <w:r>
        <w:rPr>
          <w:rFonts w:hint="eastAsia" w:ascii="新宋体" w:hAnsi="新宋体" w:eastAsia="新宋体" w:cs="新宋体"/>
          <w:color w:val="auto"/>
          <w:sz w:val="22"/>
          <w:szCs w:val="22"/>
          <w:highlight w:val="none"/>
        </w:rPr>
        <w:t>对投标人所提交的资格证明材料仅负审核的责任。如发现投标人所提交的资格证明材料不合法或与事实不符，招标人可取消其中标资格并追究投标人的法律责任。</w:t>
      </w:r>
    </w:p>
    <w:p w14:paraId="731FB273">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sz w:val="22"/>
          <w:szCs w:val="22"/>
          <w:highlight w:val="none"/>
        </w:rPr>
        <w:t>6.2投标人提交的资格证明材料无法证明其符合招标文件规定的“投标人资格要求”的，招标人或</w:t>
      </w:r>
      <w:r>
        <w:rPr>
          <w:rFonts w:hint="eastAsia" w:ascii="新宋体" w:hAnsi="新宋体" w:eastAsia="新宋体" w:cs="新宋体"/>
          <w:b/>
          <w:color w:val="auto"/>
          <w:sz w:val="22"/>
          <w:szCs w:val="22"/>
          <w:highlight w:val="none"/>
          <w:lang w:eastAsia="zh-CN"/>
        </w:rPr>
        <w:t>招标代理机构</w:t>
      </w:r>
      <w:r>
        <w:rPr>
          <w:rFonts w:hint="eastAsia" w:ascii="新宋体" w:hAnsi="新宋体" w:eastAsia="新宋体" w:cs="新宋体"/>
          <w:b/>
          <w:color w:val="auto"/>
          <w:kern w:val="0"/>
          <w:sz w:val="22"/>
          <w:szCs w:val="22"/>
          <w:highlight w:val="none"/>
        </w:rPr>
        <w:t>将对其作资格审查不通过处理（无效投标），并不再将其投标提交评标委员会进行后续评审。</w:t>
      </w:r>
    </w:p>
    <w:p w14:paraId="7121A8F3">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6</w:t>
      </w:r>
      <w:r>
        <w:rPr>
          <w:rFonts w:hint="eastAsia" w:ascii="新宋体" w:hAnsi="新宋体" w:eastAsia="新宋体" w:cs="新宋体"/>
          <w:b/>
          <w:color w:val="auto"/>
          <w:kern w:val="0"/>
          <w:sz w:val="22"/>
          <w:szCs w:val="22"/>
          <w:highlight w:val="none"/>
        </w:rPr>
        <w:t>.3单位负责人为同一人或者存在直接控股、管理关系的不同投标人参加同一合同项下的政府采购活动的，相关投标人均作资格无效处理。</w:t>
      </w:r>
    </w:p>
    <w:p w14:paraId="3AD233B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7、评标委员按照招标文件中规定的评标方法和标准，对投标文件进行商务和技术评估，综合比较与评价。</w:t>
      </w:r>
    </w:p>
    <w:p w14:paraId="3850D855">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u w:val="single"/>
        </w:rPr>
        <w:t>8、投标人存在下列情况之一的，投标无效：</w:t>
      </w:r>
    </w:p>
    <w:p w14:paraId="7759EC0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 投标文件未按招标文件要求签署、盖章的；</w:t>
      </w:r>
    </w:p>
    <w:p w14:paraId="18155B1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（2） 不具备招标文件中规定的资格要求的； </w:t>
      </w:r>
    </w:p>
    <w:p w14:paraId="23FACA2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 明显不符合招标文件中主要技术规格、技术标准的；</w:t>
      </w:r>
    </w:p>
    <w:p w14:paraId="2CB85AA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 “</w:t>
      </w:r>
      <w:r>
        <w:rPr>
          <w:rFonts w:hint="eastAsia" w:ascii="新宋体" w:hAnsi="新宋体" w:eastAsia="新宋体" w:cs="新宋体"/>
          <w:color w:val="auto"/>
          <w:sz w:val="22"/>
          <w:szCs w:val="22"/>
          <w:highlight w:val="none"/>
        </w:rPr>
        <w:t>▲</w:t>
      </w:r>
      <w:r>
        <w:rPr>
          <w:rFonts w:hint="eastAsia" w:ascii="新宋体" w:hAnsi="新宋体" w:eastAsia="新宋体" w:cs="新宋体"/>
          <w:bCs/>
          <w:color w:val="auto"/>
          <w:sz w:val="22"/>
          <w:szCs w:val="22"/>
          <w:highlight w:val="none"/>
        </w:rPr>
        <w:t>”标记条款负偏离或不响应的；</w:t>
      </w:r>
    </w:p>
    <w:p w14:paraId="184F368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（5） 投标文件内容不全或关键字迹模糊无法辨认的；</w:t>
      </w:r>
    </w:p>
    <w:p w14:paraId="314728A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（6） 投标人代表没有法定代表人合法、有效委托的；</w:t>
      </w:r>
    </w:p>
    <w:p w14:paraId="5A7563D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（7） 报价超过招标文件中规定的预算金额或者最高限价的；</w:t>
      </w:r>
    </w:p>
    <w:p w14:paraId="3D03294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 投标文件存在一个或一个以上备选（替代）投标方案的；</w:t>
      </w:r>
    </w:p>
    <w:p w14:paraId="703E400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t>（9） 仅提交“备份投标文件”的；</w:t>
      </w:r>
    </w:p>
    <w:p w14:paraId="4078F99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（10）投标文件含有招标人不能接受的附加条件的；</w:t>
      </w:r>
    </w:p>
    <w:p w14:paraId="7BA62AC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lang w:val="en-US" w:eastAsia="zh-CN"/>
        </w:rPr>
        <w:t>11</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
          <w:bCs w:val="0"/>
          <w:color w:val="auto"/>
          <w:sz w:val="22"/>
          <w:szCs w:val="22"/>
          <w:highlight w:val="none"/>
          <w:lang w:eastAsia="zh-CN"/>
        </w:rPr>
        <w:t>如为联合体投标，未提供有效的联合体共同投标协议书的</w:t>
      </w:r>
      <w:r>
        <w:rPr>
          <w:rFonts w:hint="eastAsia" w:ascii="新宋体" w:hAnsi="新宋体" w:eastAsia="新宋体" w:cs="新宋体"/>
          <w:bCs/>
          <w:color w:val="auto"/>
          <w:sz w:val="22"/>
          <w:szCs w:val="22"/>
          <w:highlight w:val="none"/>
        </w:rPr>
        <w:t>；</w:t>
      </w:r>
    </w:p>
    <w:p w14:paraId="476A1F3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r>
        <w:rPr>
          <w:rFonts w:hint="eastAsia" w:ascii="新宋体" w:hAnsi="新宋体" w:eastAsia="新宋体" w:cs="新宋体"/>
          <w:bCs/>
          <w:color w:val="auto"/>
          <w:sz w:val="22"/>
          <w:szCs w:val="22"/>
          <w:highlight w:val="none"/>
          <w:lang w:val="en-US" w:eastAsia="zh-CN"/>
        </w:rPr>
        <w:t>2</w:t>
      </w:r>
      <w:r>
        <w:rPr>
          <w:rFonts w:hint="eastAsia" w:ascii="新宋体" w:hAnsi="新宋体" w:eastAsia="新宋体" w:cs="新宋体"/>
          <w:bCs/>
          <w:color w:val="auto"/>
          <w:sz w:val="22"/>
          <w:szCs w:val="22"/>
          <w:highlight w:val="none"/>
        </w:rPr>
        <w:t>）法律、法规和招标文件规定的其他无效情形。</w:t>
      </w:r>
    </w:p>
    <w:p w14:paraId="1475C053">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9、有下列情形之一的，视为投标人串通投标，其投标无效</w:t>
      </w:r>
    </w:p>
    <w:p w14:paraId="7A2FC0B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（1）不同投标人的投标文件由同一单位或者个人编制；</w:t>
      </w:r>
    </w:p>
    <w:p w14:paraId="19489E1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（2）不同投标人委托同一单位或者个人办理投标事宜；</w:t>
      </w:r>
    </w:p>
    <w:p w14:paraId="68A32CA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（3）不同投标人的投标文件载明的项目管理成员或者联系人员为同一人；</w:t>
      </w:r>
    </w:p>
    <w:p w14:paraId="11FB76C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（4）不同投标人的投标文件异常一致或者投标报价呈规律性差异；</w:t>
      </w:r>
    </w:p>
    <w:p w14:paraId="0BB8AF9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（5）不同投标人的投标文件相互混装</w:t>
      </w:r>
      <w:r>
        <w:rPr>
          <w:rFonts w:hint="eastAsia" w:ascii="新宋体" w:hAnsi="新宋体" w:eastAsia="新宋体" w:cs="新宋体"/>
          <w:color w:val="auto"/>
          <w:sz w:val="22"/>
          <w:szCs w:val="22"/>
          <w:highlight w:val="none"/>
          <w:lang w:eastAsia="zh-CN"/>
        </w:rPr>
        <w:t>；</w:t>
      </w:r>
    </w:p>
    <w:p w14:paraId="6D707D18">
      <w:pPr>
        <w:tabs>
          <w:tab w:val="left" w:pos="360"/>
        </w:tabs>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不同投标</w:t>
      </w:r>
      <w:r>
        <w:rPr>
          <w:rFonts w:hint="eastAsia" w:ascii="新宋体" w:hAnsi="新宋体" w:eastAsia="新宋体" w:cs="新宋体"/>
          <w:color w:val="auto"/>
          <w:sz w:val="22"/>
          <w:szCs w:val="22"/>
          <w:highlight w:val="none"/>
          <w:lang w:val="en-US" w:eastAsia="zh-CN"/>
        </w:rPr>
        <w:t>人</w:t>
      </w:r>
      <w:r>
        <w:rPr>
          <w:rFonts w:hint="eastAsia" w:ascii="新宋体" w:hAnsi="新宋体" w:eastAsia="新宋体" w:cs="新宋体"/>
          <w:color w:val="auto"/>
          <w:sz w:val="22"/>
          <w:szCs w:val="22"/>
          <w:highlight w:val="none"/>
        </w:rPr>
        <w:t>的 IP、MAC、硬件信息相同、响应文件细节错误一致且无合理解释等情形</w:t>
      </w:r>
      <w:r>
        <w:rPr>
          <w:rFonts w:hint="eastAsia" w:ascii="新宋体" w:hAnsi="新宋体" w:eastAsia="新宋体" w:cs="新宋体"/>
          <w:color w:val="auto"/>
          <w:sz w:val="22"/>
          <w:szCs w:val="22"/>
          <w:highlight w:val="none"/>
          <w:lang w:eastAsia="zh-CN"/>
        </w:rPr>
        <w:t>；</w:t>
      </w:r>
    </w:p>
    <w:p w14:paraId="22D177E7">
      <w:pPr>
        <w:tabs>
          <w:tab w:val="left" w:pos="360"/>
        </w:tabs>
        <w:spacing w:line="460" w:lineRule="exact"/>
        <w:ind w:firstLine="440"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不同</w:t>
      </w:r>
      <w:r>
        <w:rPr>
          <w:rFonts w:hint="eastAsia" w:ascii="新宋体" w:hAnsi="新宋体" w:eastAsia="新宋体" w:cs="新宋体"/>
          <w:color w:val="auto"/>
          <w:sz w:val="22"/>
          <w:szCs w:val="22"/>
          <w:highlight w:val="none"/>
          <w:lang w:val="en-US" w:eastAsia="zh-CN"/>
        </w:rPr>
        <w:t>投标人</w:t>
      </w:r>
      <w:r>
        <w:rPr>
          <w:rFonts w:hint="eastAsia" w:ascii="新宋体" w:hAnsi="新宋体" w:eastAsia="新宋体" w:cs="新宋体"/>
          <w:color w:val="auto"/>
          <w:sz w:val="22"/>
          <w:szCs w:val="22"/>
          <w:highlight w:val="none"/>
        </w:rPr>
        <w:t>的电子投标(响应)文件上传时的手机号信息相同且无法合理解释的。</w:t>
      </w:r>
    </w:p>
    <w:p w14:paraId="1EB18D36">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10、投标文件报价出现前后不一致的，按照下列规定修正：</w:t>
      </w:r>
    </w:p>
    <w:p w14:paraId="465D999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（1）系统上传的投标文件中开标一览表（报价表）（加盖公章）内容与投标文件中相应内容不一致的，以系统上传的投标文件中开标一览表（报价表）（加盖公章）为准；</w:t>
      </w:r>
    </w:p>
    <w:p w14:paraId="0F7DDBE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（2）大写金额和小写金额不一致的，以大写金额为准；</w:t>
      </w:r>
    </w:p>
    <w:p w14:paraId="2A94DC6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（3）单价金额小数点或者百分比有明显错位的，以开标一览表的总价为准，并修改单价；</w:t>
      </w:r>
    </w:p>
    <w:p w14:paraId="7AA1F27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（4）总价金额与按单价汇总金额不一致的，以单价金额计算结果为准。</w:t>
      </w:r>
    </w:p>
    <w:p w14:paraId="7424200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同时出现两种以上不一致的，按照前款规定的顺序修正。修正后的报价按照本小节第12条第12.2款的规定经投标人确认后产生约束力，投标人不确认的，其投标无效。</w:t>
      </w:r>
    </w:p>
    <w:p w14:paraId="3088D20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11、标委员会成员对需要共同认定的事项存在争议的，应当按照少数服从多数的原则作出结论。持不同意见的评标委员会成员应当在评标报告上签署不同意见及理由，否则视为同意评标报告。</w:t>
      </w:r>
    </w:p>
    <w:p w14:paraId="3E43A4F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12、投标文件的澄清</w:t>
      </w:r>
    </w:p>
    <w:p w14:paraId="3FD95F2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12.1在评标期间，评标委员会可要求投标人对于投标文件中含义不明确、同类问题表述不一致或者有明显文字和计算错误的内容，评标委员会应当以书面形式（或通过“</w:t>
      </w:r>
      <w:r>
        <w:rPr>
          <w:rFonts w:hint="eastAsia" w:ascii="新宋体" w:hAnsi="新宋体" w:eastAsia="新宋体" w:cs="新宋体"/>
          <w:bCs/>
          <w:color w:val="auto"/>
          <w:sz w:val="22"/>
          <w:szCs w:val="22"/>
          <w:highlight w:val="none"/>
          <w:lang w:eastAsia="zh-CN"/>
        </w:rPr>
        <w:t>乐采云平台</w:t>
      </w:r>
      <w:r>
        <w:rPr>
          <w:rFonts w:hint="eastAsia" w:ascii="新宋体" w:hAnsi="新宋体" w:eastAsia="新宋体" w:cs="新宋体"/>
          <w:bCs/>
          <w:color w:val="auto"/>
          <w:sz w:val="22"/>
          <w:szCs w:val="22"/>
          <w:highlight w:val="none"/>
        </w:rPr>
        <w:t>”在线询标）要求投标人在规定的时间内作出必要的澄清、说明或者补正。投标人澄清、说明或补正时间按系统规定时间。</w:t>
      </w:r>
    </w:p>
    <w:p w14:paraId="6CC8BBC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12.2投标人的澄清、说明或者补正应当采用书面形式（或通过“</w:t>
      </w:r>
      <w:r>
        <w:rPr>
          <w:rFonts w:hint="eastAsia" w:ascii="新宋体" w:hAnsi="新宋体" w:eastAsia="新宋体" w:cs="新宋体"/>
          <w:bCs/>
          <w:color w:val="auto"/>
          <w:sz w:val="22"/>
          <w:szCs w:val="22"/>
          <w:highlight w:val="none"/>
          <w:lang w:eastAsia="zh-CN"/>
        </w:rPr>
        <w:t>乐采云平台</w:t>
      </w:r>
      <w:r>
        <w:rPr>
          <w:rFonts w:hint="eastAsia" w:ascii="新宋体" w:hAnsi="新宋体" w:eastAsia="新宋体" w:cs="新宋体"/>
          <w:bCs/>
          <w:color w:val="auto"/>
          <w:sz w:val="22"/>
          <w:szCs w:val="22"/>
          <w:highlight w:val="none"/>
        </w:rPr>
        <w:t>”在线答复），并加盖公章，或者由法定代表人或其授权的代表签字。投标人的澄清、说明或者补正不得超出投标文件的范围或者改变投标文件的实质性内容。</w:t>
      </w:r>
    </w:p>
    <w:p w14:paraId="43FD552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拒不按要求对其投标文件进行澄清，说明或补正的投标人，评标委员会可以否决其投标。</w:t>
      </w:r>
    </w:p>
    <w:p w14:paraId="489F2E7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12.2</w:t>
      </w:r>
      <w:r>
        <w:rPr>
          <w:rFonts w:hint="eastAsia" w:ascii="新宋体" w:hAnsi="新宋体" w:eastAsia="新宋体" w:cs="新宋体"/>
          <w:b/>
          <w:color w:val="auto"/>
          <w:sz w:val="22"/>
          <w:szCs w:val="22"/>
          <w:highlight w:val="none"/>
        </w:rPr>
        <w:t>经澄清后，若偏差仍存在，且不可接受，投标人则被认为是“没有实质性响应招标文件要求”，其投标将被拒绝。</w:t>
      </w:r>
    </w:p>
    <w:p w14:paraId="22D3185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13、评审结果的修改</w:t>
      </w:r>
    </w:p>
    <w:p w14:paraId="3966D293">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13.1评标结果汇总完成后，除下列情形外，任何人不得修改评标结果：</w:t>
      </w:r>
    </w:p>
    <w:p w14:paraId="5778123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（1）分值汇总计算错误的；</w:t>
      </w:r>
    </w:p>
    <w:p w14:paraId="5955EB4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（2）分项评分超出评分标准范围的；</w:t>
      </w:r>
    </w:p>
    <w:p w14:paraId="79BBF25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（3）评标委员会成员对客观评审因素评分不一致的；</w:t>
      </w:r>
    </w:p>
    <w:p w14:paraId="019D12B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（4）经评标委员会认定评分畸高、畸低的。</w:t>
      </w:r>
    </w:p>
    <w:p w14:paraId="25E77E6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13.2书面评标报告签署前，经复核发现存在以上情形之一的，评标委员会将当场修改评标结果，并在</w:t>
      </w:r>
      <w:r>
        <w:rPr>
          <w:rFonts w:hint="eastAsia" w:ascii="新宋体" w:hAnsi="新宋体" w:eastAsia="新宋体" w:cs="新宋体"/>
          <w:b/>
          <w:color w:val="auto"/>
          <w:sz w:val="22"/>
          <w:szCs w:val="22"/>
          <w:highlight w:val="none"/>
        </w:rPr>
        <w:t>评标报告中记载。</w:t>
      </w:r>
    </w:p>
    <w:p w14:paraId="04651BD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14</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336C84A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14.1由评标委员会确定中标候选人。</w:t>
      </w:r>
    </w:p>
    <w:p w14:paraId="5E07718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14:paraId="33C9646E">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15、确定中标人</w:t>
      </w:r>
    </w:p>
    <w:p w14:paraId="3863A78C">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en-US" w:eastAsia="zh-CN"/>
        </w:rPr>
        <w:t>15</w:t>
      </w:r>
      <w:r>
        <w:rPr>
          <w:rFonts w:hint="eastAsia" w:ascii="新宋体" w:hAnsi="新宋体" w:eastAsia="新宋体" w:cs="新宋体"/>
          <w:b/>
          <w:bCs/>
          <w:color w:val="auto"/>
          <w:sz w:val="22"/>
          <w:szCs w:val="22"/>
          <w:highlight w:val="none"/>
        </w:rPr>
        <w:t>.1招标人按照评标报告中推荐的中标候选供应商顺序确定中标人；也可以事先授权评标委员会按照推荐的中标候选供应商顺序直接确定中标人。中标候选人并列的，由评标委员会全体成员记名投票按少数服从多数的原则确定排名。</w:t>
      </w:r>
    </w:p>
    <w:p w14:paraId="4C73196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15</w:t>
      </w:r>
      <w:r>
        <w:rPr>
          <w:rFonts w:hint="eastAsia" w:ascii="新宋体" w:hAnsi="新宋体" w:eastAsia="新宋体" w:cs="新宋体"/>
          <w:color w:val="auto"/>
          <w:sz w:val="22"/>
          <w:szCs w:val="22"/>
          <w:highlight w:val="none"/>
        </w:rPr>
        <w:t>.2如中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中标人或重新组织招标。</w:t>
      </w:r>
    </w:p>
    <w:p w14:paraId="5DD610F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16、起草、签署评审报告</w:t>
      </w:r>
    </w:p>
    <w:p w14:paraId="4B477CF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评审结束后，评标委员会将通过“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”起草评审报告，评标委员会成员应当在评审报告上签字，对自己的评审意见承担法律责任。对评审报告有异议的，应当在评审报告上签署不同意见，并说明理由，否则视为同意评审报告。</w:t>
      </w:r>
    </w:p>
    <w:p w14:paraId="6514501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成交投标人确定后，招标人将在政府指定媒体公告中标结果，招标人向成交投标人发出中标通知书。</w:t>
      </w:r>
    </w:p>
    <w:p w14:paraId="56F3BF32">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18、招</w:t>
      </w:r>
      <w:r>
        <w:rPr>
          <w:rFonts w:hint="eastAsia" w:ascii="新宋体" w:hAnsi="新宋体" w:eastAsia="新宋体" w:cs="新宋体"/>
          <w:b/>
          <w:color w:val="auto"/>
          <w:sz w:val="22"/>
          <w:szCs w:val="22"/>
          <w:highlight w:val="none"/>
        </w:rPr>
        <w:t>标人对决标结果不做任何解释，也不保证最低价中标。</w:t>
      </w:r>
    </w:p>
    <w:p w14:paraId="0C8D3EB0">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19、评标细则详见“评标原则及方法”。</w:t>
      </w:r>
    </w:p>
    <w:p w14:paraId="5B937401">
      <w:pPr>
        <w:spacing w:before="100" w:beforeAutospacing="1" w:after="100" w:afterAutospacing="1" w:line="440" w:lineRule="exact"/>
        <w:jc w:val="center"/>
        <w:outlineLvl w:val="2"/>
        <w:rPr>
          <w:rFonts w:hint="eastAsia" w:ascii="新宋体" w:hAnsi="新宋体" w:eastAsia="新宋体" w:cs="新宋体"/>
          <w:b/>
          <w:bCs/>
          <w:color w:val="auto"/>
          <w:sz w:val="26"/>
          <w:szCs w:val="26"/>
          <w:highlight w:val="none"/>
        </w:rPr>
      </w:pPr>
      <w:bookmarkStart w:id="20" w:name="_Toc28976"/>
      <w:r>
        <w:rPr>
          <w:rFonts w:hint="eastAsia" w:ascii="新宋体" w:hAnsi="新宋体" w:eastAsia="新宋体" w:cs="新宋体"/>
          <w:b/>
          <w:bCs/>
          <w:color w:val="auto"/>
          <w:sz w:val="26"/>
          <w:szCs w:val="26"/>
          <w:highlight w:val="none"/>
        </w:rPr>
        <w:t>六、 授予合同</w:t>
      </w:r>
      <w:bookmarkEnd w:id="20"/>
    </w:p>
    <w:p w14:paraId="28C769D9">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1、中标通知书</w:t>
      </w:r>
    </w:p>
    <w:p w14:paraId="2BDAC11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 xml:space="preserve">1.1成交投标人确定后，招标人将向成交投标人发出中标通知书。 </w:t>
      </w:r>
    </w:p>
    <w:p w14:paraId="3986322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1.2中标通知书是合同的一个组成部分，对招标人和成交投标人均具有同等法律效力。</w:t>
      </w:r>
    </w:p>
    <w:p w14:paraId="5218773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val="0"/>
          <w:bCs w:val="0"/>
          <w:color w:val="auto"/>
          <w:sz w:val="22"/>
          <w:highlight w:val="none"/>
        </w:rPr>
        <w:t>2、授标时更改</w:t>
      </w:r>
      <w:r>
        <w:rPr>
          <w:rFonts w:hint="eastAsia" w:ascii="新宋体" w:hAnsi="新宋体" w:eastAsia="新宋体" w:cs="新宋体"/>
          <w:color w:val="auto"/>
          <w:sz w:val="22"/>
          <w:highlight w:val="none"/>
        </w:rPr>
        <w:t>采购货物数量的权力</w:t>
      </w:r>
    </w:p>
    <w:p w14:paraId="5B838C0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2.1招标人在授予合同时有权对采购货物的数量和服务在一定幅度范围内予以增加或减少</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rPr>
        <w:t>但不得对单价和其他的条款和条件作任何改变。</w:t>
      </w:r>
    </w:p>
    <w:p w14:paraId="32AB01A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3、签订合同</w:t>
      </w:r>
    </w:p>
    <w:p w14:paraId="2A83E06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3.1成交投标人应按中标通知书规定的时间、地点与招标人签订合同。</w:t>
      </w:r>
    </w:p>
    <w:p w14:paraId="61A0171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3.2</w:t>
      </w:r>
      <w:r>
        <w:rPr>
          <w:rFonts w:hint="eastAsia" w:ascii="新宋体" w:hAnsi="新宋体" w:eastAsia="新宋体" w:cs="新宋体"/>
          <w:b/>
          <w:color w:val="auto"/>
          <w:spacing w:val="6"/>
          <w:sz w:val="22"/>
          <w:szCs w:val="22"/>
          <w:highlight w:val="none"/>
        </w:rPr>
        <w:t>在签订合同前，招标人有权在中标总价不变的前提下要求成交投标人对报价中的不平衡报价和缺漏项进行调整，如果成交投标人无合理理由拒绝调整，其中投标资格将被取消，保证金将不予退还，且将导致其它进一步的赔偿和处罚。</w:t>
      </w:r>
    </w:p>
    <w:p w14:paraId="6937B7C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3.3招标文件、成交投标人的投标文件、投标修改文件、评标过程中有关澄清文件及经投标人和评委双方签字的询标纪要和中标通知书均作为合同附件。</w:t>
      </w:r>
    </w:p>
    <w:p w14:paraId="36A7FBA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3.4拒签合同的违约责任</w:t>
      </w:r>
    </w:p>
    <w:p w14:paraId="145E660E">
      <w:pPr>
        <w:keepNext w:val="0"/>
        <w:keepLines w:val="0"/>
        <w:pageBreakBefore w:val="0"/>
        <w:widowControl w:val="0"/>
        <w:kinsoku/>
        <w:wordWrap/>
        <w:overflowPunct/>
        <w:topLinePunct w:val="0"/>
        <w:autoSpaceDE/>
        <w:autoSpaceDN/>
        <w:bidi w:val="0"/>
        <w:adjustRightInd/>
        <w:snapToGrid/>
        <w:spacing w:line="460" w:lineRule="exact"/>
        <w:ind w:firstLine="466" w:firstLineChars="200"/>
        <w:textAlignment w:val="auto"/>
        <w:rPr>
          <w:rFonts w:hint="eastAsia" w:ascii="新宋体" w:hAnsi="新宋体" w:eastAsia="新宋体" w:cs="新宋体"/>
          <w:b/>
          <w:color w:val="auto"/>
          <w:spacing w:val="6"/>
          <w:sz w:val="22"/>
          <w:szCs w:val="22"/>
          <w:highlight w:val="none"/>
        </w:rPr>
      </w:pPr>
      <w:r>
        <w:rPr>
          <w:rFonts w:hint="eastAsia" w:ascii="新宋体" w:hAnsi="新宋体" w:eastAsia="新宋体" w:cs="新宋体"/>
          <w:b/>
          <w:color w:val="auto"/>
          <w:spacing w:val="6"/>
          <w:sz w:val="22"/>
          <w:szCs w:val="22"/>
          <w:highlight w:val="none"/>
        </w:rPr>
        <w:t>成交投标人接到中标通知书后，在规定时间内借故否认已经承诺的条件而拒签合同的，以违约处理。</w:t>
      </w:r>
    </w:p>
    <w:p w14:paraId="1597A026">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4、质疑与投诉</w:t>
      </w:r>
    </w:p>
    <w:p w14:paraId="2D46677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p>
    <w:p w14:paraId="11F4563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同级采购监督管理部门投诉。</w:t>
      </w:r>
    </w:p>
    <w:p w14:paraId="0ABFFA3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14:paraId="6D90C8EE">
      <w:pPr>
        <w:pStyle w:val="24"/>
        <w:spacing w:line="460" w:lineRule="exact"/>
        <w:ind w:left="0" w:leftChars="0"/>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21" w:name="_Toc25260"/>
      <w:r>
        <w:rPr>
          <w:rFonts w:hint="eastAsia" w:ascii="新宋体" w:hAnsi="新宋体" w:eastAsia="新宋体" w:cs="新宋体"/>
          <w:b/>
          <w:color w:val="auto"/>
          <w:sz w:val="30"/>
          <w:highlight w:val="none"/>
        </w:rPr>
        <w:t>第二部分    合同主要条款</w:t>
      </w:r>
      <w:bookmarkEnd w:id="21"/>
    </w:p>
    <w:p w14:paraId="361F8D27">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注：如甲、乙双方同意，合同格式也可以按照其他形式</w:t>
      </w:r>
      <w:r>
        <w:rPr>
          <w:rFonts w:hint="eastAsia" w:ascii="新宋体" w:hAnsi="新宋体" w:eastAsia="新宋体" w:cs="新宋体"/>
          <w:b/>
          <w:color w:val="auto"/>
          <w:sz w:val="22"/>
          <w:szCs w:val="22"/>
          <w:highlight w:val="none"/>
          <w:lang w:eastAsia="zh-CN"/>
        </w:rPr>
        <w:t>，</w:t>
      </w:r>
      <w:r>
        <w:rPr>
          <w:rFonts w:hint="eastAsia" w:ascii="新宋体" w:hAnsi="新宋体" w:eastAsia="新宋体" w:cs="新宋体"/>
          <w:b/>
          <w:color w:val="auto"/>
          <w:sz w:val="22"/>
          <w:szCs w:val="22"/>
          <w:highlight w:val="none"/>
        </w:rPr>
        <w:t xml:space="preserve"> 具体条款以甲方为主协商确定。但合同条款的基本内容应与以下要求的内容相一致。</w:t>
      </w:r>
    </w:p>
    <w:p w14:paraId="79B8391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p>
    <w:p w14:paraId="0BA4681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招标人：</w:t>
      </w:r>
      <w:r>
        <w:rPr>
          <w:rFonts w:hint="eastAsia" w:ascii="新宋体" w:hAnsi="新宋体" w:eastAsia="新宋体" w:cs="新宋体"/>
          <w:bCs/>
          <w:color w:val="auto"/>
          <w:sz w:val="22"/>
          <w:szCs w:val="22"/>
          <w:highlight w:val="none"/>
          <w:lang w:eastAsia="zh-CN"/>
        </w:rPr>
        <w:t>温州市第七人民医院</w:t>
      </w:r>
      <w:r>
        <w:rPr>
          <w:rFonts w:hint="eastAsia" w:ascii="新宋体" w:hAnsi="新宋体" w:eastAsia="新宋体" w:cs="新宋体"/>
          <w:bCs/>
          <w:color w:val="auto"/>
          <w:sz w:val="22"/>
          <w:szCs w:val="22"/>
          <w:highlight w:val="none"/>
        </w:rPr>
        <w:t>（以下简称甲方）</w:t>
      </w:r>
    </w:p>
    <w:p w14:paraId="31473E3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中标人：</w:t>
      </w:r>
      <w:r>
        <w:rPr>
          <w:rFonts w:hint="eastAsia" w:ascii="新宋体" w:hAnsi="新宋体" w:eastAsia="新宋体" w:cs="新宋体"/>
          <w:bCs/>
          <w:color w:val="auto"/>
          <w:sz w:val="22"/>
          <w:szCs w:val="22"/>
          <w:highlight w:val="none"/>
          <w:u w:val="single"/>
        </w:rPr>
        <w:t xml:space="preserve">                         </w:t>
      </w:r>
      <w:r>
        <w:rPr>
          <w:rFonts w:hint="eastAsia" w:ascii="新宋体" w:hAnsi="新宋体" w:eastAsia="新宋体" w:cs="新宋体"/>
          <w:bCs/>
          <w:color w:val="auto"/>
          <w:sz w:val="22"/>
          <w:szCs w:val="22"/>
          <w:highlight w:val="none"/>
        </w:rPr>
        <w:t>（以下简称乙方）</w:t>
      </w:r>
    </w:p>
    <w:p w14:paraId="5544DBF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eastAsia="zh-CN"/>
        </w:rPr>
        <w:t>温州市第七人民医院</w:t>
      </w:r>
      <w:r>
        <w:rPr>
          <w:rFonts w:hint="eastAsia" w:ascii="新宋体" w:hAnsi="新宋体" w:eastAsia="新宋体" w:cs="新宋体"/>
          <w:bCs/>
          <w:color w:val="auto"/>
          <w:sz w:val="22"/>
          <w:szCs w:val="22"/>
          <w:highlight w:val="none"/>
        </w:rPr>
        <w:t>的</w:t>
      </w:r>
      <w:r>
        <w:rPr>
          <w:rFonts w:hint="eastAsia" w:ascii="新宋体" w:hAnsi="新宋体" w:eastAsia="新宋体" w:cs="新宋体"/>
          <w:bCs/>
          <w:color w:val="auto"/>
          <w:sz w:val="22"/>
          <w:szCs w:val="22"/>
          <w:highlight w:val="none"/>
          <w:u w:val="single"/>
        </w:rPr>
        <w:t xml:space="preserve">              </w:t>
      </w:r>
      <w:r>
        <w:rPr>
          <w:rFonts w:hint="eastAsia" w:ascii="新宋体" w:hAnsi="新宋体" w:eastAsia="新宋体" w:cs="新宋体"/>
          <w:bCs/>
          <w:color w:val="auto"/>
          <w:sz w:val="22"/>
          <w:szCs w:val="22"/>
          <w:highlight w:val="none"/>
        </w:rPr>
        <w:t>（项目名称、编号）在国内以公开招标人式进行招标，经评标委员会评定</w:t>
      </w:r>
      <w:r>
        <w:rPr>
          <w:rFonts w:hint="eastAsia" w:ascii="新宋体" w:hAnsi="新宋体" w:eastAsia="新宋体" w:cs="新宋体"/>
          <w:bCs/>
          <w:color w:val="auto"/>
          <w:sz w:val="22"/>
          <w:szCs w:val="22"/>
          <w:highlight w:val="none"/>
          <w:u w:val="single"/>
        </w:rPr>
        <w:t xml:space="preserve">                 </w:t>
      </w:r>
      <w:r>
        <w:rPr>
          <w:rFonts w:hint="eastAsia" w:ascii="新宋体" w:hAnsi="新宋体" w:eastAsia="新宋体" w:cs="新宋体"/>
          <w:bCs/>
          <w:color w:val="auto"/>
          <w:sz w:val="22"/>
          <w:szCs w:val="22"/>
          <w:highlight w:val="none"/>
        </w:rPr>
        <w:t>（中标人名称）为中标人。甲、乙双方本着诚信及互利互惠的原则，同意按照下面条款和条件，签署本合同。</w:t>
      </w:r>
    </w:p>
    <w:p w14:paraId="615ACE20">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一、本合同签订依据</w:t>
      </w:r>
    </w:p>
    <w:p w14:paraId="760407B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《中华人民共和国民法典》</w:t>
      </w:r>
    </w:p>
    <w:p w14:paraId="3D92371E">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二、合同文件的优先次序</w:t>
      </w:r>
    </w:p>
    <w:p w14:paraId="604ED78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合同文件如存在歧义或不一致则根据以下优先次序来判断：</w:t>
      </w:r>
    </w:p>
    <w:p w14:paraId="5F46A11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1、合同书及合同补充条款或说明 </w:t>
      </w:r>
    </w:p>
    <w:p w14:paraId="17A9B66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2、中标通知书</w:t>
      </w:r>
    </w:p>
    <w:p w14:paraId="5171B4A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3、承诺书（含询标记录和优惠条款）</w:t>
      </w:r>
    </w:p>
    <w:p w14:paraId="3E5D97C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4、投标文件</w:t>
      </w:r>
    </w:p>
    <w:p w14:paraId="0F91AE5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5、招标文件</w:t>
      </w:r>
    </w:p>
    <w:p w14:paraId="38C004AB">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三、承包内容和承包期限</w:t>
      </w:r>
    </w:p>
    <w:p w14:paraId="02C291C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1、主要服务内容包括：</w:t>
      </w:r>
      <w:r>
        <w:rPr>
          <w:rFonts w:hint="eastAsia" w:ascii="新宋体" w:hAnsi="新宋体" w:eastAsia="新宋体" w:cs="新宋体"/>
          <w:color w:val="auto"/>
          <w:spacing w:val="-4"/>
          <w:sz w:val="22"/>
          <w:szCs w:val="22"/>
          <w:highlight w:val="none"/>
        </w:rPr>
        <w:t>外送检验检测服务，包括但不限于提供标本运输服务、外送标本检验检测和质量控制等工作。</w:t>
      </w:r>
    </w:p>
    <w:p w14:paraId="209EC25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2、检验样本</w:t>
      </w:r>
    </w:p>
    <w:p w14:paraId="3613D4E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 样本的收集：</w:t>
      </w:r>
    </w:p>
    <w:p w14:paraId="60DCF7E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 甲方采集样本，并注明样本采集时间。</w:t>
      </w:r>
    </w:p>
    <w:p w14:paraId="37B4C01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 甲方应当在检验项目要求的规定时间内，按照规定的方式对其所采集的样本进行前处理和运送前存储。</w:t>
      </w:r>
    </w:p>
    <w:p w14:paraId="20A6605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3）甲方应确保向乙方提供完整的样本检验申请信息，包括患者基本信息、标本类型、项目名称、采样时间等，便于乙方提供适宜的检验和结果解释。</w:t>
      </w:r>
    </w:p>
    <w:p w14:paraId="24646A8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（2）样本的交付</w:t>
      </w:r>
      <w:r>
        <w:rPr>
          <w:rFonts w:hint="eastAsia" w:ascii="新宋体" w:hAnsi="新宋体" w:eastAsia="新宋体" w:cs="新宋体"/>
          <w:color w:val="auto"/>
          <w:sz w:val="22"/>
          <w:szCs w:val="22"/>
          <w:highlight w:val="none"/>
        </w:rPr>
        <w:t>及运送</w:t>
      </w:r>
      <w:r>
        <w:rPr>
          <w:rFonts w:hint="eastAsia" w:ascii="新宋体" w:hAnsi="新宋体" w:eastAsia="新宋体" w:cs="新宋体"/>
          <w:bCs/>
          <w:color w:val="auto"/>
          <w:sz w:val="22"/>
          <w:szCs w:val="22"/>
          <w:highlight w:val="none"/>
        </w:rPr>
        <w:t>：</w:t>
      </w:r>
      <w:r>
        <w:rPr>
          <w:rFonts w:hint="eastAsia" w:ascii="新宋体" w:hAnsi="新宋体" w:eastAsia="新宋体" w:cs="新宋体"/>
          <w:color w:val="auto"/>
          <w:sz w:val="22"/>
          <w:szCs w:val="22"/>
          <w:highlight w:val="none"/>
        </w:rPr>
        <w:t>乙方应每天派工作人员到甲方指定场所收取外送标本并负责运送，乙方提供运送的工具设施，确保样本在储存及运送过程中不发生变质的情况。</w:t>
      </w:r>
    </w:p>
    <w:p w14:paraId="59306CF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（3）样本的保存：</w:t>
      </w:r>
    </w:p>
    <w:p w14:paraId="1DB5158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rPr>
        <w:t>1）乙方应当按照国家及行业标准对样本进行保存，检验类原始样本保存7天</w:t>
      </w:r>
      <w:r>
        <w:rPr>
          <w:rFonts w:hint="eastAsia" w:ascii="新宋体" w:hAnsi="新宋体" w:eastAsia="新宋体" w:cs="新宋体"/>
          <w:bCs/>
          <w:color w:val="auto"/>
          <w:sz w:val="22"/>
          <w:szCs w:val="22"/>
          <w:highlight w:val="none"/>
          <w:lang w:eastAsia="zh-CN"/>
        </w:rPr>
        <w:t>。</w:t>
      </w:r>
    </w:p>
    <w:p w14:paraId="517644B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2）由于样本本身特性不能达到此保存期限，或按照此期限进行样本保存无意义时，不适用前款保存期限的规定。</w:t>
      </w:r>
    </w:p>
    <w:p w14:paraId="755BCC0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3、检验报告</w:t>
      </w:r>
    </w:p>
    <w:p w14:paraId="2204352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（1）检验报告的交付时间： </w:t>
      </w:r>
    </w:p>
    <w:p w14:paraId="7182668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（2）如乙方未能在前款约定的时间交付报告的，应以书面或电话的形式及时通知甲方。</w:t>
      </w:r>
    </w:p>
    <w:p w14:paraId="32A4197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（3）如甲方对乙方出具的检验结果有异议的，应在本协议</w:t>
      </w:r>
      <w:r>
        <w:rPr>
          <w:rFonts w:hint="eastAsia" w:ascii="新宋体" w:hAnsi="新宋体" w:eastAsia="新宋体" w:cs="新宋体"/>
          <w:bCs/>
          <w:color w:val="auto"/>
          <w:sz w:val="22"/>
          <w:szCs w:val="22"/>
          <w:highlight w:val="none"/>
          <w:lang w:eastAsia="zh-CN"/>
        </w:rPr>
        <w:t>第三条</w:t>
      </w:r>
      <w:r>
        <w:rPr>
          <w:rFonts w:hint="eastAsia" w:ascii="新宋体" w:hAnsi="新宋体" w:eastAsia="新宋体" w:cs="新宋体"/>
          <w:bCs/>
          <w:color w:val="auto"/>
          <w:sz w:val="22"/>
          <w:szCs w:val="22"/>
          <w:highlight w:val="none"/>
        </w:rPr>
        <w:t>承包内容和承包期限</w:t>
      </w:r>
      <w:r>
        <w:rPr>
          <w:rFonts w:hint="eastAsia" w:ascii="新宋体" w:hAnsi="新宋体" w:eastAsia="新宋体" w:cs="新宋体"/>
          <w:bCs/>
          <w:color w:val="auto"/>
          <w:sz w:val="22"/>
          <w:szCs w:val="22"/>
          <w:highlight w:val="none"/>
          <w:lang w:eastAsia="zh-CN"/>
        </w:rPr>
        <w:t>的</w:t>
      </w:r>
    </w:p>
    <w:p w14:paraId="1A2864D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val="en-US" w:eastAsia="zh-CN"/>
        </w:rPr>
        <w:t>2</w:t>
      </w:r>
      <w:r>
        <w:rPr>
          <w:rFonts w:hint="eastAsia" w:ascii="新宋体" w:hAnsi="新宋体" w:eastAsia="新宋体" w:cs="新宋体"/>
          <w:bCs/>
          <w:color w:val="auto"/>
          <w:sz w:val="22"/>
          <w:szCs w:val="22"/>
          <w:highlight w:val="none"/>
        </w:rPr>
        <w:t>.3.1条规定的样本保存期内提出。如在样本保存期内没有提出异议，视同甲方接受检验结果。</w:t>
      </w:r>
    </w:p>
    <w:p w14:paraId="72D9373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4、合同签订后</w:t>
      </w:r>
      <w:r>
        <w:rPr>
          <w:rFonts w:hint="eastAsia" w:ascii="新宋体" w:hAnsi="新宋体" w:eastAsia="新宋体" w:cs="新宋体"/>
          <w:color w:val="auto"/>
          <w:sz w:val="22"/>
          <w:szCs w:val="22"/>
          <w:highlight w:val="none"/>
          <w:lang w:eastAsia="zh-CN"/>
        </w:rPr>
        <w:t>合作期满</w:t>
      </w:r>
      <w:r>
        <w:rPr>
          <w:rFonts w:hint="eastAsia" w:ascii="新宋体" w:hAnsi="新宋体" w:eastAsia="新宋体" w:cs="新宋体"/>
          <w:color w:val="auto"/>
          <w:sz w:val="22"/>
          <w:szCs w:val="22"/>
          <w:highlight w:val="none"/>
        </w:rPr>
        <w:t>1年或</w:t>
      </w:r>
      <w:r>
        <w:rPr>
          <w:rFonts w:hint="eastAsia" w:ascii="新宋体" w:hAnsi="新宋体" w:eastAsia="新宋体" w:cs="新宋体"/>
          <w:color w:val="auto"/>
          <w:sz w:val="22"/>
          <w:szCs w:val="22"/>
          <w:highlight w:val="none"/>
          <w:lang w:eastAsia="zh-CN"/>
        </w:rPr>
        <w:t>实际检测服务金额</w:t>
      </w:r>
      <w:r>
        <w:rPr>
          <w:rFonts w:hint="eastAsia" w:ascii="新宋体" w:hAnsi="新宋体" w:eastAsia="新宋体" w:cs="新宋体"/>
          <w:color w:val="auto"/>
          <w:sz w:val="22"/>
          <w:szCs w:val="22"/>
          <w:highlight w:val="none"/>
        </w:rPr>
        <w:t>达到</w:t>
      </w:r>
      <w:r>
        <w:rPr>
          <w:rFonts w:hint="eastAsia" w:ascii="新宋体" w:hAnsi="新宋体" w:eastAsia="新宋体" w:cs="新宋体"/>
          <w:color w:val="auto"/>
          <w:sz w:val="22"/>
          <w:szCs w:val="22"/>
          <w:highlight w:val="none"/>
          <w:lang w:eastAsia="zh-CN"/>
        </w:rPr>
        <w:t>本项目</w:t>
      </w:r>
      <w:r>
        <w:rPr>
          <w:rFonts w:hint="eastAsia" w:ascii="新宋体" w:hAnsi="新宋体" w:eastAsia="新宋体" w:cs="新宋体"/>
          <w:color w:val="auto"/>
          <w:sz w:val="22"/>
          <w:szCs w:val="22"/>
          <w:highlight w:val="none"/>
        </w:rPr>
        <w:t>预算金额的，任一条件达到即视为合作期结束</w:t>
      </w:r>
      <w:r>
        <w:rPr>
          <w:rFonts w:hint="eastAsia" w:ascii="新宋体" w:hAnsi="新宋体" w:eastAsia="新宋体" w:cs="新宋体"/>
          <w:color w:val="auto"/>
          <w:sz w:val="22"/>
          <w:szCs w:val="22"/>
          <w:highlight w:val="none"/>
          <w:lang w:eastAsia="zh-CN"/>
        </w:rPr>
        <w:t>。</w:t>
      </w:r>
    </w:p>
    <w:p w14:paraId="1C08D9CD">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本项目预算为人民币</w:t>
      </w:r>
      <w:r>
        <w:rPr>
          <w:rFonts w:hint="eastAsia" w:ascii="新宋体" w:hAnsi="新宋体" w:eastAsia="新宋体" w:cs="新宋体"/>
          <w:b/>
          <w:color w:val="auto"/>
          <w:sz w:val="22"/>
          <w:szCs w:val="22"/>
          <w:highlight w:val="none"/>
          <w:lang w:val="en-US" w:eastAsia="zh-CN"/>
        </w:rPr>
        <w:t>壹拾伍万</w:t>
      </w:r>
      <w:r>
        <w:rPr>
          <w:rFonts w:hint="eastAsia" w:ascii="新宋体" w:hAnsi="新宋体" w:eastAsia="新宋体" w:cs="新宋体"/>
          <w:b/>
          <w:color w:val="auto"/>
          <w:sz w:val="22"/>
          <w:szCs w:val="22"/>
          <w:highlight w:val="none"/>
        </w:rPr>
        <w:t>元整（¥</w:t>
      </w:r>
      <w:r>
        <w:rPr>
          <w:rFonts w:hint="eastAsia" w:ascii="新宋体" w:hAnsi="新宋体" w:eastAsia="新宋体" w:cs="新宋体"/>
          <w:b/>
          <w:color w:val="auto"/>
          <w:sz w:val="22"/>
          <w:szCs w:val="22"/>
          <w:highlight w:val="none"/>
          <w:lang w:val="en-US" w:eastAsia="zh-CN"/>
        </w:rPr>
        <w:t>15</w:t>
      </w:r>
      <w:r>
        <w:rPr>
          <w:rFonts w:hint="eastAsia" w:ascii="新宋体" w:hAnsi="新宋体" w:eastAsia="新宋体" w:cs="新宋体"/>
          <w:b/>
          <w:color w:val="auto"/>
          <w:sz w:val="22"/>
          <w:szCs w:val="22"/>
          <w:highlight w:val="none"/>
        </w:rPr>
        <w:t>0000.00）。</w:t>
      </w:r>
    </w:p>
    <w:p w14:paraId="19DB2C23">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四、合同价格</w:t>
      </w:r>
    </w:p>
    <w:p w14:paraId="34B91BCD">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rPr>
        <w:t xml:space="preserve">1、折扣率 </w:t>
      </w:r>
      <w:r>
        <w:rPr>
          <w:rFonts w:hint="eastAsia" w:ascii="新宋体" w:hAnsi="新宋体" w:eastAsia="新宋体" w:cs="新宋体"/>
          <w:b/>
          <w:color w:val="auto"/>
          <w:sz w:val="22"/>
          <w:szCs w:val="22"/>
          <w:highlight w:val="none"/>
          <w:u w:val="single"/>
        </w:rPr>
        <w:t xml:space="preserve">          </w:t>
      </w:r>
      <w:r>
        <w:rPr>
          <w:rFonts w:hint="eastAsia" w:ascii="新宋体" w:hAnsi="新宋体" w:eastAsia="新宋体" w:cs="新宋体"/>
          <w:b/>
          <w:color w:val="auto"/>
          <w:sz w:val="22"/>
          <w:szCs w:val="22"/>
          <w:highlight w:val="none"/>
          <w:u w:val="single"/>
          <w:lang w:val="en-US" w:eastAsia="zh-CN"/>
        </w:rPr>
        <w:t>%</w:t>
      </w:r>
      <w:r>
        <w:rPr>
          <w:rFonts w:hint="eastAsia" w:ascii="新宋体" w:hAnsi="新宋体" w:eastAsia="新宋体" w:cs="新宋体"/>
          <w:b/>
          <w:color w:val="auto"/>
          <w:sz w:val="22"/>
          <w:szCs w:val="22"/>
          <w:highlight w:val="none"/>
          <w:u w:val="single"/>
        </w:rPr>
        <w:t>。</w:t>
      </w:r>
    </w:p>
    <w:p w14:paraId="1ACE363E">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2、折扣率指</w:t>
      </w:r>
      <w:r>
        <w:rPr>
          <w:rFonts w:hint="eastAsia" w:ascii="新宋体" w:hAnsi="新宋体" w:eastAsia="新宋体" w:cs="新宋体"/>
          <w:color w:val="auto"/>
          <w:sz w:val="22"/>
          <w:szCs w:val="22"/>
          <w:highlight w:val="none"/>
          <w:lang w:val="en-US" w:eastAsia="zh-CN"/>
        </w:rPr>
        <w:t>以</w:t>
      </w:r>
      <w:r>
        <w:rPr>
          <w:rFonts w:hint="eastAsia" w:ascii="新宋体" w:hAnsi="新宋体" w:eastAsia="新宋体" w:cs="新宋体"/>
          <w:color w:val="auto"/>
          <w:sz w:val="22"/>
          <w:szCs w:val="22"/>
          <w:highlight w:val="none"/>
          <w:lang w:eastAsia="zh-CN"/>
        </w:rPr>
        <w:t>《温州市公立医院医疗服务价格项目表》对应服务项目的收费标准为基准价</w:t>
      </w:r>
      <w:r>
        <w:rPr>
          <w:rFonts w:hint="eastAsia" w:ascii="新宋体" w:hAnsi="新宋体" w:eastAsia="新宋体" w:cs="新宋体"/>
          <w:b/>
          <w:color w:val="auto"/>
          <w:sz w:val="22"/>
          <w:szCs w:val="22"/>
          <w:highlight w:val="none"/>
        </w:rPr>
        <w:t>进行折扣。</w:t>
      </w:r>
    </w:p>
    <w:p w14:paraId="6F221529">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3、各项检验项目的检验费用单价：</w:t>
      </w:r>
      <w:r>
        <w:rPr>
          <w:rFonts w:hint="eastAsia" w:ascii="新宋体" w:hAnsi="新宋体" w:eastAsia="新宋体" w:cs="新宋体"/>
          <w:color w:val="auto"/>
          <w:sz w:val="22"/>
          <w:szCs w:val="22"/>
          <w:highlight w:val="none"/>
          <w:lang w:val="en-US" w:eastAsia="zh-CN"/>
        </w:rPr>
        <w:t>以</w:t>
      </w:r>
      <w:r>
        <w:rPr>
          <w:rFonts w:hint="eastAsia" w:ascii="新宋体" w:hAnsi="新宋体" w:eastAsia="新宋体" w:cs="新宋体"/>
          <w:color w:val="auto"/>
          <w:sz w:val="22"/>
          <w:szCs w:val="22"/>
          <w:highlight w:val="none"/>
          <w:lang w:eastAsia="zh-CN"/>
        </w:rPr>
        <w:t>《温州市公立医院医疗服务价格项目表》对应服务项目的收费标准为基准价</w:t>
      </w:r>
      <w:r>
        <w:rPr>
          <w:rFonts w:hint="eastAsia" w:ascii="新宋体" w:hAnsi="新宋体" w:eastAsia="新宋体" w:cs="新宋体"/>
          <w:b/>
          <w:bCs/>
          <w:color w:val="auto"/>
          <w:sz w:val="22"/>
          <w:szCs w:val="22"/>
          <w:highlight w:val="none"/>
        </w:rPr>
        <w:t>乘以折扣率为该项目检验最终检验费用单价。</w:t>
      </w:r>
    </w:p>
    <w:p w14:paraId="4A0202C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最终检验费用单价为固定综合单价。固定综合单价必须包括乙方在提供检验服务所需的一切人员的符合国家规定的工资、福利、各种加班费、误餐费、各种社会保险、食宿与交通、设备及工具、器材、服装、安全、管理费用、税费、利润、完成合同所需的一切本身和不可或缺的所有工作开支、政策性文件规定及合同包含的所有风险、责任等各项全部费用并承担一切风险责任。承包服务期限内固定综合单价不作任何调整。</w:t>
      </w:r>
    </w:p>
    <w:p w14:paraId="21A1BD3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乙方认为为完成本项目承包内容所需发生的直接成本、简接成本、利润、税金、政策性文件规定的费用、等一切费用、等一切费用均应计入合同价格;凡未列入的，将被认为均已包含在合同价格中，今后不得以任何理由追加或调整。</w:t>
      </w:r>
    </w:p>
    <w:p w14:paraId="4BD6275C">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b/>
          <w:color w:val="auto"/>
          <w:sz w:val="22"/>
          <w:szCs w:val="22"/>
          <w:highlight w:val="none"/>
        </w:rPr>
        <w:t>五、付款方式</w:t>
      </w:r>
    </w:p>
    <w:p w14:paraId="338BC0D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每季度结算一次，业务量的结算以结算周期内项目检测清单或外送标本登记的签收记录为准，按中标的投标报价（折扣率）与业务量及收费标准的乘积作为该季度外送检验费用。每个季度结束后的次月首日起 10个工作日内完成前一季度结算和付款。</w:t>
      </w:r>
    </w:p>
    <w:p w14:paraId="0BFA7A51">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六、甲方权利义务</w:t>
      </w:r>
    </w:p>
    <w:p w14:paraId="4032780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b/>
          <w:color w:val="auto"/>
          <w:sz w:val="22"/>
          <w:szCs w:val="22"/>
          <w:highlight w:val="none"/>
        </w:rPr>
        <w:t>如甲方院内开展合同内某个项目检测，则甲方有权单方面取消该项检测外送。</w:t>
      </w:r>
    </w:p>
    <w:p w14:paraId="3E526EA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2、若甲方有大批量体检样本需检验时，应提前</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天通知乙方，以便于乙方及时做好各项准备工作。</w:t>
      </w:r>
    </w:p>
    <w:p w14:paraId="02784F7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3、甲方应按本协议的约定向患者收取检验费，如甲方有漏收费的，不影响甲方向乙方支付检验服务费。</w:t>
      </w:r>
    </w:p>
    <w:p w14:paraId="0C78F91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4、甲方将乙方作为合同项目外送检验单位。</w:t>
      </w:r>
    </w:p>
    <w:p w14:paraId="4CF9BEE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5、甲方应针对部分检验结果对临床诊疗的危急程度，应明确危急值的报告部门或联系人：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、联系电话：</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w:t>
      </w:r>
    </w:p>
    <w:p w14:paraId="0AC0F03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6、依照规定，对需要传报项目的相关患者信息在规定时间内通报乙方。</w:t>
      </w:r>
    </w:p>
    <w:p w14:paraId="57E4875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7、本协议有效期内，甲方有义务对从乙方获悉的关于乙方的经营信息、技术信息等一切非公开的保密信息予以保密，保密期限为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年。未经乙方书面同意，甲方不得将上述信息泄露给任何第三方。</w:t>
      </w:r>
    </w:p>
    <w:p w14:paraId="4D778B4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8、甲方对乙方实验室进行每年一次的实地质量考核。</w:t>
      </w:r>
    </w:p>
    <w:p w14:paraId="6591166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实地质量考核中发现乙方存在以下情况，甲方有权终止合同：①、检验结果数据不真实（数据与原始结果不符或无原始结果）；②、项目无质量保证方案或未按方案执行；③、样本运输与中标方提供的样本运输文件不符；④、泄露委托方样本患者信息或隐私数据。</w:t>
      </w:r>
    </w:p>
    <w:p w14:paraId="73423DDB">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七、乙方权利义务</w:t>
      </w:r>
    </w:p>
    <w:p w14:paraId="4196944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1、乙方应保证自身的能力和资源能够满足甲方的委托检验需求，包括实验室人员的技能和专业知识，检验方法等。</w:t>
      </w:r>
    </w:p>
    <w:p w14:paraId="363A5CF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2、乙方保证检验、病理诊断结果准确可靠，乙方对检验结果负责，因检验结果问题引起的医疗纠纷，所有费用完全由中标方赔偿。</w:t>
      </w:r>
    </w:p>
    <w:p w14:paraId="56F5C60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3、如样本不符合检验要求的，乙方应及时与甲方沟通，不得收取相关费用。</w:t>
      </w:r>
    </w:p>
    <w:p w14:paraId="7D5F1FA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4、如乙方将部分检验项目转委托给其他实验室或外部顾问进行检验时，应得到甲方同意。</w:t>
      </w:r>
    </w:p>
    <w:p w14:paraId="4C2ED41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5、如乙方的检验项目、收费标准、检验报告交付时间等事项发生变更时，应及时向甲方报告变更内容。</w:t>
      </w:r>
    </w:p>
    <w:p w14:paraId="7954AA1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6、乙方可根据甲方需求，为甲方提供分析前样本的质量控制等相关内容的培训服务。</w:t>
      </w:r>
    </w:p>
    <w:p w14:paraId="0376613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7、乙方须针对甲方实地质量考核中的发现的不符合项进行整改并将整改情况以图文形式反馈回甲方。</w:t>
      </w:r>
    </w:p>
    <w:p w14:paraId="6D43E21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8、</w:t>
      </w:r>
      <w:r>
        <w:rPr>
          <w:rFonts w:hint="eastAsia" w:ascii="新宋体" w:hAnsi="新宋体" w:eastAsia="新宋体" w:cs="新宋体"/>
          <w:color w:val="auto"/>
          <w:kern w:val="0"/>
          <w:sz w:val="22"/>
          <w:szCs w:val="22"/>
          <w:highlight w:val="none"/>
        </w:rPr>
        <w:t>当甲方对乙方的检验结果有疑义或异议时，可要求乙方重新检验或再委托第三方检验。这种情况下所发生的费用，由责任方承担。</w:t>
      </w:r>
    </w:p>
    <w:p w14:paraId="3C14BA1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9、如乙方因各种规范性问题被行政监督部门惩罚，所产生的一切后果及损失，由乙方承担，对甲方造成的影响及损失，乙方需进行相应的赔偿。</w:t>
      </w:r>
    </w:p>
    <w:p w14:paraId="3788A494">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八、承包职责</w:t>
      </w:r>
    </w:p>
    <w:p w14:paraId="6B56D4A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1、乙方必须信守承包承诺，认真落实具有相应的固定服务人员，挂牌上岗并建立健全的管理制度。</w:t>
      </w:r>
    </w:p>
    <w:p w14:paraId="50ECEE3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2、乙方必须按甲方制订的服务标准，严格履行承包义务，为甲方提供专业、优质、高效的服务。并根据甲方要求改变不满意的状态，接受甲方的监督和检查。</w:t>
      </w:r>
    </w:p>
    <w:p w14:paraId="7614166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3、检验报告中的名词术语必须准确规范，不得使用俗语或外语译音。</w:t>
      </w:r>
    </w:p>
    <w:p w14:paraId="0ABD8D2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4、检验报告中的检验记录应具体详细，检验结论应精简明确。</w:t>
      </w:r>
    </w:p>
    <w:p w14:paraId="148B67D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在承包作业期间的各项服务，其工作时间应满足甲方的工作要求，包括星期天及公众假期，无论乙方有任何理由，均不得拖延、停止服务工作。甲方任何应提供方便或提高服务质量时，可要求乙方调整工作时间直至全天二十四小时工作。</w:t>
      </w:r>
    </w:p>
    <w:p w14:paraId="628B4E5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6、因工作需要，甲方临时向乙方提出服务的要求，乙方应全力配合，按照甲方提出标准及要求完成任何，不得无故拖延。</w:t>
      </w:r>
    </w:p>
    <w:p w14:paraId="005C530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7、乙方必须对员工发生的事故责任以及员工计生、身份、健康等承担责任；同时对员工在作业期间做出不良行为给甲方造成影响承担责任。</w:t>
      </w:r>
    </w:p>
    <w:p w14:paraId="66B48A4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8、乙方员工发生被媒体曝光或影响甲方公众形象或违反甲方规章制度造成不良影响，而由此产生的损失及消除影响产生的费用，由乙方全部承担；甲方根据事件的轻重，将保留扣除乙方的当月合同款0.1%~5%的权利</w:t>
      </w:r>
    </w:p>
    <w:p w14:paraId="1DB360F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9、公司的办公各类设施及费用、人员食宿、安全等均由乙方自行负责解决。</w:t>
      </w:r>
    </w:p>
    <w:p w14:paraId="675A35D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10、乙方须按政府各部门有关规定为乙方的每位员工交纳各种社会保险及相关费用。</w:t>
      </w:r>
    </w:p>
    <w:p w14:paraId="7149AF9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11、在承包期限内，乙方所有人员的安全事故由乙方自行全权负责，甲方不承担任何责任；</w:t>
      </w:r>
    </w:p>
    <w:p w14:paraId="5079F3B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除本次招标外送检测项目清单内容外，甲方因业务发展需求，要求新增同类检测项目，乙方须在符合《浙江省医疗服务价格目录》的基础上，按本合同的折扣率执行，纳入服务范围。合同年度添购资金总额不超过原合同采购金额百分之十。</w:t>
      </w:r>
    </w:p>
    <w:p w14:paraId="2C08E2FA">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lang w:eastAsia="zh-CN"/>
        </w:rPr>
        <w:t>九</w:t>
      </w:r>
      <w:r>
        <w:rPr>
          <w:rFonts w:hint="eastAsia" w:ascii="新宋体" w:hAnsi="新宋体" w:eastAsia="新宋体" w:cs="新宋体"/>
          <w:b/>
          <w:color w:val="auto"/>
          <w:sz w:val="22"/>
          <w:szCs w:val="22"/>
          <w:highlight w:val="none"/>
        </w:rPr>
        <w:t>、违约</w:t>
      </w:r>
      <w:r>
        <w:rPr>
          <w:rFonts w:hint="eastAsia" w:ascii="新宋体" w:hAnsi="新宋体" w:eastAsia="新宋体" w:cs="新宋体"/>
          <w:b/>
          <w:color w:val="auto"/>
          <w:sz w:val="22"/>
          <w:szCs w:val="22"/>
          <w:highlight w:val="none"/>
          <w:lang w:eastAsia="zh-CN"/>
        </w:rPr>
        <w:t>终</w:t>
      </w:r>
      <w:r>
        <w:rPr>
          <w:rFonts w:hint="eastAsia" w:ascii="新宋体" w:hAnsi="新宋体" w:eastAsia="新宋体" w:cs="新宋体"/>
          <w:b/>
          <w:color w:val="auto"/>
          <w:sz w:val="22"/>
          <w:szCs w:val="22"/>
          <w:highlight w:val="none"/>
        </w:rPr>
        <w:t>止合同及赔偿</w:t>
      </w:r>
    </w:p>
    <w:p w14:paraId="4BBE1AF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1、如乙方的检测服务发生质量问题，造成甲方向患者承担赔偿责任的，甲方有权向乙方追索该损失。</w:t>
      </w:r>
    </w:p>
    <w:p w14:paraId="0733634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2、如甲方未按本协议的约定按时支付检测服务费的，应当按日按应付款的万分之五支付违约金。</w:t>
      </w:r>
    </w:p>
    <w:p w14:paraId="170B9A6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3、甲方在乙方存在如下违约情况时，有权单方面终止全部或部分合同，并保留进一步追究乙方责任的权利（包括经济赔偿）。</w:t>
      </w:r>
    </w:p>
    <w:p w14:paraId="13A1EC4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（1）乙方未能履行合同规定的义务；</w:t>
      </w:r>
    </w:p>
    <w:p w14:paraId="69AD4F5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（2）有严重影响甲方的正常工作及形象。</w:t>
      </w:r>
    </w:p>
    <w:p w14:paraId="0573FCB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（3）与招标文件不符合的做法，或履行其投标文件的承诺。</w:t>
      </w:r>
    </w:p>
    <w:p w14:paraId="767A17E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4、乙方如要提前</w:t>
      </w:r>
      <w:r>
        <w:rPr>
          <w:rFonts w:hint="eastAsia" w:ascii="新宋体" w:hAnsi="新宋体" w:eastAsia="新宋体" w:cs="新宋体"/>
          <w:color w:val="auto"/>
          <w:sz w:val="22"/>
          <w:szCs w:val="22"/>
          <w:highlight w:val="none"/>
          <w:lang w:eastAsia="zh-CN"/>
        </w:rPr>
        <w:t>终</w:t>
      </w:r>
      <w:r>
        <w:rPr>
          <w:rFonts w:hint="eastAsia" w:ascii="新宋体" w:hAnsi="新宋体" w:eastAsia="新宋体" w:cs="新宋体"/>
          <w:color w:val="auto"/>
          <w:sz w:val="22"/>
          <w:szCs w:val="22"/>
          <w:highlight w:val="none"/>
        </w:rPr>
        <w:t>止合同，需提前3个月，并征得甲方同意，否则按合同执行。</w:t>
      </w:r>
    </w:p>
    <w:p w14:paraId="2FC490F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除不可抗力外以，如发生乙方不能履行合同义务，或甲方发生中途终止合同等情况，应及时以书面形式通知对方。甲乙双方应本着友好的态度进行协商，妥善解决。如协商无效，按下列规定计算并支付违约金：</w:t>
      </w:r>
    </w:p>
    <w:p w14:paraId="7938F1E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（1）乙方不能履行合同义务，履约保证金将不予退还。</w:t>
      </w:r>
    </w:p>
    <w:p w14:paraId="43E0201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（2）如乙方未能履行合同规定的任何一项义务，甲方均有权从履约保证金中得到补偿。</w:t>
      </w:r>
    </w:p>
    <w:p w14:paraId="4CAAE12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（3）甲方发生中途终止合同，应向乙方偿付违约金，违约金按未履行部分合同价格的2%计算。</w:t>
      </w:r>
    </w:p>
    <w:p w14:paraId="64BA192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（4）经双方协商可终止部分或全部合同的，无须承担违约责任。</w:t>
      </w:r>
    </w:p>
    <w:p w14:paraId="79D10BE4">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十、破产终止合同</w:t>
      </w:r>
    </w:p>
    <w:p w14:paraId="38BF1F98">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 xml:space="preserve"> 如果</w:t>
      </w:r>
      <w:r>
        <w:rPr>
          <w:rFonts w:hint="eastAsia" w:ascii="新宋体" w:hAnsi="新宋体" w:eastAsia="新宋体" w:cs="新宋体"/>
          <w:color w:val="auto"/>
          <w:sz w:val="22"/>
          <w:szCs w:val="22"/>
          <w:highlight w:val="none"/>
        </w:rPr>
        <w:t>乙方破产或无服务能力时，甲方可在任何时候以书面通知乙方终止合同。该终止合同将不损害或影响甲方已经采取或将要采取的补救措施的权利。</w:t>
      </w:r>
    </w:p>
    <w:p w14:paraId="546D9AC1">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十</w:t>
      </w:r>
      <w:r>
        <w:rPr>
          <w:rFonts w:hint="eastAsia" w:ascii="新宋体" w:hAnsi="新宋体" w:eastAsia="新宋体" w:cs="新宋体"/>
          <w:b/>
          <w:color w:val="auto"/>
          <w:sz w:val="22"/>
          <w:szCs w:val="22"/>
          <w:highlight w:val="none"/>
          <w:lang w:eastAsia="zh-CN"/>
        </w:rPr>
        <w:t>一</w:t>
      </w:r>
      <w:r>
        <w:rPr>
          <w:rFonts w:hint="eastAsia" w:ascii="新宋体" w:hAnsi="新宋体" w:eastAsia="新宋体" w:cs="新宋体"/>
          <w:b/>
          <w:color w:val="auto"/>
          <w:sz w:val="22"/>
          <w:szCs w:val="22"/>
          <w:highlight w:val="none"/>
        </w:rPr>
        <w:t>、仲裁</w:t>
      </w:r>
    </w:p>
    <w:p w14:paraId="4199C57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1、双方在执行合同中所发生的一切争议，应通过协商解决。如协商不成，应向甲方法定地址所在仲裁机构提交仲裁。</w:t>
      </w:r>
    </w:p>
    <w:p w14:paraId="6DFD768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2、在仲裁期间，除正在进行仲裁的部份外，本合同其他部份应继续执行。</w:t>
      </w:r>
    </w:p>
    <w:p w14:paraId="0D130A2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3、仲裁费用除仲裁机构另行有裁决外，由败诉方承担。</w:t>
      </w:r>
    </w:p>
    <w:p w14:paraId="7009F298">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十</w:t>
      </w:r>
      <w:r>
        <w:rPr>
          <w:rFonts w:hint="eastAsia" w:ascii="新宋体" w:hAnsi="新宋体" w:eastAsia="新宋体" w:cs="新宋体"/>
          <w:b/>
          <w:color w:val="auto"/>
          <w:sz w:val="22"/>
          <w:szCs w:val="22"/>
          <w:highlight w:val="none"/>
          <w:lang w:eastAsia="zh-CN"/>
        </w:rPr>
        <w:t>二</w:t>
      </w:r>
      <w:r>
        <w:rPr>
          <w:rFonts w:hint="eastAsia" w:ascii="新宋体" w:hAnsi="新宋体" w:eastAsia="新宋体" w:cs="新宋体"/>
          <w:b/>
          <w:color w:val="auto"/>
          <w:sz w:val="22"/>
          <w:szCs w:val="22"/>
          <w:highlight w:val="none"/>
        </w:rPr>
        <w:t>、合同生效及其他</w:t>
      </w:r>
    </w:p>
    <w:p w14:paraId="62858E4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1、合同经双方签字并加盖公章后生效。</w:t>
      </w:r>
    </w:p>
    <w:p w14:paraId="5779467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2、合同签定地点：合同执行地。</w:t>
      </w:r>
    </w:p>
    <w:p w14:paraId="000406E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3、合同执行中，如需修改或补充合同内容，经协商，双方应签署书面修改或补充协议。该协议将作为合同不可分割的一部分。</w:t>
      </w:r>
    </w:p>
    <w:p w14:paraId="4EAB1116">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十</w:t>
      </w:r>
      <w:r>
        <w:rPr>
          <w:rFonts w:hint="eastAsia" w:ascii="新宋体" w:hAnsi="新宋体" w:eastAsia="新宋体" w:cs="新宋体"/>
          <w:b/>
          <w:color w:val="auto"/>
          <w:sz w:val="22"/>
          <w:szCs w:val="22"/>
          <w:highlight w:val="none"/>
          <w:lang w:eastAsia="zh-CN"/>
        </w:rPr>
        <w:t>三</w:t>
      </w:r>
      <w:r>
        <w:rPr>
          <w:rFonts w:hint="eastAsia" w:ascii="新宋体" w:hAnsi="新宋体" w:eastAsia="新宋体" w:cs="新宋体"/>
          <w:b/>
          <w:color w:val="auto"/>
          <w:sz w:val="22"/>
          <w:szCs w:val="22"/>
          <w:highlight w:val="none"/>
        </w:rPr>
        <w:t>、其它</w:t>
      </w:r>
    </w:p>
    <w:p w14:paraId="6F8A864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1、招标文件、补充文件、投标文件及答疑纪要、中标通知书等作为本合同的附件，与本合同具有同等法律效力。</w:t>
      </w:r>
    </w:p>
    <w:p w14:paraId="25F8662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2、本合同一式五份，双方各执二份，双方签字盖章后生效，违约及其处罚按经济合同法及本合同有关条款执行。</w:t>
      </w:r>
      <w:r>
        <w:rPr>
          <w:rFonts w:hint="eastAsia" w:ascii="新宋体" w:hAnsi="新宋体" w:eastAsia="新宋体" w:cs="新宋体"/>
          <w:b/>
          <w:color w:val="auto"/>
          <w:sz w:val="22"/>
          <w:szCs w:val="22"/>
          <w:highlight w:val="none"/>
        </w:rPr>
        <w:t>一份送招标代理公司备案。</w:t>
      </w:r>
    </w:p>
    <w:p w14:paraId="619A112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3、以上协议未尽之处，双方协商解决。</w:t>
      </w:r>
    </w:p>
    <w:p w14:paraId="2FAEB4F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lang w:val="en-GB"/>
        </w:rPr>
      </w:pPr>
      <w:r>
        <w:rPr>
          <w:rFonts w:hint="eastAsia" w:ascii="新宋体" w:hAnsi="新宋体" w:eastAsia="新宋体" w:cs="新宋体"/>
          <w:bCs/>
          <w:color w:val="auto"/>
          <w:sz w:val="22"/>
          <w:szCs w:val="22"/>
          <w:highlight w:val="none"/>
          <w:lang w:val="en-GB"/>
        </w:rPr>
        <w:t xml:space="preserve">甲方：（盖章）             </w:t>
      </w:r>
      <w:r>
        <w:rPr>
          <w:rFonts w:hint="eastAsia" w:ascii="新宋体" w:hAnsi="新宋体" w:eastAsia="新宋体" w:cs="新宋体"/>
          <w:bCs/>
          <w:color w:val="auto"/>
          <w:sz w:val="22"/>
          <w:szCs w:val="22"/>
          <w:highlight w:val="none"/>
        </w:rPr>
        <w:t xml:space="preserve">       </w:t>
      </w:r>
      <w:r>
        <w:rPr>
          <w:rFonts w:hint="eastAsia" w:ascii="新宋体" w:hAnsi="新宋体" w:eastAsia="新宋体" w:cs="新宋体"/>
          <w:bCs/>
          <w:color w:val="auto"/>
          <w:sz w:val="22"/>
          <w:szCs w:val="22"/>
          <w:highlight w:val="none"/>
          <w:lang w:val="en-GB"/>
        </w:rPr>
        <w:t xml:space="preserve">  乙方：（盖章）</w:t>
      </w:r>
    </w:p>
    <w:p w14:paraId="62755BD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lang w:val="en-GB"/>
        </w:rPr>
      </w:pPr>
      <w:r>
        <w:rPr>
          <w:rFonts w:hint="eastAsia" w:ascii="新宋体" w:hAnsi="新宋体" w:eastAsia="新宋体" w:cs="新宋体"/>
          <w:bCs/>
          <w:color w:val="auto"/>
          <w:sz w:val="22"/>
          <w:szCs w:val="22"/>
          <w:highlight w:val="none"/>
          <w:lang w:val="en-GB"/>
        </w:rPr>
        <w:t>授权代表：（签字）                  授权代表：（签字）</w:t>
      </w:r>
    </w:p>
    <w:p w14:paraId="4324430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lang w:val="en-GB"/>
        </w:rPr>
      </w:pPr>
      <w:r>
        <w:rPr>
          <w:rFonts w:hint="eastAsia" w:ascii="新宋体" w:hAnsi="新宋体" w:eastAsia="新宋体" w:cs="新宋体"/>
          <w:bCs/>
          <w:color w:val="auto"/>
          <w:sz w:val="22"/>
          <w:szCs w:val="22"/>
          <w:highlight w:val="none"/>
          <w:lang w:val="en-GB"/>
        </w:rPr>
        <w:t xml:space="preserve">地址：                            </w:t>
      </w:r>
      <w:r>
        <w:rPr>
          <w:rFonts w:hint="eastAsia" w:ascii="新宋体" w:hAnsi="新宋体" w:eastAsia="新宋体" w:cs="新宋体"/>
          <w:bCs/>
          <w:color w:val="auto"/>
          <w:sz w:val="22"/>
          <w:szCs w:val="22"/>
          <w:highlight w:val="none"/>
          <w:lang w:val="en-US" w:eastAsia="zh-CN"/>
        </w:rPr>
        <w:t xml:space="preserve"> </w:t>
      </w:r>
      <w:r>
        <w:rPr>
          <w:rFonts w:hint="eastAsia" w:ascii="新宋体" w:hAnsi="新宋体" w:eastAsia="新宋体" w:cs="新宋体"/>
          <w:bCs/>
          <w:color w:val="auto"/>
          <w:sz w:val="22"/>
          <w:szCs w:val="22"/>
          <w:highlight w:val="none"/>
          <w:lang w:val="en-GB"/>
        </w:rPr>
        <w:t xml:space="preserve"> 地址：</w:t>
      </w:r>
    </w:p>
    <w:p w14:paraId="531A431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lang w:val="en-GB"/>
        </w:rPr>
      </w:pPr>
      <w:r>
        <w:rPr>
          <w:rFonts w:hint="eastAsia" w:ascii="新宋体" w:hAnsi="新宋体" w:eastAsia="新宋体" w:cs="新宋体"/>
          <w:bCs/>
          <w:color w:val="auto"/>
          <w:sz w:val="22"/>
          <w:szCs w:val="22"/>
          <w:highlight w:val="none"/>
          <w:lang w:val="en-GB"/>
        </w:rPr>
        <w:t xml:space="preserve">邮政编码：                         </w:t>
      </w:r>
      <w:r>
        <w:rPr>
          <w:rFonts w:hint="eastAsia" w:ascii="新宋体" w:hAnsi="新宋体" w:eastAsia="新宋体" w:cs="新宋体"/>
          <w:bCs/>
          <w:color w:val="auto"/>
          <w:sz w:val="22"/>
          <w:szCs w:val="22"/>
          <w:highlight w:val="none"/>
          <w:lang w:val="en-US" w:eastAsia="zh-CN"/>
        </w:rPr>
        <w:t xml:space="preserve"> </w:t>
      </w:r>
      <w:r>
        <w:rPr>
          <w:rFonts w:hint="eastAsia" w:ascii="新宋体" w:hAnsi="新宋体" w:eastAsia="新宋体" w:cs="新宋体"/>
          <w:bCs/>
          <w:color w:val="auto"/>
          <w:sz w:val="22"/>
          <w:szCs w:val="22"/>
          <w:highlight w:val="none"/>
          <w:lang w:val="en-GB"/>
        </w:rPr>
        <w:t>邮政编码：</w:t>
      </w:r>
    </w:p>
    <w:p w14:paraId="4635DD2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lang w:val="en-GB"/>
        </w:rPr>
      </w:pPr>
      <w:r>
        <w:rPr>
          <w:rFonts w:hint="eastAsia" w:ascii="新宋体" w:hAnsi="新宋体" w:eastAsia="新宋体" w:cs="新宋体"/>
          <w:bCs/>
          <w:color w:val="auto"/>
          <w:sz w:val="22"/>
          <w:szCs w:val="22"/>
          <w:highlight w:val="none"/>
          <w:lang w:val="en-GB"/>
        </w:rPr>
        <w:t xml:space="preserve">电话：                             </w:t>
      </w:r>
      <w:r>
        <w:rPr>
          <w:rFonts w:hint="eastAsia" w:ascii="新宋体" w:hAnsi="新宋体" w:eastAsia="新宋体" w:cs="新宋体"/>
          <w:bCs/>
          <w:color w:val="auto"/>
          <w:sz w:val="22"/>
          <w:szCs w:val="22"/>
          <w:highlight w:val="none"/>
          <w:lang w:val="en-US" w:eastAsia="zh-CN"/>
        </w:rPr>
        <w:t xml:space="preserve"> </w:t>
      </w:r>
      <w:r>
        <w:rPr>
          <w:rFonts w:hint="eastAsia" w:ascii="新宋体" w:hAnsi="新宋体" w:eastAsia="新宋体" w:cs="新宋体"/>
          <w:bCs/>
          <w:color w:val="auto"/>
          <w:sz w:val="22"/>
          <w:szCs w:val="22"/>
          <w:highlight w:val="none"/>
          <w:lang w:val="en-GB"/>
        </w:rPr>
        <w:t>电话：</w:t>
      </w:r>
    </w:p>
    <w:p w14:paraId="1DD8E4A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lang w:val="en-GB"/>
        </w:rPr>
      </w:pPr>
      <w:r>
        <w:rPr>
          <w:rFonts w:hint="eastAsia" w:ascii="新宋体" w:hAnsi="新宋体" w:eastAsia="新宋体" w:cs="新宋体"/>
          <w:bCs/>
          <w:color w:val="auto"/>
          <w:sz w:val="22"/>
          <w:szCs w:val="22"/>
          <w:highlight w:val="none"/>
          <w:lang w:val="en-GB"/>
        </w:rPr>
        <w:t xml:space="preserve">传真：                             </w:t>
      </w:r>
      <w:r>
        <w:rPr>
          <w:rFonts w:hint="eastAsia" w:ascii="新宋体" w:hAnsi="新宋体" w:eastAsia="新宋体" w:cs="新宋体"/>
          <w:bCs/>
          <w:color w:val="auto"/>
          <w:sz w:val="22"/>
          <w:szCs w:val="22"/>
          <w:highlight w:val="none"/>
          <w:lang w:val="en-US" w:eastAsia="zh-CN"/>
        </w:rPr>
        <w:t xml:space="preserve"> </w:t>
      </w:r>
      <w:r>
        <w:rPr>
          <w:rFonts w:hint="eastAsia" w:ascii="新宋体" w:hAnsi="新宋体" w:eastAsia="新宋体" w:cs="新宋体"/>
          <w:bCs/>
          <w:color w:val="auto"/>
          <w:sz w:val="22"/>
          <w:szCs w:val="22"/>
          <w:highlight w:val="none"/>
          <w:lang w:val="en-GB"/>
        </w:rPr>
        <w:t>传真：</w:t>
      </w:r>
    </w:p>
    <w:p w14:paraId="6095E38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lang w:val="en-GB"/>
        </w:rPr>
        <w:t xml:space="preserve">日期：                             </w:t>
      </w:r>
      <w:r>
        <w:rPr>
          <w:rFonts w:hint="eastAsia" w:ascii="新宋体" w:hAnsi="新宋体" w:eastAsia="新宋体" w:cs="新宋体"/>
          <w:bCs/>
          <w:color w:val="auto"/>
          <w:sz w:val="22"/>
          <w:szCs w:val="22"/>
          <w:highlight w:val="none"/>
          <w:lang w:val="en-US" w:eastAsia="zh-CN"/>
        </w:rPr>
        <w:t xml:space="preserve"> </w:t>
      </w:r>
      <w:r>
        <w:rPr>
          <w:rFonts w:hint="eastAsia" w:ascii="新宋体" w:hAnsi="新宋体" w:eastAsia="新宋体" w:cs="新宋体"/>
          <w:bCs/>
          <w:color w:val="auto"/>
          <w:sz w:val="22"/>
          <w:szCs w:val="22"/>
          <w:highlight w:val="none"/>
          <w:lang w:val="en-GB"/>
        </w:rPr>
        <w:t>日期：</w:t>
      </w:r>
    </w:p>
    <w:p w14:paraId="558929DA">
      <w:pPr>
        <w:pStyle w:val="229"/>
        <w:ind w:firstLine="220"/>
        <w:rPr>
          <w:rFonts w:hint="eastAsia" w:ascii="新宋体" w:hAnsi="新宋体" w:eastAsia="新宋体" w:cs="新宋体"/>
          <w:color w:val="auto"/>
          <w:sz w:val="22"/>
          <w:szCs w:val="22"/>
          <w:highlight w:val="none"/>
        </w:rPr>
      </w:pPr>
    </w:p>
    <w:p w14:paraId="5B894AE9">
      <w:pPr>
        <w:keepNext w:val="0"/>
        <w:keepLines w:val="0"/>
        <w:pageBreakBefore w:val="0"/>
        <w:widowControl w:val="0"/>
        <w:kinsoku/>
        <w:wordWrap/>
        <w:overflowPunct/>
        <w:topLinePunct w:val="0"/>
        <w:autoSpaceDE w:val="0"/>
        <w:autoSpaceDN w:val="0"/>
        <w:bidi w:val="0"/>
        <w:adjustRightInd w:val="0"/>
        <w:snapToGrid w:val="0"/>
        <w:spacing w:line="460" w:lineRule="exact"/>
        <w:ind w:firstLine="420"/>
        <w:textAlignment w:val="bottom"/>
        <w:rPr>
          <w:rFonts w:hint="eastAsia" w:ascii="新宋体" w:hAnsi="新宋体" w:eastAsia="新宋体" w:cs="新宋体"/>
          <w:bCs/>
          <w:color w:val="auto"/>
          <w:sz w:val="22"/>
          <w:szCs w:val="22"/>
          <w:highlight w:val="none"/>
          <w:lang w:val="en-GB"/>
        </w:rPr>
      </w:pPr>
    </w:p>
    <w:p w14:paraId="478A69F4">
      <w:pPr>
        <w:pStyle w:val="24"/>
        <w:keepNext w:val="0"/>
        <w:keepLines w:val="0"/>
        <w:pageBreakBefore w:val="0"/>
        <w:widowControl w:val="0"/>
        <w:kinsoku/>
        <w:wordWrap/>
        <w:overflowPunct/>
        <w:topLinePunct w:val="0"/>
        <w:bidi w:val="0"/>
        <w:spacing w:after="0" w:line="460" w:lineRule="exact"/>
        <w:ind w:left="0" w:leftChars="0" w:firstLine="440" w:firstLineChars="200"/>
        <w:rPr>
          <w:rFonts w:hint="eastAsia" w:ascii="新宋体" w:hAnsi="新宋体" w:eastAsia="新宋体" w:cs="新宋体"/>
          <w:bCs/>
          <w:color w:val="auto"/>
          <w:sz w:val="22"/>
          <w:szCs w:val="22"/>
          <w:highlight w:val="none"/>
          <w:lang w:val="en-GB"/>
        </w:rPr>
      </w:pPr>
    </w:p>
    <w:p w14:paraId="4D9FDD3E">
      <w:pPr>
        <w:pStyle w:val="24"/>
        <w:spacing w:after="0" w:line="460" w:lineRule="exact"/>
        <w:ind w:left="0" w:leftChars="0"/>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22"/>
          <w:szCs w:val="22"/>
          <w:highlight w:val="none"/>
        </w:rPr>
        <w:br w:type="page"/>
      </w:r>
      <w:bookmarkStart w:id="22" w:name="_Toc26778"/>
      <w:r>
        <w:rPr>
          <w:rFonts w:hint="eastAsia" w:ascii="新宋体" w:hAnsi="新宋体" w:eastAsia="新宋体" w:cs="新宋体"/>
          <w:b/>
          <w:color w:val="auto"/>
          <w:sz w:val="30"/>
          <w:highlight w:val="none"/>
        </w:rPr>
        <w:t>第三部分    附件</w:t>
      </w:r>
      <w:bookmarkEnd w:id="22"/>
    </w:p>
    <w:p w14:paraId="0BF576F5">
      <w:pPr>
        <w:pStyle w:val="24"/>
        <w:spacing w:line="460" w:lineRule="exact"/>
        <w:ind w:left="0" w:leftChars="0"/>
        <w:outlineLvl w:val="1"/>
        <w:rPr>
          <w:rFonts w:hint="eastAsia" w:ascii="新宋体" w:hAnsi="新宋体" w:eastAsia="新宋体" w:cs="新宋体"/>
          <w:b/>
          <w:color w:val="auto"/>
          <w:sz w:val="22"/>
          <w:highlight w:val="none"/>
        </w:rPr>
      </w:pPr>
      <w:bookmarkStart w:id="23" w:name="_Toc8348"/>
      <w:r>
        <w:rPr>
          <w:rFonts w:hint="eastAsia" w:ascii="新宋体" w:hAnsi="新宋体" w:eastAsia="新宋体" w:cs="新宋体"/>
          <w:b/>
          <w:color w:val="auto"/>
          <w:sz w:val="22"/>
          <w:highlight w:val="none"/>
        </w:rPr>
        <w:t>附件一</w:t>
      </w:r>
      <w:bookmarkEnd w:id="23"/>
    </w:p>
    <w:p w14:paraId="53B08028">
      <w:pPr>
        <w:spacing w:line="460" w:lineRule="exact"/>
        <w:jc w:val="center"/>
        <w:outlineLvl w:val="2"/>
        <w:rPr>
          <w:rFonts w:hint="eastAsia" w:ascii="新宋体" w:hAnsi="新宋体" w:eastAsia="新宋体" w:cs="新宋体"/>
          <w:color w:val="auto"/>
          <w:sz w:val="28"/>
          <w:szCs w:val="28"/>
          <w:highlight w:val="none"/>
        </w:rPr>
      </w:pPr>
      <w:bookmarkStart w:id="24" w:name="_Toc20581"/>
      <w:bookmarkStart w:id="25" w:name="_Toc19743"/>
      <w:r>
        <w:rPr>
          <w:rFonts w:hint="eastAsia" w:ascii="新宋体" w:hAnsi="新宋体" w:eastAsia="新宋体" w:cs="新宋体"/>
          <w:b/>
          <w:bCs/>
          <w:color w:val="auto"/>
          <w:sz w:val="28"/>
          <w:szCs w:val="28"/>
          <w:highlight w:val="none"/>
        </w:rPr>
        <w:t>资格证明文件</w:t>
      </w:r>
      <w:bookmarkEnd w:id="24"/>
    </w:p>
    <w:p w14:paraId="4778FE98">
      <w:pPr>
        <w:spacing w:line="40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lang w:val="en-US" w:eastAsia="zh-CN"/>
        </w:rPr>
        <w:t>1、资格条件承诺函</w:t>
      </w:r>
    </w:p>
    <w:p w14:paraId="4CBE9EBE">
      <w:pPr>
        <w:keepNext w:val="0"/>
        <w:keepLines w:val="0"/>
        <w:pageBreakBefore w:val="0"/>
        <w:widowControl/>
        <w:kinsoku/>
        <w:wordWrap/>
        <w:overflowPunct/>
        <w:topLinePunct w:val="0"/>
        <w:autoSpaceDE/>
        <w:autoSpaceDN/>
        <w:bidi w:val="0"/>
        <w:adjustRightIn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温州市第七人民医院</w:t>
      </w:r>
      <w:r>
        <w:rPr>
          <w:rFonts w:hint="eastAsia" w:ascii="新宋体" w:hAnsi="新宋体" w:eastAsia="新宋体" w:cs="新宋体"/>
          <w:color w:val="auto"/>
          <w:kern w:val="0"/>
          <w:sz w:val="22"/>
          <w:szCs w:val="22"/>
          <w:highlight w:val="none"/>
        </w:rPr>
        <w:t>、温州历程招标有限公司：</w:t>
      </w:r>
    </w:p>
    <w:p w14:paraId="590C2374">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我方参与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（项目名称、编号）投标，现郑重承诺</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kern w:val="0"/>
          <w:sz w:val="22"/>
          <w:szCs w:val="22"/>
          <w:highlight w:val="none"/>
        </w:rPr>
        <w:t>参加本次采购活动前3年内</w:t>
      </w:r>
      <w:r>
        <w:rPr>
          <w:rFonts w:hint="eastAsia" w:ascii="新宋体" w:hAnsi="新宋体" w:eastAsia="新宋体" w:cs="新宋体"/>
          <w:color w:val="auto"/>
          <w:sz w:val="22"/>
          <w:szCs w:val="22"/>
          <w:highlight w:val="none"/>
        </w:rPr>
        <w:t>：</w:t>
      </w:r>
    </w:p>
    <w:p w14:paraId="7507DCE6">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1、我方符合《中华人民共和国政府采购法》第22条规定的资格条件，即</w:t>
      </w:r>
    </w:p>
    <w:p w14:paraId="279C8433">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（1）我方具有独立承担民事责任的能力；</w:t>
      </w:r>
    </w:p>
    <w:p w14:paraId="78DC032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（2）我方具有良好的商业信誉和健全的财务会计制度；</w:t>
      </w:r>
    </w:p>
    <w:p w14:paraId="127ABC5B">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（3）我方具有履行合同所必需的设备和专业技术能力；</w:t>
      </w:r>
    </w:p>
    <w:p w14:paraId="1867A53E">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（4）我方有依法缴纳税收和社会保障资金的良好记录；</w:t>
      </w:r>
    </w:p>
    <w:p w14:paraId="13773366">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（5）我方参加本次政府采购活动前3年内在经营活动中没有重大违法记录（没有因违法经营</w:t>
      </w:r>
      <w:r>
        <w:rPr>
          <w:rFonts w:hint="eastAsia" w:ascii="新宋体" w:hAnsi="新宋体" w:eastAsia="新宋体" w:cs="新宋体"/>
          <w:color w:val="auto"/>
          <w:kern w:val="0"/>
          <w:sz w:val="22"/>
          <w:szCs w:val="22"/>
          <w:highlight w:val="none"/>
        </w:rPr>
        <w:t>受到刑事处罚，没有被责令停产停业、被吊销许可证或者执照、被处以较大数额罚款等行政处罚，没有因违法经营被禁止参加政府采购活动的期限未满情形）。</w:t>
      </w:r>
    </w:p>
    <w:p w14:paraId="53BC110D">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2、到本项目投标截止时间为止，我方未被“信用中国（</w:t>
      </w:r>
      <w:r>
        <w:rPr>
          <w:rFonts w:hint="eastAsia" w:ascii="新宋体" w:hAnsi="新宋体" w:eastAsia="新宋体" w:cs="新宋体"/>
          <w:color w:val="auto"/>
          <w:kern w:val="0"/>
          <w:sz w:val="22"/>
          <w:szCs w:val="22"/>
          <w:highlight w:val="none"/>
          <w:lang w:eastAsia="zh-CN"/>
        </w:rPr>
        <w:fldChar w:fldCharType="begin"/>
      </w:r>
      <w:r>
        <w:rPr>
          <w:rFonts w:hint="eastAsia" w:ascii="新宋体" w:hAnsi="新宋体" w:eastAsia="新宋体" w:cs="新宋体"/>
          <w:color w:val="auto"/>
          <w:kern w:val="0"/>
          <w:sz w:val="22"/>
          <w:szCs w:val="22"/>
          <w:highlight w:val="none"/>
          <w:lang w:eastAsia="zh-CN"/>
        </w:rPr>
        <w:instrText xml:space="preserve"> HYPERLINK "http://www.creditchina.gov.cn）、" </w:instrText>
      </w:r>
      <w:r>
        <w:rPr>
          <w:rFonts w:hint="eastAsia" w:ascii="新宋体" w:hAnsi="新宋体" w:eastAsia="新宋体" w:cs="新宋体"/>
          <w:color w:val="auto"/>
          <w:kern w:val="0"/>
          <w:sz w:val="22"/>
          <w:szCs w:val="22"/>
          <w:highlight w:val="none"/>
          <w:lang w:eastAsia="zh-CN"/>
        </w:rPr>
        <w:fldChar w:fldCharType="separate"/>
      </w:r>
      <w:r>
        <w:rPr>
          <w:rFonts w:hint="eastAsia" w:ascii="新宋体" w:hAnsi="新宋体" w:eastAsia="新宋体" w:cs="新宋体"/>
          <w:color w:val="auto"/>
          <w:kern w:val="0"/>
          <w:sz w:val="22"/>
          <w:szCs w:val="22"/>
          <w:highlight w:val="none"/>
          <w:lang w:eastAsia="zh-CN"/>
        </w:rPr>
        <w:t>www.creditchina.gov.cn）、</w:t>
      </w:r>
      <w:r>
        <w:rPr>
          <w:rFonts w:hint="eastAsia" w:ascii="新宋体" w:hAnsi="新宋体" w:eastAsia="新宋体" w:cs="新宋体"/>
          <w:color w:val="auto"/>
          <w:kern w:val="0"/>
          <w:sz w:val="22"/>
          <w:szCs w:val="22"/>
          <w:highlight w:val="none"/>
          <w:lang w:eastAsia="zh-CN"/>
        </w:rPr>
        <w:fldChar w:fldCharType="end"/>
      </w:r>
      <w:r>
        <w:rPr>
          <w:rFonts w:hint="eastAsia" w:ascii="新宋体" w:hAnsi="新宋体" w:eastAsia="新宋体" w:cs="新宋体"/>
          <w:color w:val="auto"/>
          <w:kern w:val="0"/>
          <w:sz w:val="22"/>
          <w:szCs w:val="22"/>
          <w:highlight w:val="none"/>
          <w:lang w:eastAsia="zh-CN"/>
        </w:rPr>
        <w:t xml:space="preserve"> 中国政府采购网（www.ccgp.gov.cn）列入失信被执行人名单、重大税收违法案件当事人名单、政府采购严重违法失信行为记录名单。</w:t>
      </w:r>
    </w:p>
    <w:p w14:paraId="6F51999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3、我方与参加本次项目同一合同项下政府采购活动的其他供应商不存在单位负责人为同一人或者直接控股、管理关系。</w:t>
      </w:r>
    </w:p>
    <w:p w14:paraId="1883F0FB">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4、我方</w:t>
      </w:r>
      <w:r>
        <w:rPr>
          <w:rFonts w:hint="eastAsia" w:ascii="新宋体" w:hAnsi="新宋体" w:eastAsia="新宋体" w:cs="新宋体"/>
          <w:color w:val="auto"/>
          <w:kern w:val="0"/>
          <w:sz w:val="22"/>
          <w:szCs w:val="22"/>
          <w:highlight w:val="none"/>
          <w:lang w:eastAsia="zh-CN"/>
        </w:rPr>
        <w:t>不属于公益一类事业单位。</w:t>
      </w:r>
    </w:p>
    <w:p w14:paraId="490BB334">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lang w:val="en-US" w:eastAsia="zh-CN"/>
        </w:rPr>
      </w:pPr>
    </w:p>
    <w:p w14:paraId="32E7C8C7">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以上承诺如有虚假，愿接受取消我方任何资格（投标/成交/签订合同）及其他任何形式的处理。</w:t>
      </w:r>
    </w:p>
    <w:p w14:paraId="34FAA8AE">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63D6F7D9">
      <w:pPr>
        <w:keepNext w:val="0"/>
        <w:keepLines w:val="0"/>
        <w:pageBreakBefore w:val="0"/>
        <w:kinsoku/>
        <w:wordWrap/>
        <w:overflowPunct/>
        <w:topLinePunct w:val="0"/>
        <w:autoSpaceDE/>
        <w:autoSpaceDN/>
        <w:bidi w:val="0"/>
        <w:adjustRightInd/>
        <w:snapToGrid w:val="0"/>
        <w:spacing w:line="460" w:lineRule="exact"/>
        <w:ind w:firstLine="5060" w:firstLineChars="2300"/>
        <w:textAlignment w:val="auto"/>
        <w:rPr>
          <w:rFonts w:hint="eastAsia" w:ascii="新宋体" w:hAnsi="新宋体" w:eastAsia="新宋体" w:cs="新宋体"/>
          <w:color w:val="auto"/>
          <w:kern w:val="0"/>
          <w:sz w:val="22"/>
          <w:szCs w:val="22"/>
          <w:highlight w:val="none"/>
          <w:lang w:val="zh-CN"/>
        </w:rPr>
      </w:pPr>
    </w:p>
    <w:p w14:paraId="1339E176">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投标人全称（盖章） ：</w:t>
      </w:r>
    </w:p>
    <w:p w14:paraId="0D5D82A3">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法定代表人或其授权代表（签字或盖章）：</w:t>
      </w:r>
    </w:p>
    <w:p w14:paraId="134904D3">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28D3C36B">
      <w:pPr>
        <w:pStyle w:val="24"/>
        <w:keepNext w:val="0"/>
        <w:keepLines w:val="0"/>
        <w:pageBreakBefore w:val="0"/>
        <w:kinsoku/>
        <w:wordWrap/>
        <w:overflowPunct/>
        <w:topLinePunct w:val="0"/>
        <w:autoSpaceDE/>
        <w:autoSpaceDN/>
        <w:bidi w:val="0"/>
        <w:adjustRightInd/>
        <w:spacing w:line="460" w:lineRule="exact"/>
        <w:ind w:left="479" w:leftChars="228" w:firstLine="5280" w:firstLineChars="24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35E1DDBB">
      <w:pPr>
        <w:bidi w:val="0"/>
        <w:rPr>
          <w:rFonts w:hint="eastAsia" w:ascii="新宋体" w:hAnsi="新宋体" w:eastAsia="新宋体" w:cs="新宋体"/>
          <w:color w:val="auto"/>
          <w:highlight w:val="none"/>
        </w:rPr>
      </w:pPr>
    </w:p>
    <w:p w14:paraId="6C69DB82">
      <w:pPr>
        <w:bidi w:val="0"/>
        <w:rPr>
          <w:rFonts w:hint="eastAsia" w:ascii="新宋体" w:hAnsi="新宋体" w:eastAsia="新宋体" w:cs="新宋体"/>
          <w:color w:val="auto"/>
          <w:highlight w:val="none"/>
        </w:rPr>
      </w:pPr>
    </w:p>
    <w:p w14:paraId="0F97C551">
      <w:pPr>
        <w:bidi w:val="0"/>
        <w:rPr>
          <w:rFonts w:hint="eastAsia" w:ascii="新宋体" w:hAnsi="新宋体" w:eastAsia="新宋体" w:cs="新宋体"/>
          <w:color w:val="auto"/>
          <w:highlight w:val="none"/>
        </w:rPr>
      </w:pPr>
    </w:p>
    <w:p w14:paraId="69FDCEB8">
      <w:pPr>
        <w:rPr>
          <w:rFonts w:hint="eastAsia" w:ascii="新宋体" w:hAnsi="新宋体" w:eastAsia="新宋体" w:cs="新宋体"/>
          <w:b/>
          <w:bCs w:val="0"/>
          <w:color w:val="auto"/>
          <w:kern w:val="0"/>
          <w:sz w:val="28"/>
          <w:szCs w:val="28"/>
          <w:highlight w:val="none"/>
          <w:lang w:val="en-US" w:eastAsia="zh-CN" w:bidi="ar-SA"/>
        </w:rPr>
      </w:pPr>
      <w:r>
        <w:rPr>
          <w:rFonts w:hint="eastAsia" w:ascii="新宋体" w:hAnsi="新宋体" w:eastAsia="新宋体" w:cs="新宋体"/>
          <w:b/>
          <w:bCs w:val="0"/>
          <w:color w:val="auto"/>
          <w:kern w:val="0"/>
          <w:sz w:val="28"/>
          <w:szCs w:val="28"/>
          <w:highlight w:val="none"/>
          <w:lang w:val="en-US" w:eastAsia="zh-CN" w:bidi="ar-SA"/>
        </w:rPr>
        <w:br w:type="page"/>
      </w:r>
    </w:p>
    <w:p w14:paraId="1B435AEC">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2、有效营业执照</w:t>
      </w:r>
    </w:p>
    <w:p w14:paraId="2C5E7E34">
      <w:pPr>
        <w:pStyle w:val="50"/>
        <w:keepNext w:val="0"/>
        <w:keepLines w:val="0"/>
        <w:pageBreakBefore w:val="0"/>
        <w:tabs>
          <w:tab w:val="left" w:pos="630"/>
          <w:tab w:val="left" w:pos="840"/>
          <w:tab w:val="left" w:pos="1050"/>
        </w:tabs>
        <w:kinsoku/>
        <w:wordWrap/>
        <w:overflowPunct/>
        <w:topLinePunct w:val="0"/>
        <w:autoSpaceDE/>
        <w:autoSpaceDN/>
        <w:bidi w:val="0"/>
        <w:adjustRightInd w:val="0"/>
        <w:snapToGrid w:val="0"/>
        <w:spacing w:before="0" w:beforeAutospacing="0" w:after="0" w:afterAutospacing="0" w:line="460" w:lineRule="exact"/>
        <w:ind w:left="420"/>
        <w:textAlignment w:val="auto"/>
        <w:rPr>
          <w:rFonts w:hint="eastAsia" w:ascii="新宋体" w:hAnsi="新宋体" w:eastAsia="新宋体" w:cs="新宋体"/>
          <w:bCs/>
          <w:color w:val="auto"/>
          <w:sz w:val="24"/>
          <w:szCs w:val="24"/>
          <w:highlight w:val="none"/>
        </w:rPr>
      </w:pPr>
    </w:p>
    <w:p w14:paraId="7DFCED12">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投标人须在投标文件中出具符合以下情况的证明材料复印件（五选一）：</w:t>
      </w:r>
    </w:p>
    <w:p w14:paraId="36E70C22">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①</w:t>
      </w:r>
      <w:r>
        <w:rPr>
          <w:rFonts w:hint="eastAsia" w:ascii="新宋体" w:hAnsi="新宋体" w:eastAsia="新宋体" w:cs="新宋体"/>
          <w:color w:val="auto"/>
          <w:kern w:val="0"/>
          <w:sz w:val="22"/>
          <w:szCs w:val="22"/>
          <w:highlight w:val="none"/>
          <w:lang w:eastAsia="zh-CN"/>
        </w:rPr>
        <w:t>如投标人是企业（包括合伙企业），提供在工商部门注册的有效“企业法人营业执照”或“营业执照”；</w:t>
      </w:r>
    </w:p>
    <w:p w14:paraId="43BB7960">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②</w:t>
      </w:r>
      <w:r>
        <w:rPr>
          <w:rFonts w:hint="eastAsia" w:ascii="新宋体" w:hAnsi="新宋体" w:eastAsia="新宋体" w:cs="新宋体"/>
          <w:color w:val="auto"/>
          <w:kern w:val="0"/>
          <w:sz w:val="22"/>
          <w:szCs w:val="22"/>
          <w:highlight w:val="none"/>
          <w:lang w:eastAsia="zh-CN"/>
        </w:rPr>
        <w:t>如投标人是事业单位，提供有效的“事业单位法人证书”；</w:t>
      </w:r>
    </w:p>
    <w:p w14:paraId="43783682">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③</w:t>
      </w:r>
      <w:r>
        <w:rPr>
          <w:rFonts w:hint="eastAsia" w:ascii="新宋体" w:hAnsi="新宋体" w:eastAsia="新宋体" w:cs="新宋体"/>
          <w:color w:val="auto"/>
          <w:kern w:val="0"/>
          <w:sz w:val="22"/>
          <w:szCs w:val="22"/>
          <w:highlight w:val="none"/>
          <w:lang w:eastAsia="zh-CN"/>
        </w:rPr>
        <w:t>如投标人是非企业专业服务机构的，提供执业许可证等证明文件；</w:t>
      </w:r>
    </w:p>
    <w:p w14:paraId="12D37BC7">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④</w:t>
      </w:r>
      <w:r>
        <w:rPr>
          <w:rFonts w:hint="eastAsia" w:ascii="新宋体" w:hAnsi="新宋体" w:eastAsia="新宋体" w:cs="新宋体"/>
          <w:color w:val="auto"/>
          <w:kern w:val="0"/>
          <w:sz w:val="22"/>
          <w:szCs w:val="22"/>
          <w:highlight w:val="none"/>
          <w:lang w:eastAsia="zh-CN"/>
        </w:rPr>
        <w:t>如投标人是个体工商户，提供有效的“个体工商户营业执照”；</w:t>
      </w:r>
    </w:p>
    <w:p w14:paraId="05566150">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⑤</w:t>
      </w:r>
      <w:r>
        <w:rPr>
          <w:rFonts w:hint="eastAsia" w:ascii="新宋体" w:hAnsi="新宋体" w:eastAsia="新宋体" w:cs="新宋体"/>
          <w:color w:val="auto"/>
          <w:kern w:val="0"/>
          <w:sz w:val="22"/>
          <w:szCs w:val="22"/>
          <w:highlight w:val="none"/>
          <w:lang w:eastAsia="zh-CN"/>
        </w:rPr>
        <w:t>如投标人是自然人，提供有效的自然人身份证明（居民身份证正反面或公安机关出具的临时居民身份证正反面或港澳台胞证或护照）。</w:t>
      </w:r>
    </w:p>
    <w:p w14:paraId="4873D9B8">
      <w:pPr>
        <w:pStyle w:val="50"/>
        <w:keepNext w:val="0"/>
        <w:keepLines w:val="0"/>
        <w:pageBreakBefore w:val="0"/>
        <w:tabs>
          <w:tab w:val="left" w:pos="312"/>
        </w:tabs>
        <w:kinsoku/>
        <w:wordWrap/>
        <w:overflowPunct/>
        <w:topLinePunct w:val="0"/>
        <w:autoSpaceDE/>
        <w:autoSpaceDN/>
        <w:bidi w:val="0"/>
        <w:adjustRightInd w:val="0"/>
        <w:snapToGrid w:val="0"/>
        <w:spacing w:before="0" w:beforeAutospacing="0" w:after="0" w:afterAutospacing="0" w:line="460" w:lineRule="exact"/>
        <w:textAlignment w:val="auto"/>
        <w:rPr>
          <w:rFonts w:hint="eastAsia" w:ascii="新宋体" w:hAnsi="新宋体" w:eastAsia="新宋体" w:cs="新宋体"/>
          <w:bCs/>
          <w:color w:val="auto"/>
          <w:sz w:val="22"/>
          <w:szCs w:val="22"/>
          <w:highlight w:val="none"/>
        </w:rPr>
      </w:pPr>
    </w:p>
    <w:p w14:paraId="629CF1F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09D00BD3">
      <w:pPr>
        <w:keepNext w:val="0"/>
        <w:keepLines w:val="0"/>
        <w:pageBreakBefore w:val="0"/>
        <w:kinsoku/>
        <w:wordWrap/>
        <w:overflowPunct/>
        <w:topLinePunct w:val="0"/>
        <w:autoSpaceDE/>
        <w:autoSpaceDN/>
        <w:bidi w:val="0"/>
        <w:spacing w:line="460" w:lineRule="exact"/>
        <w:textAlignment w:val="auto"/>
        <w:rPr>
          <w:rFonts w:hint="eastAsia" w:ascii="新宋体" w:hAnsi="新宋体" w:eastAsia="新宋体" w:cs="新宋体"/>
          <w:color w:val="auto"/>
          <w:highlight w:val="none"/>
        </w:rPr>
      </w:pPr>
    </w:p>
    <w:p w14:paraId="7D7A498D">
      <w:pPr>
        <w:keepNext w:val="0"/>
        <w:keepLines w:val="0"/>
        <w:pageBreakBefore w:val="0"/>
        <w:kinsoku/>
        <w:wordWrap/>
        <w:overflowPunct/>
        <w:topLinePunct w:val="0"/>
        <w:autoSpaceDE/>
        <w:autoSpaceDN/>
        <w:bidi w:val="0"/>
        <w:spacing w:line="460" w:lineRule="exact"/>
        <w:textAlignment w:val="auto"/>
        <w:rPr>
          <w:rFonts w:hint="eastAsia" w:ascii="新宋体" w:hAnsi="新宋体" w:eastAsia="新宋体" w:cs="新宋体"/>
          <w:color w:val="auto"/>
          <w:highlight w:val="none"/>
        </w:rPr>
      </w:pPr>
      <w:r>
        <w:rPr>
          <w:rFonts w:hint="eastAsia" w:ascii="新宋体" w:hAnsi="新宋体" w:eastAsia="新宋体" w:cs="新宋体"/>
          <w:color w:val="auto"/>
          <w:highlight w:val="none"/>
        </w:rPr>
        <w:br w:type="page"/>
      </w:r>
    </w:p>
    <w:p w14:paraId="29757223">
      <w:pPr>
        <w:spacing w:line="40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lang w:val="en-US" w:eastAsia="zh-CN"/>
        </w:rPr>
        <w:t>3、</w:t>
      </w:r>
      <w:r>
        <w:rPr>
          <w:rFonts w:hint="eastAsia" w:ascii="新宋体" w:hAnsi="新宋体" w:eastAsia="新宋体" w:cs="新宋体"/>
          <w:b/>
          <w:bCs/>
          <w:color w:val="auto"/>
          <w:sz w:val="28"/>
          <w:szCs w:val="28"/>
          <w:highlight w:val="none"/>
        </w:rPr>
        <w:t>投标人信用查询</w:t>
      </w:r>
    </w:p>
    <w:p w14:paraId="15657FC1">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1</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投标人信用信息查询的查询渠道：“信用中国”（https://www.creditchina.gov.cn/）；“中国政府采购网”（http://www.ccgp.gov.cn/）；</w:t>
      </w:r>
    </w:p>
    <w:p w14:paraId="1B0EED86">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2</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投标人信用信息查询截止时点：招标公告发布之日至投标截止时间前。</w:t>
      </w:r>
    </w:p>
    <w:p w14:paraId="5473B352">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3</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投标人信用信息查询记录和证据留存的具体方式：网页截图；</w:t>
      </w:r>
    </w:p>
    <w:p w14:paraId="38C92D48">
      <w:pPr>
        <w:tabs>
          <w:tab w:val="left" w:pos="360"/>
        </w:tabs>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4</w:t>
      </w: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信用信息的使用规则：对列入失信被执行人、重大税收违法案件当事人名单、政府采购严重违法失信行为记录名单及其他不符合《中华人民共和国政府采购法》第二十二条规定条件的投标人，其投标做无效投标处理。</w:t>
      </w:r>
    </w:p>
    <w:p w14:paraId="1FC62921">
      <w:pPr>
        <w:tabs>
          <w:tab w:val="left" w:pos="360"/>
        </w:tabs>
        <w:spacing w:line="460" w:lineRule="exact"/>
        <w:ind w:firstLine="442" w:firstLineChars="200"/>
        <w:rPr>
          <w:rFonts w:hint="eastAsia" w:ascii="新宋体" w:hAnsi="新宋体" w:eastAsia="新宋体" w:cs="新宋体"/>
          <w:b/>
          <w:bCs/>
          <w:color w:val="auto"/>
          <w:sz w:val="22"/>
          <w:highlight w:val="none"/>
          <w:u w:val="single"/>
          <w:lang w:eastAsia="zh-CN"/>
        </w:rPr>
      </w:pPr>
      <w:r>
        <w:rPr>
          <w:rFonts w:hint="eastAsia" w:ascii="新宋体" w:hAnsi="新宋体" w:eastAsia="新宋体" w:cs="新宋体"/>
          <w:b/>
          <w:bCs/>
          <w:color w:val="auto"/>
          <w:sz w:val="22"/>
          <w:highlight w:val="none"/>
          <w:u w:val="single"/>
          <w:lang w:val="en-US" w:eastAsia="zh-CN"/>
        </w:rPr>
        <w:t>（5）</w:t>
      </w:r>
      <w:r>
        <w:rPr>
          <w:rFonts w:hint="eastAsia" w:ascii="新宋体" w:hAnsi="新宋体" w:eastAsia="新宋体" w:cs="新宋体"/>
          <w:b/>
          <w:bCs/>
          <w:color w:val="auto"/>
          <w:sz w:val="22"/>
          <w:highlight w:val="none"/>
          <w:u w:val="single"/>
          <w:lang w:eastAsia="zh-CN"/>
        </w:rPr>
        <w:t>联合体投标时，对所有联合体成员进行信用记录查询，联合体成员存在不良信用记录的，视同联合体存在不良信用记录。</w:t>
      </w:r>
    </w:p>
    <w:p w14:paraId="29C538F6">
      <w:pPr>
        <w:tabs>
          <w:tab w:val="left" w:pos="360"/>
        </w:tabs>
        <w:spacing w:line="460" w:lineRule="exact"/>
        <w:ind w:firstLine="440" w:firstLineChars="200"/>
        <w:rPr>
          <w:rFonts w:hint="eastAsia" w:ascii="新宋体" w:hAnsi="新宋体" w:eastAsia="新宋体" w:cs="新宋体"/>
          <w:color w:val="auto"/>
          <w:sz w:val="22"/>
          <w:highlight w:val="none"/>
          <w:lang w:eastAsia="zh-CN"/>
        </w:rPr>
      </w:pPr>
    </w:p>
    <w:p w14:paraId="5C50D8BF">
      <w:pPr>
        <w:tabs>
          <w:tab w:val="left" w:pos="360"/>
        </w:tabs>
        <w:spacing w:line="460" w:lineRule="exact"/>
        <w:ind w:firstLine="440" w:firstLineChars="200"/>
        <w:rPr>
          <w:rFonts w:hint="eastAsia" w:ascii="新宋体" w:hAnsi="新宋体" w:eastAsia="新宋体" w:cs="新宋体"/>
          <w:color w:val="auto"/>
          <w:sz w:val="22"/>
          <w:highlight w:val="none"/>
          <w:lang w:eastAsia="zh-CN"/>
        </w:rPr>
      </w:pPr>
    </w:p>
    <w:p w14:paraId="1F28821D">
      <w:pPr>
        <w:tabs>
          <w:tab w:val="left" w:pos="360"/>
        </w:tabs>
        <w:spacing w:line="460" w:lineRule="exact"/>
        <w:ind w:firstLine="440" w:firstLineChars="200"/>
        <w:rPr>
          <w:rFonts w:hint="eastAsia" w:ascii="新宋体" w:hAnsi="新宋体" w:eastAsia="新宋体" w:cs="新宋体"/>
          <w:color w:val="auto"/>
          <w:sz w:val="22"/>
          <w:highlight w:val="none"/>
          <w:lang w:eastAsia="zh-CN"/>
        </w:rPr>
      </w:pPr>
    </w:p>
    <w:p w14:paraId="7D58A3CC">
      <w:pPr>
        <w:tabs>
          <w:tab w:val="left" w:pos="360"/>
        </w:tabs>
        <w:spacing w:line="460" w:lineRule="exact"/>
        <w:ind w:firstLine="440" w:firstLineChars="200"/>
        <w:rPr>
          <w:rFonts w:hint="eastAsia" w:ascii="新宋体" w:hAnsi="新宋体" w:eastAsia="新宋体" w:cs="新宋体"/>
          <w:color w:val="auto"/>
          <w:sz w:val="22"/>
          <w:highlight w:val="none"/>
          <w:lang w:eastAsia="zh-CN"/>
        </w:rPr>
      </w:pPr>
    </w:p>
    <w:p w14:paraId="084DF5B5">
      <w:pPr>
        <w:bidi w:val="0"/>
        <w:rPr>
          <w:rFonts w:hint="eastAsia" w:ascii="新宋体" w:hAnsi="新宋体" w:eastAsia="新宋体" w:cs="新宋体"/>
          <w:color w:val="auto"/>
          <w:highlight w:val="none"/>
        </w:rPr>
      </w:pPr>
    </w:p>
    <w:p w14:paraId="215E7D21">
      <w:pPr>
        <w:spacing w:line="400" w:lineRule="exact"/>
        <w:jc w:val="left"/>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lang w:val="en-US" w:eastAsia="zh-CN"/>
        </w:rPr>
        <w:t>4</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eastAsia="zh-CN"/>
        </w:rPr>
        <w:t>需有卫生行政部门批准《医疗机构执业许可证》。</w:t>
      </w:r>
    </w:p>
    <w:p w14:paraId="26274249">
      <w:pPr>
        <w:pStyle w:val="24"/>
        <w:spacing w:line="460" w:lineRule="exact"/>
        <w:ind w:left="514" w:leftChars="245" w:firstLine="0" w:firstLineChars="0"/>
        <w:rPr>
          <w:rFonts w:hint="eastAsia" w:ascii="新宋体" w:hAnsi="新宋体" w:eastAsia="新宋体" w:cs="新宋体"/>
          <w:color w:val="auto"/>
          <w:highlight w:val="none"/>
        </w:rPr>
      </w:pPr>
    </w:p>
    <w:p w14:paraId="5EBC68BD">
      <w:pPr>
        <w:pStyle w:val="24"/>
        <w:spacing w:line="460" w:lineRule="exact"/>
        <w:ind w:left="514" w:leftChars="245" w:firstLine="0" w:firstLineChars="0"/>
        <w:rPr>
          <w:rFonts w:hint="eastAsia" w:ascii="新宋体" w:hAnsi="新宋体" w:eastAsia="新宋体" w:cs="新宋体"/>
          <w:color w:val="auto"/>
          <w:highlight w:val="none"/>
        </w:rPr>
      </w:pPr>
    </w:p>
    <w:p w14:paraId="0A0A2FC0">
      <w:pPr>
        <w:pStyle w:val="24"/>
        <w:spacing w:line="460" w:lineRule="exact"/>
        <w:ind w:left="514" w:leftChars="245" w:firstLine="0" w:firstLineChars="0"/>
        <w:rPr>
          <w:rFonts w:hint="eastAsia" w:ascii="新宋体" w:hAnsi="新宋体" w:eastAsia="新宋体" w:cs="新宋体"/>
          <w:color w:val="auto"/>
          <w:highlight w:val="none"/>
        </w:rPr>
      </w:pPr>
    </w:p>
    <w:p w14:paraId="2561C5D9">
      <w:pPr>
        <w:pStyle w:val="24"/>
        <w:spacing w:line="460" w:lineRule="exact"/>
        <w:ind w:left="0" w:firstLine="0" w:firstLineChars="0"/>
        <w:rPr>
          <w:rFonts w:hint="eastAsia" w:ascii="新宋体" w:hAnsi="新宋体" w:eastAsia="新宋体" w:cs="新宋体"/>
          <w:color w:val="auto"/>
          <w:highlight w:val="none"/>
        </w:rPr>
      </w:pPr>
    </w:p>
    <w:p w14:paraId="35440FDD">
      <w:pPr>
        <w:spacing w:line="460" w:lineRule="exact"/>
        <w:rPr>
          <w:rFonts w:hint="eastAsia" w:ascii="新宋体" w:hAnsi="新宋体" w:eastAsia="新宋体" w:cs="新宋体"/>
          <w:b/>
          <w:bCs/>
          <w:color w:val="auto"/>
          <w:sz w:val="22"/>
          <w:szCs w:val="22"/>
          <w:highlight w:val="none"/>
        </w:rPr>
      </w:pPr>
    </w:p>
    <w:p w14:paraId="605EBCF7">
      <w:pPr>
        <w:spacing w:line="460" w:lineRule="exact"/>
        <w:rPr>
          <w:rFonts w:hint="eastAsia" w:ascii="新宋体" w:hAnsi="新宋体" w:eastAsia="新宋体" w:cs="新宋体"/>
          <w:b/>
          <w:bCs/>
          <w:color w:val="auto"/>
          <w:sz w:val="22"/>
          <w:szCs w:val="22"/>
          <w:highlight w:val="none"/>
        </w:rPr>
      </w:pPr>
    </w:p>
    <w:p w14:paraId="467FD4F2">
      <w:pPr>
        <w:spacing w:line="460" w:lineRule="exact"/>
        <w:rPr>
          <w:rFonts w:hint="eastAsia" w:ascii="新宋体" w:hAnsi="新宋体" w:eastAsia="新宋体" w:cs="新宋体"/>
          <w:b/>
          <w:bCs/>
          <w:color w:val="auto"/>
          <w:sz w:val="22"/>
          <w:szCs w:val="22"/>
          <w:highlight w:val="none"/>
        </w:rPr>
      </w:pPr>
    </w:p>
    <w:p w14:paraId="55875E8F">
      <w:pPr>
        <w:spacing w:line="460" w:lineRule="exact"/>
        <w:rPr>
          <w:rFonts w:hint="eastAsia" w:ascii="新宋体" w:hAnsi="新宋体" w:eastAsia="新宋体" w:cs="新宋体"/>
          <w:b/>
          <w:bCs/>
          <w:color w:val="auto"/>
          <w:sz w:val="22"/>
          <w:szCs w:val="22"/>
          <w:highlight w:val="none"/>
        </w:rPr>
      </w:pPr>
    </w:p>
    <w:p w14:paraId="658A2FDB">
      <w:pPr>
        <w:rPr>
          <w:rFonts w:hint="eastAsia" w:ascii="新宋体" w:hAnsi="新宋体" w:eastAsia="新宋体" w:cs="新宋体"/>
          <w:color w:val="auto"/>
          <w:highlight w:val="none"/>
        </w:rPr>
      </w:pPr>
    </w:p>
    <w:p w14:paraId="4C8CD912">
      <w:pPr>
        <w:rPr>
          <w:rFonts w:hint="eastAsia" w:ascii="新宋体" w:hAnsi="新宋体" w:eastAsia="新宋体" w:cs="新宋体"/>
          <w:color w:val="auto"/>
          <w:highlight w:val="none"/>
        </w:rPr>
      </w:pPr>
    </w:p>
    <w:p w14:paraId="791BEECB">
      <w:pPr>
        <w:spacing w:line="460" w:lineRule="exact"/>
        <w:rPr>
          <w:rFonts w:hint="eastAsia" w:ascii="新宋体" w:hAnsi="新宋体" w:eastAsia="新宋体" w:cs="新宋体"/>
          <w:b/>
          <w:bCs/>
          <w:color w:val="auto"/>
          <w:sz w:val="22"/>
          <w:szCs w:val="22"/>
          <w:highlight w:val="none"/>
        </w:rPr>
      </w:pPr>
    </w:p>
    <w:p w14:paraId="29589C95">
      <w:pPr>
        <w:spacing w:line="40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8"/>
          <w:szCs w:val="28"/>
          <w:highlight w:val="none"/>
          <w:lang w:val="en-US" w:eastAsia="zh-CN"/>
        </w:rPr>
        <w:t>5</w:t>
      </w:r>
      <w:r>
        <w:rPr>
          <w:rFonts w:hint="eastAsia" w:ascii="新宋体" w:hAnsi="新宋体" w:eastAsia="新宋体" w:cs="新宋体"/>
          <w:b/>
          <w:bCs/>
          <w:color w:val="auto"/>
          <w:sz w:val="28"/>
          <w:szCs w:val="28"/>
          <w:highlight w:val="none"/>
        </w:rPr>
        <w:t>、采购活动现场确认声明书</w:t>
      </w:r>
    </w:p>
    <w:p w14:paraId="2E7EE79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rPr>
        <w:t>温州历程招标有限公司：</w:t>
      </w:r>
    </w:p>
    <w:p w14:paraId="146A2FA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highlight w:val="none"/>
        </w:rPr>
      </w:pPr>
      <w:r>
        <w:rPr>
          <w:rFonts w:hint="eastAsia" w:ascii="新宋体" w:hAnsi="新宋体" w:eastAsia="新宋体" w:cs="新宋体"/>
          <w:color w:val="auto"/>
          <w:kern w:val="0"/>
          <w:sz w:val="22"/>
          <w:szCs w:val="22"/>
          <w:highlight w:val="none"/>
        </w:rPr>
        <w:t>本人经由</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（供应商名称）负责人</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（姓名）合法授权参加</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（编号：</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）采购活动，经与本单位法人代表</w:t>
      </w:r>
      <w:r>
        <w:rPr>
          <w:rFonts w:hint="eastAsia" w:ascii="新宋体" w:hAnsi="新宋体" w:eastAsia="新宋体" w:cs="新宋体"/>
          <w:color w:val="auto"/>
          <w:kern w:val="0"/>
          <w:sz w:val="22"/>
          <w:szCs w:val="22"/>
          <w:highlight w:val="none"/>
          <w:u w:val="single"/>
        </w:rPr>
        <w:t>（负责人）</w:t>
      </w:r>
      <w:r>
        <w:rPr>
          <w:rFonts w:hint="eastAsia" w:ascii="新宋体" w:hAnsi="新宋体" w:eastAsia="新宋体" w:cs="新宋体"/>
          <w:color w:val="auto"/>
          <w:kern w:val="0"/>
          <w:sz w:val="22"/>
          <w:szCs w:val="22"/>
          <w:highlight w:val="none"/>
        </w:rPr>
        <w:t>联系确认，现就有关公平竞争事项郑重声明如下：</w:t>
      </w:r>
    </w:p>
    <w:p w14:paraId="4553E37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（一）本单位与</w:t>
      </w:r>
      <w:r>
        <w:rPr>
          <w:rFonts w:hint="eastAsia" w:ascii="新宋体" w:hAnsi="新宋体" w:eastAsia="新宋体" w:cs="新宋体"/>
          <w:color w:val="auto"/>
          <w:kern w:val="0"/>
          <w:sz w:val="22"/>
          <w:szCs w:val="22"/>
          <w:highlight w:val="none"/>
          <w:lang w:eastAsia="zh-CN"/>
        </w:rPr>
        <w:t>招标人</w:t>
      </w:r>
      <w:r>
        <w:rPr>
          <w:rFonts w:hint="eastAsia" w:ascii="新宋体" w:hAnsi="新宋体" w:eastAsia="新宋体" w:cs="新宋体"/>
          <w:color w:val="auto"/>
          <w:kern w:val="0"/>
          <w:sz w:val="22"/>
          <w:szCs w:val="22"/>
          <w:highlight w:val="none"/>
        </w:rPr>
        <w:t xml:space="preserve">之间 </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 xml:space="preserve">不存在利害关系 </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存在下列利害关系：</w:t>
      </w:r>
    </w:p>
    <w:p w14:paraId="4C8BC462">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A.投资关系    </w:t>
      </w:r>
    </w:p>
    <w:p w14:paraId="7BD36F5D">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B.行政隶属关系    </w:t>
      </w:r>
    </w:p>
    <w:p w14:paraId="62B13A32">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C.业务指导关系  </w:t>
      </w:r>
    </w:p>
    <w:p w14:paraId="6771378A">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D.其他可能影响采购公正的利害关系</w:t>
      </w:r>
      <w:r>
        <w:rPr>
          <w:rStyle w:val="146"/>
          <w:rFonts w:hint="eastAsia" w:ascii="新宋体" w:hAnsi="新宋体" w:eastAsia="新宋体" w:cs="新宋体"/>
          <w:color w:val="auto"/>
          <w:sz w:val="22"/>
          <w:szCs w:val="22"/>
          <w:highlight w:val="none"/>
        </w:rPr>
        <w:t xml:space="preserve">（如有，请如实说明）                 </w:t>
      </w:r>
      <w:r>
        <w:rPr>
          <w:rFonts w:hint="eastAsia" w:ascii="新宋体" w:hAnsi="新宋体" w:eastAsia="新宋体" w:cs="新宋体"/>
          <w:color w:val="auto"/>
          <w:kern w:val="0"/>
          <w:sz w:val="22"/>
          <w:szCs w:val="22"/>
          <w:highlight w:val="none"/>
        </w:rPr>
        <w:t>。</w:t>
      </w:r>
    </w:p>
    <w:p w14:paraId="7B01852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（二）现已清楚知道参加本项目采购活动的其他所有供应商名称，本单位 </w:t>
      </w:r>
    </w:p>
    <w:p w14:paraId="1D459344">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与其他所有供应商之间均不存在利害关系</w:t>
      </w:r>
    </w:p>
    <w:p w14:paraId="5FA0A942">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与</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供应商名称）之间存在下列利害关系</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w:t>
      </w:r>
    </w:p>
    <w:p w14:paraId="59AB1988">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A.法定代表人或负责人或实际控制人是同一人</w:t>
      </w:r>
    </w:p>
    <w:p w14:paraId="0197FF77">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B.法定代表人或负责人或实际控制人是夫妻关系</w:t>
      </w:r>
    </w:p>
    <w:p w14:paraId="324F5199">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C.法定代表人或负责人或实际控制人是直系血亲关系</w:t>
      </w:r>
    </w:p>
    <w:p w14:paraId="180ED2FE">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D.法定代表人或负责人或实际控制人存在三代以内旁系血亲关系</w:t>
      </w:r>
    </w:p>
    <w:p w14:paraId="77D2D9AD">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E.法定代表人或负责人或实际控制人存在近姻亲关系</w:t>
      </w:r>
    </w:p>
    <w:p w14:paraId="75E13016">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F.法定代表人或负责人或实际控制人存在股份控制或实际控制关系</w:t>
      </w:r>
    </w:p>
    <w:p w14:paraId="5BD548AE">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G.存在共同直接或间接投资设立子公司、联营企业和合营企业情况</w:t>
      </w:r>
    </w:p>
    <w:p w14:paraId="0D20A12A">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H.存在分级代理或代销关系、同一生产制造商关系、管理关系、重要业务（占主营业务收入50%以上）或重要财务往来关系（如融资）等其他实质性控制关系</w:t>
      </w:r>
    </w:p>
    <w:p w14:paraId="2EC10A11">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I.其他利害关系情况</w:t>
      </w:r>
      <w:r>
        <w:rPr>
          <w:rFonts w:hint="eastAsia" w:ascii="新宋体" w:hAnsi="新宋体" w:eastAsia="新宋体" w:cs="新宋体"/>
          <w:color w:val="auto"/>
          <w:kern w:val="0"/>
          <w:sz w:val="22"/>
          <w:szCs w:val="22"/>
          <w:highlight w:val="none"/>
          <w:u w:val="single"/>
        </w:rPr>
        <w:t xml:space="preserve">                              。</w:t>
      </w:r>
    </w:p>
    <w:p w14:paraId="69024D72">
      <w:pPr>
        <w:pStyle w:val="24"/>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（三）现已清楚知道并严格遵守政府采购法律法规和现场纪律</w:t>
      </w:r>
    </w:p>
    <w:p w14:paraId="0ADD3C9F">
      <w:pPr>
        <w:pStyle w:val="24"/>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（四）我发现</w:t>
      </w:r>
      <w:r>
        <w:rPr>
          <w:rStyle w:val="146"/>
          <w:rFonts w:hint="eastAsia" w:ascii="新宋体" w:hAnsi="新宋体" w:eastAsia="新宋体" w:cs="新宋体"/>
          <w:color w:val="auto"/>
          <w:sz w:val="22"/>
          <w:szCs w:val="22"/>
          <w:highlight w:val="none"/>
        </w:rPr>
        <w:t xml:space="preserve">                  </w:t>
      </w:r>
      <w:r>
        <w:rPr>
          <w:rStyle w:val="146"/>
          <w:rFonts w:hint="eastAsia" w:ascii="新宋体" w:hAnsi="新宋体" w:eastAsia="新宋体" w:cs="新宋体"/>
          <w:color w:val="auto"/>
          <w:sz w:val="22"/>
          <w:szCs w:val="22"/>
          <w:highlight w:val="none"/>
          <w:u w:val="none"/>
        </w:rPr>
        <w:t>与</w:t>
      </w:r>
      <w:r>
        <w:rPr>
          <w:rStyle w:val="146"/>
          <w:rFonts w:hint="eastAsia" w:ascii="新宋体" w:hAnsi="新宋体" w:eastAsia="新宋体" w:cs="新宋体"/>
          <w:color w:val="auto"/>
          <w:sz w:val="22"/>
          <w:szCs w:val="22"/>
          <w:highlight w:val="none"/>
        </w:rPr>
        <w:t xml:space="preserve">                  （供应商名称）</w:t>
      </w:r>
      <w:r>
        <w:rPr>
          <w:rFonts w:hint="eastAsia" w:ascii="新宋体" w:hAnsi="新宋体" w:eastAsia="新宋体" w:cs="新宋体"/>
          <w:color w:val="auto"/>
          <w:kern w:val="0"/>
          <w:sz w:val="22"/>
          <w:szCs w:val="22"/>
          <w:highlight w:val="none"/>
        </w:rPr>
        <w:t>之间存在或可能存在上述第二条第</w:t>
      </w:r>
      <w:r>
        <w:rPr>
          <w:rStyle w:val="146"/>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kern w:val="0"/>
          <w:sz w:val="22"/>
          <w:szCs w:val="22"/>
          <w:highlight w:val="none"/>
        </w:rPr>
        <w:t>项利害关系。</w:t>
      </w:r>
    </w:p>
    <w:p w14:paraId="270C363A">
      <w:pPr>
        <w:pStyle w:val="24"/>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供应商代表签名：</w:t>
      </w:r>
    </w:p>
    <w:p w14:paraId="3A0F3F09">
      <w:pPr>
        <w:pStyle w:val="24"/>
        <w:keepNext w:val="0"/>
        <w:keepLines w:val="0"/>
        <w:pageBreakBefore w:val="0"/>
        <w:widowControl w:val="0"/>
        <w:kinsoku/>
        <w:wordWrap/>
        <w:overflowPunct/>
        <w:topLinePunct w:val="0"/>
        <w:autoSpaceDE/>
        <w:autoSpaceDN/>
        <w:bidi w:val="0"/>
        <w:adjustRightInd/>
        <w:snapToGrid/>
        <w:spacing w:line="460" w:lineRule="exact"/>
        <w:ind w:left="0" w:leftChars="0"/>
        <w:textAlignment w:val="auto"/>
        <w:rPr>
          <w:rFonts w:hint="eastAsia" w:ascii="新宋体" w:hAnsi="新宋体" w:eastAsia="新宋体" w:cs="新宋体"/>
          <w:b/>
          <w:color w:val="auto"/>
          <w:kern w:val="0"/>
          <w:sz w:val="22"/>
          <w:szCs w:val="22"/>
          <w:highlight w:val="none"/>
        </w:rPr>
      </w:pPr>
    </w:p>
    <w:p w14:paraId="6AFA0C7A">
      <w:pPr>
        <w:pStyle w:val="24"/>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日期：</w:t>
      </w:r>
      <w:r>
        <w:rPr>
          <w:rFonts w:hint="eastAsia" w:ascii="新宋体" w:hAnsi="新宋体" w:eastAsia="新宋体" w:cs="新宋体"/>
          <w:b/>
          <w:color w:val="auto"/>
          <w:kern w:val="0"/>
          <w:sz w:val="22"/>
          <w:szCs w:val="22"/>
          <w:highlight w:val="none"/>
          <w:lang w:val="en-US" w:eastAsia="zh-CN"/>
        </w:rPr>
        <w:t xml:space="preserve">    </w:t>
      </w:r>
      <w:r>
        <w:rPr>
          <w:rFonts w:hint="eastAsia" w:ascii="新宋体" w:hAnsi="新宋体" w:eastAsia="新宋体" w:cs="新宋体"/>
          <w:b/>
          <w:color w:val="auto"/>
          <w:kern w:val="0"/>
          <w:sz w:val="22"/>
          <w:szCs w:val="22"/>
          <w:highlight w:val="none"/>
        </w:rPr>
        <w:t>年    月    日</w:t>
      </w:r>
    </w:p>
    <w:p w14:paraId="365801AD">
      <w:pPr>
        <w:pStyle w:val="24"/>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新宋体" w:hAnsi="新宋体" w:eastAsia="新宋体" w:cs="新宋体"/>
          <w:b/>
          <w:color w:val="auto"/>
          <w:kern w:val="0"/>
          <w:sz w:val="22"/>
          <w:szCs w:val="22"/>
          <w:highlight w:val="none"/>
        </w:rPr>
      </w:pPr>
    </w:p>
    <w:p w14:paraId="62376DC7">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6、联合体共同投标协议书（如有）</w:t>
      </w:r>
    </w:p>
    <w:p w14:paraId="00959EC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牵头人名称：</w:t>
      </w:r>
      <w:r>
        <w:rPr>
          <w:rFonts w:hint="eastAsia" w:ascii="新宋体" w:hAnsi="新宋体" w:eastAsia="新宋体" w:cs="新宋体"/>
          <w:color w:val="auto"/>
          <w:sz w:val="22"/>
          <w:szCs w:val="22"/>
          <w:highlight w:val="none"/>
          <w:u w:val="single"/>
        </w:rPr>
        <w:t xml:space="preserve">                                                        </w:t>
      </w:r>
    </w:p>
    <w:p w14:paraId="58059C2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p>
    <w:p w14:paraId="20250DA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35"/>
          <w:sz w:val="22"/>
          <w:szCs w:val="22"/>
          <w:highlight w:val="none"/>
        </w:rPr>
        <w:t>法定住</w:t>
      </w:r>
      <w:r>
        <w:rPr>
          <w:rFonts w:hint="eastAsia" w:ascii="新宋体" w:hAnsi="新宋体" w:eastAsia="新宋体" w:cs="新宋体"/>
          <w:color w:val="auto"/>
          <w:sz w:val="22"/>
          <w:szCs w:val="22"/>
          <w:highlight w:val="none"/>
        </w:rPr>
        <w:t>所：</w:t>
      </w:r>
      <w:r>
        <w:rPr>
          <w:rFonts w:hint="eastAsia" w:ascii="新宋体" w:hAnsi="新宋体" w:eastAsia="新宋体" w:cs="新宋体"/>
          <w:color w:val="auto"/>
          <w:sz w:val="22"/>
          <w:szCs w:val="22"/>
          <w:highlight w:val="none"/>
          <w:u w:val="single"/>
        </w:rPr>
        <w:t xml:space="preserve">                                                        </w:t>
      </w:r>
    </w:p>
    <w:p w14:paraId="0363405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联合体</w:t>
      </w:r>
      <w:r>
        <w:rPr>
          <w:rFonts w:hint="eastAsia" w:ascii="新宋体" w:hAnsi="新宋体" w:eastAsia="新宋体" w:cs="新宋体"/>
          <w:color w:val="auto"/>
          <w:sz w:val="22"/>
          <w:szCs w:val="22"/>
          <w:highlight w:val="none"/>
        </w:rPr>
        <w:t>成员名称：</w:t>
      </w:r>
      <w:r>
        <w:rPr>
          <w:rFonts w:hint="eastAsia" w:ascii="新宋体" w:hAnsi="新宋体" w:eastAsia="新宋体" w:cs="新宋体"/>
          <w:color w:val="auto"/>
          <w:sz w:val="22"/>
          <w:szCs w:val="22"/>
          <w:highlight w:val="none"/>
          <w:u w:val="single"/>
        </w:rPr>
        <w:t xml:space="preserve">                                                    </w:t>
      </w:r>
    </w:p>
    <w:p w14:paraId="5558C93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p>
    <w:p w14:paraId="5F79678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35"/>
          <w:sz w:val="22"/>
          <w:szCs w:val="22"/>
          <w:highlight w:val="none"/>
        </w:rPr>
        <w:t>法定住</w:t>
      </w:r>
      <w:r>
        <w:rPr>
          <w:rFonts w:hint="eastAsia" w:ascii="新宋体" w:hAnsi="新宋体" w:eastAsia="新宋体" w:cs="新宋体"/>
          <w:color w:val="auto"/>
          <w:sz w:val="22"/>
          <w:szCs w:val="22"/>
          <w:highlight w:val="none"/>
        </w:rPr>
        <w:t>所：</w:t>
      </w:r>
      <w:r>
        <w:rPr>
          <w:rFonts w:hint="eastAsia" w:ascii="新宋体" w:hAnsi="新宋体" w:eastAsia="新宋体" w:cs="新宋体"/>
          <w:color w:val="auto"/>
          <w:sz w:val="22"/>
          <w:szCs w:val="22"/>
          <w:highlight w:val="none"/>
          <w:u w:val="single"/>
        </w:rPr>
        <w:t xml:space="preserve">                                                        </w:t>
      </w:r>
    </w:p>
    <w:p w14:paraId="28D59B9F">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鉴于上述各成员单位经过友好协商，自愿组成</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（联合体名称）联合体，共同参加</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（招标人名称）（以下简称招标人）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（项目名称）（以下简称合同）。现就联合体投标事宜订立如下协议：</w:t>
      </w:r>
    </w:p>
    <w:p w14:paraId="72761C64">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（某成员单位名称）为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（联合体名称）牵头人。</w:t>
      </w:r>
    </w:p>
    <w:p w14:paraId="385F1704">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2、在本项目投标阶段，联合体牵头人合法代表联合体各成员负责本</w:t>
      </w:r>
      <w:r>
        <w:rPr>
          <w:rFonts w:hint="eastAsia" w:ascii="新宋体" w:hAnsi="新宋体" w:eastAsia="新宋体" w:cs="新宋体"/>
          <w:color w:val="auto"/>
          <w:sz w:val="22"/>
          <w:szCs w:val="22"/>
          <w:highlight w:val="none"/>
          <w:lang w:eastAsia="zh-CN"/>
        </w:rPr>
        <w:t>项目</w:t>
      </w:r>
      <w:r>
        <w:rPr>
          <w:rFonts w:hint="eastAsia" w:ascii="新宋体" w:hAnsi="新宋体" w:eastAsia="新宋体" w:cs="新宋体"/>
          <w:color w:val="auto"/>
          <w:sz w:val="22"/>
          <w:szCs w:val="22"/>
          <w:highlight w:val="none"/>
        </w:rPr>
        <w:t>投标文件编制活动，代表联合体提交和接收相关的资料、信息及指示，并处理投标和中标有关的一切事务；联合体中标后，联合体牵头人负责合同订立和合同实施阶段的主办、组织和协调工作。</w:t>
      </w:r>
    </w:p>
    <w:p w14:paraId="2293F383">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3、联合体将严格按照</w:t>
      </w:r>
      <w:r>
        <w:rPr>
          <w:rFonts w:hint="eastAsia" w:ascii="新宋体" w:hAnsi="新宋体" w:eastAsia="新宋体" w:cs="新宋体"/>
          <w:color w:val="auto"/>
          <w:sz w:val="22"/>
          <w:szCs w:val="22"/>
          <w:highlight w:val="none"/>
          <w:lang w:eastAsia="zh-CN"/>
        </w:rPr>
        <w:t>采购文件</w:t>
      </w:r>
      <w:r>
        <w:rPr>
          <w:rFonts w:hint="eastAsia" w:ascii="新宋体" w:hAnsi="新宋体" w:eastAsia="新宋体" w:cs="新宋体"/>
          <w:color w:val="auto"/>
          <w:sz w:val="22"/>
          <w:szCs w:val="22"/>
          <w:highlight w:val="none"/>
        </w:rPr>
        <w:t>的各项要求，递交投标文件，履行投标义务和中标后的合同，共同承担合同规定的一切义务和责任，联合体各成员单位按照内部职责的划分，承担各自所负的责任和风险，并向招标人承担连带责任。</w:t>
      </w:r>
    </w:p>
    <w:p w14:paraId="577ED9D8">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4、联合体各成员单位内部的职责分工如下：</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w:t>
      </w:r>
    </w:p>
    <w:p w14:paraId="1BD09F2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按照本条上述分工，联合体成员单位</w:t>
      </w:r>
      <w:r>
        <w:rPr>
          <w:rFonts w:hint="eastAsia" w:ascii="新宋体" w:hAnsi="新宋体" w:eastAsia="新宋体" w:cs="新宋体"/>
          <w:color w:val="auto"/>
          <w:sz w:val="22"/>
          <w:szCs w:val="22"/>
          <w:highlight w:val="none"/>
          <w:lang w:val="en-US" w:eastAsia="zh-CN"/>
        </w:rPr>
        <w:t>合同份额占合同总金额的占比</w:t>
      </w:r>
      <w:r>
        <w:rPr>
          <w:rFonts w:hint="eastAsia" w:ascii="新宋体" w:hAnsi="新宋体" w:eastAsia="新宋体" w:cs="新宋体"/>
          <w:color w:val="auto"/>
          <w:sz w:val="22"/>
          <w:szCs w:val="22"/>
          <w:highlight w:val="none"/>
        </w:rPr>
        <w:t>比例如下：</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w:t>
      </w:r>
    </w:p>
    <w:p w14:paraId="07F09531">
      <w:pPr>
        <w:keepNext w:val="0"/>
        <w:keepLines w:val="0"/>
        <w:pageBreakBefore w:val="0"/>
        <w:widowControl w:val="0"/>
        <w:kinsoku/>
        <w:wordWrap/>
        <w:overflowPunct/>
        <w:topLinePunct w:val="0"/>
        <w:autoSpaceDE/>
        <w:autoSpaceDN/>
        <w:bidi w:val="0"/>
        <w:adjustRightInd/>
        <w:snapToGrid/>
        <w:spacing w:line="460" w:lineRule="exact"/>
        <w:ind w:firstLine="352" w:firstLineChars="16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5、联合体中标后，本联合体协议是合同的附件，对联合体各成员单位有合同约束力。</w:t>
      </w:r>
    </w:p>
    <w:p w14:paraId="11885E5A">
      <w:pPr>
        <w:keepNext w:val="0"/>
        <w:keepLines w:val="0"/>
        <w:pageBreakBefore w:val="0"/>
        <w:widowControl w:val="0"/>
        <w:kinsoku/>
        <w:wordWrap/>
        <w:overflowPunct/>
        <w:topLinePunct w:val="0"/>
        <w:autoSpaceDE/>
        <w:autoSpaceDN/>
        <w:bidi w:val="0"/>
        <w:adjustRightInd/>
        <w:snapToGrid/>
        <w:spacing w:line="460" w:lineRule="exact"/>
        <w:ind w:firstLine="352" w:firstLineChars="16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6、本协议书自签署之日起生效，联合体未中标或者中标时合同履行完毕后自动失效。</w:t>
      </w:r>
    </w:p>
    <w:p w14:paraId="24526D3C">
      <w:pPr>
        <w:keepNext w:val="0"/>
        <w:keepLines w:val="0"/>
        <w:pageBreakBefore w:val="0"/>
        <w:widowControl w:val="0"/>
        <w:kinsoku/>
        <w:wordWrap/>
        <w:overflowPunct/>
        <w:topLinePunct w:val="0"/>
        <w:autoSpaceDE/>
        <w:autoSpaceDN/>
        <w:bidi w:val="0"/>
        <w:adjustRightInd/>
        <w:snapToGrid/>
        <w:spacing w:line="460" w:lineRule="exact"/>
        <w:ind w:firstLine="352" w:firstLineChars="16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7、本协议书一式</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份，联合体成员和招标人各执一份。</w:t>
      </w:r>
    </w:p>
    <w:p w14:paraId="27925554">
      <w:pPr>
        <w:keepNext w:val="0"/>
        <w:keepLines w:val="0"/>
        <w:pageBreakBefore w:val="0"/>
        <w:widowControl w:val="0"/>
        <w:kinsoku/>
        <w:wordWrap/>
        <w:overflowPunct/>
        <w:topLinePunct w:val="0"/>
        <w:autoSpaceDE/>
        <w:autoSpaceDN/>
        <w:bidi w:val="0"/>
        <w:adjustRightInd/>
        <w:snapToGrid/>
        <w:spacing w:line="460" w:lineRule="exact"/>
        <w:ind w:firstLine="2785" w:firstLineChars="1266"/>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牵头人名称：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（盖单位公章）</w:t>
      </w:r>
    </w:p>
    <w:p w14:paraId="10D867F8">
      <w:pPr>
        <w:keepNext w:val="0"/>
        <w:keepLines w:val="0"/>
        <w:pageBreakBefore w:val="0"/>
        <w:widowControl w:val="0"/>
        <w:kinsoku/>
        <w:wordWrap/>
        <w:overflowPunct/>
        <w:topLinePunct w:val="0"/>
        <w:autoSpaceDE/>
        <w:autoSpaceDN/>
        <w:bidi w:val="0"/>
        <w:adjustRightInd/>
        <w:snapToGrid/>
        <w:spacing w:line="460" w:lineRule="exact"/>
        <w:ind w:firstLine="1100" w:firstLineChars="5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或授权代表：</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（签字或盖章）</w:t>
      </w:r>
    </w:p>
    <w:p w14:paraId="7DB25F5B">
      <w:pPr>
        <w:keepNext w:val="0"/>
        <w:keepLines w:val="0"/>
        <w:pageBreakBefore w:val="0"/>
        <w:widowControl w:val="0"/>
        <w:kinsoku/>
        <w:wordWrap/>
        <w:overflowPunct/>
        <w:topLinePunct w:val="0"/>
        <w:autoSpaceDE/>
        <w:autoSpaceDN/>
        <w:bidi w:val="0"/>
        <w:adjustRightInd/>
        <w:snapToGrid/>
        <w:spacing w:line="460" w:lineRule="exact"/>
        <w:ind w:firstLine="2785" w:firstLineChars="1266"/>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联合体</w:t>
      </w:r>
      <w:r>
        <w:rPr>
          <w:rFonts w:hint="eastAsia" w:ascii="新宋体" w:hAnsi="新宋体" w:eastAsia="新宋体" w:cs="新宋体"/>
          <w:color w:val="auto"/>
          <w:sz w:val="22"/>
          <w:szCs w:val="22"/>
          <w:highlight w:val="none"/>
        </w:rPr>
        <w:t>成员名称：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（盖单位公章）</w:t>
      </w:r>
    </w:p>
    <w:p w14:paraId="226B2D6A">
      <w:pPr>
        <w:keepNext w:val="0"/>
        <w:keepLines w:val="0"/>
        <w:pageBreakBefore w:val="0"/>
        <w:widowControl w:val="0"/>
        <w:kinsoku/>
        <w:wordWrap/>
        <w:overflowPunct/>
        <w:topLinePunct w:val="0"/>
        <w:autoSpaceDE/>
        <w:autoSpaceDN/>
        <w:bidi w:val="0"/>
        <w:adjustRightInd/>
        <w:snapToGrid/>
        <w:spacing w:line="460" w:lineRule="exact"/>
        <w:ind w:firstLine="1100" w:firstLineChars="5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或授权代表：</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（签字或盖章）</w:t>
      </w:r>
    </w:p>
    <w:p w14:paraId="65333970">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月</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 xml:space="preserve">日             </w:t>
      </w:r>
    </w:p>
    <w:p w14:paraId="1124FE7E">
      <w:pPr>
        <w:keepNext w:val="0"/>
        <w:keepLines w:val="0"/>
        <w:pageBreakBefore w:val="0"/>
        <w:widowControl w:val="0"/>
        <w:kinsoku/>
        <w:wordWrap/>
        <w:overflowPunct/>
        <w:topLinePunct w:val="0"/>
        <w:autoSpaceDE/>
        <w:autoSpaceDN/>
        <w:bidi w:val="0"/>
        <w:adjustRightInd/>
        <w:snapToGrid/>
        <w:spacing w:line="460" w:lineRule="exact"/>
        <w:ind w:right="420"/>
        <w:textAlignment w:val="auto"/>
        <w:rPr>
          <w:rFonts w:hint="eastAsia" w:ascii="新宋体" w:hAnsi="新宋体" w:eastAsia="新宋体" w:cs="新宋体"/>
          <w:color w:val="auto"/>
          <w:sz w:val="22"/>
          <w:szCs w:val="22"/>
          <w:highlight w:val="none"/>
        </w:rPr>
      </w:pPr>
    </w:p>
    <w:p w14:paraId="5C7F16DB">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新宋体" w:hAnsi="新宋体" w:eastAsia="新宋体" w:cs="新宋体"/>
          <w:b/>
          <w:color w:val="auto"/>
          <w:sz w:val="22"/>
          <w:highlight w:val="none"/>
          <w:lang w:val="en-US" w:eastAsia="zh-CN"/>
        </w:rPr>
      </w:pPr>
      <w:r>
        <w:rPr>
          <w:rFonts w:hint="eastAsia" w:ascii="新宋体" w:hAnsi="新宋体" w:eastAsia="新宋体" w:cs="新宋体"/>
          <w:color w:val="auto"/>
          <w:sz w:val="22"/>
          <w:szCs w:val="22"/>
          <w:highlight w:val="none"/>
        </w:rPr>
        <w:t>备注：本协议书由授权代表签字或盖章的，应附</w:t>
      </w: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签字或盖章的授权委托书。</w:t>
      </w:r>
    </w:p>
    <w:bookmarkEnd w:id="25"/>
    <w:p w14:paraId="43E64956">
      <w:pPr>
        <w:pStyle w:val="24"/>
        <w:ind w:left="860" w:hanging="440"/>
        <w:rPr>
          <w:rFonts w:hint="eastAsia" w:ascii="新宋体" w:hAnsi="新宋体" w:eastAsia="新宋体" w:cs="新宋体"/>
          <w:color w:val="auto"/>
          <w:kern w:val="0"/>
          <w:sz w:val="22"/>
          <w:szCs w:val="22"/>
          <w:highlight w:val="none"/>
        </w:rPr>
      </w:pPr>
    </w:p>
    <w:p w14:paraId="2E035865">
      <w:pPr>
        <w:pStyle w:val="24"/>
        <w:ind w:left="860" w:hanging="440"/>
        <w:rPr>
          <w:rFonts w:hint="eastAsia" w:ascii="新宋体" w:hAnsi="新宋体" w:eastAsia="新宋体" w:cs="新宋体"/>
          <w:color w:val="auto"/>
          <w:kern w:val="0"/>
          <w:sz w:val="22"/>
          <w:szCs w:val="22"/>
          <w:highlight w:val="none"/>
        </w:rPr>
      </w:pPr>
    </w:p>
    <w:p w14:paraId="3914FB1C">
      <w:pPr>
        <w:pStyle w:val="24"/>
        <w:spacing w:line="460" w:lineRule="exact"/>
        <w:ind w:left="0" w:leftChars="0"/>
        <w:outlineLvl w:val="1"/>
        <w:rPr>
          <w:rFonts w:hint="eastAsia" w:ascii="新宋体" w:hAnsi="新宋体" w:eastAsia="新宋体" w:cs="新宋体"/>
          <w:b/>
          <w:color w:val="auto"/>
          <w:sz w:val="22"/>
          <w:szCs w:val="22"/>
          <w:highlight w:val="none"/>
        </w:rPr>
      </w:pPr>
      <w:bookmarkStart w:id="26" w:name="_Toc23058"/>
      <w:r>
        <w:rPr>
          <w:rFonts w:hint="eastAsia" w:ascii="新宋体" w:hAnsi="新宋体" w:eastAsia="新宋体" w:cs="新宋体"/>
          <w:b/>
          <w:color w:val="auto"/>
          <w:sz w:val="22"/>
          <w:szCs w:val="22"/>
          <w:highlight w:val="none"/>
        </w:rPr>
        <w:t>附件二</w:t>
      </w:r>
      <w:bookmarkEnd w:id="26"/>
    </w:p>
    <w:p w14:paraId="68F184B6">
      <w:pPr>
        <w:pStyle w:val="5"/>
        <w:keepNext w:val="0"/>
        <w:keepLines w:val="0"/>
        <w:tabs>
          <w:tab w:val="left" w:pos="774"/>
        </w:tabs>
        <w:autoSpaceDE w:val="0"/>
        <w:autoSpaceDN w:val="0"/>
        <w:spacing w:before="240" w:line="400" w:lineRule="exact"/>
        <w:jc w:val="center"/>
        <w:rPr>
          <w:rFonts w:hint="eastAsia" w:ascii="新宋体" w:hAnsi="新宋体" w:eastAsia="新宋体" w:cs="新宋体"/>
          <w:bCs/>
          <w:color w:val="auto"/>
          <w:szCs w:val="28"/>
          <w:highlight w:val="none"/>
        </w:rPr>
      </w:pPr>
      <w:bookmarkStart w:id="27" w:name="_Toc20642"/>
      <w:r>
        <w:rPr>
          <w:rFonts w:hint="eastAsia" w:ascii="新宋体" w:hAnsi="新宋体" w:eastAsia="新宋体" w:cs="新宋体"/>
          <w:bCs/>
          <w:color w:val="auto"/>
          <w:szCs w:val="28"/>
          <w:highlight w:val="none"/>
        </w:rPr>
        <w:t>报价文件</w:t>
      </w:r>
      <w:bookmarkEnd w:id="27"/>
    </w:p>
    <w:p w14:paraId="302CD382">
      <w:pPr>
        <w:spacing w:line="400" w:lineRule="exact"/>
        <w:jc w:val="center"/>
        <w:outlineLvl w:val="3"/>
        <w:rPr>
          <w:rFonts w:hint="eastAsia" w:ascii="新宋体" w:hAnsi="新宋体" w:eastAsia="新宋体" w:cs="新宋体"/>
          <w:b/>
          <w:color w:val="auto"/>
          <w:sz w:val="22"/>
          <w:highlight w:val="none"/>
        </w:rPr>
      </w:pPr>
      <w:r>
        <w:rPr>
          <w:rFonts w:hint="eastAsia" w:ascii="新宋体" w:hAnsi="新宋体" w:eastAsia="新宋体" w:cs="新宋体"/>
          <w:b/>
          <w:bCs/>
          <w:color w:val="auto"/>
          <w:sz w:val="28"/>
          <w:szCs w:val="28"/>
          <w:highlight w:val="none"/>
          <w:lang w:val="en-US" w:eastAsia="zh-CN"/>
        </w:rPr>
        <w:t>1</w:t>
      </w:r>
      <w:r>
        <w:rPr>
          <w:rFonts w:hint="eastAsia" w:ascii="新宋体" w:hAnsi="新宋体" w:eastAsia="新宋体" w:cs="新宋体"/>
          <w:b/>
          <w:bCs/>
          <w:color w:val="auto"/>
          <w:sz w:val="28"/>
          <w:szCs w:val="28"/>
          <w:highlight w:val="none"/>
        </w:rPr>
        <w:t>、投标报价一览表</w:t>
      </w:r>
    </w:p>
    <w:p w14:paraId="5F04AE8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761F1EC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702"/>
        <w:gridCol w:w="1541"/>
        <w:gridCol w:w="1527"/>
        <w:gridCol w:w="4113"/>
      </w:tblGrid>
      <w:tr w14:paraId="4DBC2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noWrap w:val="0"/>
            <w:vAlign w:val="center"/>
          </w:tcPr>
          <w:p w14:paraId="00FA604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702" w:type="dxa"/>
            <w:noWrap w:val="0"/>
            <w:vAlign w:val="center"/>
          </w:tcPr>
          <w:p w14:paraId="3C9E08F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项目名称</w:t>
            </w:r>
          </w:p>
        </w:tc>
        <w:tc>
          <w:tcPr>
            <w:tcW w:w="1541" w:type="dxa"/>
            <w:noWrap w:val="0"/>
            <w:vAlign w:val="center"/>
          </w:tcPr>
          <w:p w14:paraId="580267B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投标报价</w:t>
            </w:r>
          </w:p>
          <w:p w14:paraId="3DC764F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（折扣率%）</w:t>
            </w:r>
          </w:p>
        </w:tc>
        <w:tc>
          <w:tcPr>
            <w:tcW w:w="1527" w:type="dxa"/>
            <w:noWrap w:val="0"/>
            <w:vAlign w:val="center"/>
          </w:tcPr>
          <w:p w14:paraId="4D5A147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服务期</w:t>
            </w:r>
          </w:p>
        </w:tc>
        <w:tc>
          <w:tcPr>
            <w:tcW w:w="4113" w:type="dxa"/>
            <w:noWrap w:val="0"/>
            <w:vAlign w:val="center"/>
          </w:tcPr>
          <w:p w14:paraId="333ABB1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14:paraId="14DFB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817" w:type="dxa"/>
            <w:noWrap w:val="0"/>
            <w:vAlign w:val="center"/>
          </w:tcPr>
          <w:p w14:paraId="2B66163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702" w:type="dxa"/>
            <w:noWrap w:val="0"/>
            <w:vAlign w:val="center"/>
          </w:tcPr>
          <w:p w14:paraId="6A872F0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常规检验外送</w:t>
            </w:r>
          </w:p>
        </w:tc>
        <w:tc>
          <w:tcPr>
            <w:tcW w:w="1541" w:type="dxa"/>
            <w:noWrap w:val="0"/>
            <w:vAlign w:val="center"/>
          </w:tcPr>
          <w:p w14:paraId="41EC673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w:t>
            </w:r>
          </w:p>
        </w:tc>
        <w:tc>
          <w:tcPr>
            <w:tcW w:w="1527" w:type="dxa"/>
            <w:noWrap w:val="0"/>
            <w:vAlign w:val="center"/>
          </w:tcPr>
          <w:p w14:paraId="72E3A66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1年</w:t>
            </w:r>
          </w:p>
        </w:tc>
        <w:tc>
          <w:tcPr>
            <w:tcW w:w="4113" w:type="dxa"/>
            <w:noWrap w:val="0"/>
            <w:vAlign w:val="center"/>
          </w:tcPr>
          <w:p w14:paraId="0EFDEA6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w:t>
            </w:r>
            <w:r>
              <w:rPr>
                <w:rFonts w:hint="eastAsia" w:ascii="新宋体" w:hAnsi="新宋体" w:eastAsia="新宋体" w:cs="新宋体"/>
                <w:color w:val="auto"/>
                <w:sz w:val="22"/>
                <w:szCs w:val="22"/>
                <w:highlight w:val="none"/>
              </w:rPr>
              <w:t>投标人的投标报价（折扣率）≤</w:t>
            </w:r>
            <w:r>
              <w:rPr>
                <w:rFonts w:hint="eastAsia" w:ascii="新宋体" w:hAnsi="新宋体" w:eastAsia="新宋体" w:cs="新宋体"/>
                <w:color w:val="auto"/>
                <w:sz w:val="22"/>
                <w:szCs w:val="22"/>
                <w:highlight w:val="none"/>
                <w:lang w:val="en-US" w:eastAsia="zh-CN"/>
              </w:rPr>
              <w:t>50%</w:t>
            </w:r>
            <w:r>
              <w:rPr>
                <w:rFonts w:hint="eastAsia" w:ascii="新宋体" w:hAnsi="新宋体" w:eastAsia="新宋体" w:cs="新宋体"/>
                <w:color w:val="auto"/>
                <w:sz w:val="22"/>
                <w:szCs w:val="22"/>
                <w:highlight w:val="none"/>
                <w:lang w:eastAsia="zh-CN"/>
              </w:rPr>
              <w:t>。</w:t>
            </w:r>
          </w:p>
        </w:tc>
      </w:tr>
    </w:tbl>
    <w:p w14:paraId="5C6BE9D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说明：</w:t>
      </w:r>
      <w:r>
        <w:rPr>
          <w:rFonts w:hint="eastAsia" w:ascii="新宋体" w:hAnsi="新宋体" w:eastAsia="新宋体" w:cs="新宋体"/>
          <w:b/>
          <w:bCs/>
          <w:color w:val="auto"/>
          <w:sz w:val="22"/>
          <w:szCs w:val="22"/>
          <w:highlight w:val="none"/>
        </w:rPr>
        <w:t>1、本项目投标</w:t>
      </w:r>
      <w:r>
        <w:rPr>
          <w:rFonts w:hint="eastAsia" w:ascii="新宋体" w:hAnsi="新宋体" w:eastAsia="新宋体" w:cs="新宋体"/>
          <w:color w:val="auto"/>
          <w:sz w:val="22"/>
          <w:szCs w:val="22"/>
          <w:highlight w:val="none"/>
          <w:lang w:val="en-US" w:eastAsia="zh-CN"/>
        </w:rPr>
        <w:t>以</w:t>
      </w:r>
      <w:r>
        <w:rPr>
          <w:rFonts w:hint="eastAsia" w:ascii="新宋体" w:hAnsi="新宋体" w:eastAsia="新宋体" w:cs="新宋体"/>
          <w:color w:val="auto"/>
          <w:sz w:val="22"/>
          <w:szCs w:val="22"/>
          <w:highlight w:val="none"/>
          <w:lang w:eastAsia="zh-CN"/>
        </w:rPr>
        <w:t>《温州市公立医院医疗服务价格项目表》对应服务项目的收费标准为基准价</w:t>
      </w:r>
      <w:r>
        <w:rPr>
          <w:rFonts w:hint="eastAsia" w:ascii="新宋体" w:hAnsi="新宋体" w:eastAsia="新宋体" w:cs="新宋体"/>
          <w:b/>
          <w:bCs/>
          <w:color w:val="auto"/>
          <w:sz w:val="22"/>
          <w:szCs w:val="22"/>
          <w:highlight w:val="none"/>
        </w:rPr>
        <w:t>，投标单位考虑自身综合实力与本项目风险等情况，进行投标</w:t>
      </w:r>
      <w:r>
        <w:rPr>
          <w:rFonts w:hint="eastAsia" w:ascii="新宋体" w:hAnsi="新宋体" w:eastAsia="新宋体" w:cs="新宋体"/>
          <w:b/>
          <w:bCs/>
          <w:color w:val="auto"/>
          <w:sz w:val="22"/>
          <w:szCs w:val="22"/>
          <w:highlight w:val="none"/>
          <w:lang w:val="en-US" w:eastAsia="zh-CN"/>
        </w:rPr>
        <w:t>折扣</w:t>
      </w:r>
      <w:r>
        <w:rPr>
          <w:rFonts w:hint="eastAsia" w:ascii="新宋体" w:hAnsi="新宋体" w:eastAsia="新宋体" w:cs="新宋体"/>
          <w:b/>
          <w:bCs/>
          <w:color w:val="auto"/>
          <w:sz w:val="22"/>
          <w:szCs w:val="22"/>
          <w:highlight w:val="none"/>
        </w:rPr>
        <w:t>率报价。报统一</w:t>
      </w:r>
      <w:r>
        <w:rPr>
          <w:rFonts w:hint="eastAsia" w:ascii="新宋体" w:hAnsi="新宋体" w:eastAsia="新宋体" w:cs="新宋体"/>
          <w:b/>
          <w:bCs/>
          <w:color w:val="auto"/>
          <w:sz w:val="22"/>
          <w:szCs w:val="22"/>
          <w:highlight w:val="none"/>
          <w:lang w:val="en-US" w:eastAsia="zh-CN"/>
        </w:rPr>
        <w:t>折</w:t>
      </w:r>
      <w:r>
        <w:rPr>
          <w:rFonts w:hint="eastAsia" w:ascii="新宋体" w:hAnsi="新宋体" w:eastAsia="新宋体" w:cs="新宋体"/>
          <w:b/>
          <w:bCs/>
          <w:color w:val="auto"/>
          <w:sz w:val="22"/>
          <w:szCs w:val="22"/>
          <w:highlight w:val="none"/>
        </w:rPr>
        <w:t>扣率，即投标人拟收取的费用为：收费标准×</w:t>
      </w:r>
      <w:r>
        <w:rPr>
          <w:rFonts w:hint="eastAsia" w:ascii="新宋体" w:hAnsi="新宋体" w:eastAsia="新宋体" w:cs="新宋体"/>
          <w:b/>
          <w:bCs/>
          <w:color w:val="auto"/>
          <w:sz w:val="22"/>
          <w:szCs w:val="22"/>
          <w:highlight w:val="none"/>
          <w:lang w:val="en-US" w:eastAsia="zh-CN"/>
        </w:rPr>
        <w:t>折</w:t>
      </w:r>
      <w:r>
        <w:rPr>
          <w:rFonts w:hint="eastAsia" w:ascii="新宋体" w:hAnsi="新宋体" w:eastAsia="新宋体" w:cs="新宋体"/>
          <w:b/>
          <w:bCs/>
          <w:color w:val="auto"/>
          <w:sz w:val="22"/>
          <w:szCs w:val="22"/>
          <w:highlight w:val="none"/>
        </w:rPr>
        <w:t>扣率。（例：如投标人报50%的</w:t>
      </w:r>
      <w:r>
        <w:rPr>
          <w:rFonts w:hint="eastAsia" w:ascii="新宋体" w:hAnsi="新宋体" w:eastAsia="新宋体" w:cs="新宋体"/>
          <w:b/>
          <w:bCs/>
          <w:color w:val="auto"/>
          <w:sz w:val="22"/>
          <w:szCs w:val="22"/>
          <w:highlight w:val="none"/>
          <w:lang w:eastAsia="zh-CN"/>
        </w:rPr>
        <w:t>折扣率</w:t>
      </w:r>
      <w:r>
        <w:rPr>
          <w:rFonts w:hint="eastAsia" w:ascii="新宋体" w:hAnsi="新宋体" w:eastAsia="新宋体" w:cs="新宋体"/>
          <w:b/>
          <w:bCs/>
          <w:color w:val="auto"/>
          <w:sz w:val="22"/>
          <w:szCs w:val="22"/>
          <w:highlight w:val="none"/>
        </w:rPr>
        <w:t>，法定收费标准为100元，则投标人做一例该项测试收取的费用为50元）。</w:t>
      </w:r>
      <w:r>
        <w:rPr>
          <w:rFonts w:hint="eastAsia" w:ascii="新宋体" w:hAnsi="新宋体" w:eastAsia="新宋体" w:cs="新宋体"/>
          <w:b/>
          <w:bCs/>
          <w:color w:val="auto"/>
          <w:sz w:val="22"/>
          <w:szCs w:val="22"/>
          <w:highlight w:val="none"/>
          <w:lang w:val="en-US" w:eastAsia="zh-CN"/>
        </w:rPr>
        <w:t>折</w:t>
      </w:r>
      <w:r>
        <w:rPr>
          <w:rFonts w:hint="eastAsia" w:ascii="新宋体" w:hAnsi="新宋体" w:eastAsia="新宋体" w:cs="新宋体"/>
          <w:b/>
          <w:bCs/>
          <w:color w:val="auto"/>
          <w:sz w:val="22"/>
          <w:szCs w:val="22"/>
          <w:highlight w:val="none"/>
        </w:rPr>
        <w:t>扣率最多保留一位小数。</w:t>
      </w:r>
    </w:p>
    <w:p w14:paraId="07C9198C">
      <w:pPr>
        <w:keepNext w:val="0"/>
        <w:keepLines w:val="0"/>
        <w:pageBreakBefore w:val="0"/>
        <w:widowControl w:val="0"/>
        <w:kinsoku/>
        <w:wordWrap/>
        <w:overflowPunct/>
        <w:topLinePunct w:val="0"/>
        <w:autoSpaceDE/>
        <w:autoSpaceDN/>
        <w:bidi w:val="0"/>
        <w:adjustRightInd/>
        <w:snapToGrid/>
        <w:spacing w:line="460" w:lineRule="exact"/>
        <w:ind w:firstLine="663" w:firstLineChars="3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2、如遇政策性收费价格下调，外送检验价格按下调后医院收费价格与中标</w:t>
      </w:r>
      <w:r>
        <w:rPr>
          <w:rFonts w:hint="eastAsia" w:ascii="新宋体" w:hAnsi="新宋体" w:eastAsia="新宋体" w:cs="新宋体"/>
          <w:b/>
          <w:bCs/>
          <w:color w:val="auto"/>
          <w:sz w:val="22"/>
          <w:szCs w:val="22"/>
          <w:highlight w:val="none"/>
          <w:lang w:eastAsia="zh-CN"/>
        </w:rPr>
        <w:t>折扣率</w:t>
      </w:r>
      <w:r>
        <w:rPr>
          <w:rFonts w:hint="eastAsia" w:ascii="新宋体" w:hAnsi="新宋体" w:eastAsia="新宋体" w:cs="新宋体"/>
          <w:b/>
          <w:bCs/>
          <w:color w:val="auto"/>
          <w:sz w:val="22"/>
          <w:szCs w:val="22"/>
          <w:highlight w:val="none"/>
        </w:rPr>
        <w:t>的乘积计算。如遇政策性收费价格上调，外送检验价格不做调整。</w:t>
      </w:r>
    </w:p>
    <w:p w14:paraId="3462B328">
      <w:pPr>
        <w:keepNext w:val="0"/>
        <w:keepLines w:val="0"/>
        <w:pageBreakBefore w:val="0"/>
        <w:widowControl w:val="0"/>
        <w:kinsoku/>
        <w:wordWrap/>
        <w:overflowPunct/>
        <w:topLinePunct w:val="0"/>
        <w:autoSpaceDE/>
        <w:autoSpaceDN/>
        <w:bidi w:val="0"/>
        <w:adjustRightInd/>
        <w:snapToGrid/>
        <w:spacing w:line="460" w:lineRule="exact"/>
        <w:ind w:firstLine="663" w:firstLineChars="3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3、投标人的投标报价（</w:t>
      </w:r>
      <w:r>
        <w:rPr>
          <w:rFonts w:hint="eastAsia" w:ascii="新宋体" w:hAnsi="新宋体" w:eastAsia="新宋体" w:cs="新宋体"/>
          <w:b/>
          <w:bCs/>
          <w:color w:val="auto"/>
          <w:sz w:val="22"/>
          <w:szCs w:val="22"/>
          <w:highlight w:val="none"/>
          <w:lang w:val="en-US" w:eastAsia="zh-CN"/>
        </w:rPr>
        <w:t>折</w:t>
      </w:r>
      <w:r>
        <w:rPr>
          <w:rFonts w:hint="eastAsia" w:ascii="新宋体" w:hAnsi="新宋体" w:eastAsia="新宋体" w:cs="新宋体"/>
          <w:b/>
          <w:bCs/>
          <w:color w:val="auto"/>
          <w:sz w:val="22"/>
          <w:szCs w:val="22"/>
          <w:highlight w:val="none"/>
        </w:rPr>
        <w:t>扣率）上限为</w:t>
      </w:r>
      <w:r>
        <w:rPr>
          <w:rFonts w:hint="eastAsia" w:ascii="新宋体" w:hAnsi="新宋体" w:eastAsia="新宋体" w:cs="新宋体"/>
          <w:b/>
          <w:bCs/>
          <w:color w:val="auto"/>
          <w:sz w:val="22"/>
          <w:szCs w:val="22"/>
          <w:highlight w:val="none"/>
          <w:lang w:val="en-US" w:eastAsia="zh-CN"/>
        </w:rPr>
        <w:t>5</w:t>
      </w:r>
      <w:r>
        <w:rPr>
          <w:rFonts w:hint="eastAsia" w:ascii="新宋体" w:hAnsi="新宋体" w:eastAsia="新宋体" w:cs="新宋体"/>
          <w:b/>
          <w:bCs/>
          <w:color w:val="auto"/>
          <w:sz w:val="22"/>
          <w:szCs w:val="22"/>
          <w:highlight w:val="none"/>
        </w:rPr>
        <w:t>0%，超出上限</w:t>
      </w:r>
      <w:r>
        <w:rPr>
          <w:rFonts w:hint="eastAsia" w:ascii="新宋体" w:hAnsi="新宋体" w:eastAsia="新宋体" w:cs="新宋体"/>
          <w:b/>
          <w:bCs/>
          <w:color w:val="auto"/>
          <w:sz w:val="22"/>
          <w:szCs w:val="22"/>
          <w:highlight w:val="none"/>
          <w:lang w:eastAsia="zh-CN"/>
        </w:rPr>
        <w:t>折扣率</w:t>
      </w:r>
      <w:r>
        <w:rPr>
          <w:rFonts w:hint="eastAsia" w:ascii="新宋体" w:hAnsi="新宋体" w:eastAsia="新宋体" w:cs="新宋体"/>
          <w:b/>
          <w:bCs/>
          <w:color w:val="auto"/>
          <w:sz w:val="22"/>
          <w:szCs w:val="22"/>
          <w:highlight w:val="none"/>
        </w:rPr>
        <w:t>按无效处理。</w:t>
      </w:r>
    </w:p>
    <w:p w14:paraId="13FB8EB8">
      <w:pPr>
        <w:pStyle w:val="9"/>
        <w:keepNext w:val="0"/>
        <w:keepLines w:val="0"/>
        <w:pageBreakBefore w:val="0"/>
        <w:widowControl w:val="0"/>
        <w:kinsoku/>
        <w:wordWrap/>
        <w:overflowPunct/>
        <w:topLinePunct w:val="0"/>
        <w:autoSpaceDE/>
        <w:autoSpaceDN/>
        <w:bidi w:val="0"/>
        <w:adjustRightInd/>
        <w:snapToGrid/>
        <w:spacing w:line="460" w:lineRule="exact"/>
        <w:ind w:firstLine="400"/>
        <w:textAlignment w:val="auto"/>
        <w:rPr>
          <w:rFonts w:hint="eastAsia" w:ascii="新宋体" w:hAnsi="新宋体" w:eastAsia="新宋体" w:cs="新宋体"/>
          <w:color w:val="auto"/>
          <w:highlight w:val="none"/>
        </w:rPr>
      </w:pPr>
    </w:p>
    <w:p w14:paraId="0CD98158">
      <w:pPr>
        <w:pStyle w:val="27"/>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highlight w:val="none"/>
        </w:rPr>
      </w:pPr>
    </w:p>
    <w:p w14:paraId="09E46B45">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24901981">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10033C7">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4383B829">
      <w:pPr>
        <w:spacing w:line="420" w:lineRule="exact"/>
        <w:rPr>
          <w:rFonts w:hint="eastAsia" w:ascii="新宋体" w:hAnsi="新宋体" w:eastAsia="新宋体" w:cs="新宋体"/>
          <w:b/>
          <w:bCs/>
          <w:color w:val="auto"/>
          <w:sz w:val="28"/>
          <w:szCs w:val="28"/>
          <w:highlight w:val="none"/>
        </w:rPr>
      </w:pPr>
    </w:p>
    <w:p w14:paraId="5C9B005D">
      <w:pPr>
        <w:rPr>
          <w:rFonts w:hint="eastAsia" w:ascii="新宋体" w:hAnsi="新宋体" w:eastAsia="新宋体" w:cs="新宋体"/>
          <w:b/>
          <w:bCs/>
          <w:color w:val="auto"/>
          <w:sz w:val="28"/>
          <w:szCs w:val="28"/>
          <w:highlight w:val="none"/>
        </w:rPr>
      </w:pPr>
    </w:p>
    <w:p w14:paraId="1BAF42ED">
      <w:pPr>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br w:type="page"/>
      </w:r>
    </w:p>
    <w:p w14:paraId="63825599">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2、符合财政扶持价格优惠政策的证明材料（如有）</w:t>
      </w:r>
    </w:p>
    <w:p w14:paraId="73C00424">
      <w:pPr>
        <w:bidi w:val="0"/>
        <w:rPr>
          <w:rFonts w:hint="eastAsia" w:ascii="新宋体" w:hAnsi="新宋体" w:eastAsia="新宋体" w:cs="新宋体"/>
          <w:color w:val="auto"/>
          <w:highlight w:val="none"/>
          <w:lang w:val="en-US" w:eastAsia="zh-CN"/>
        </w:rPr>
      </w:pPr>
    </w:p>
    <w:p w14:paraId="55596033">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（1）中小企业的相关证明材料</w:t>
      </w:r>
    </w:p>
    <w:p w14:paraId="1A8CA61E">
      <w:pPr>
        <w:snapToGrid w:val="0"/>
        <w:spacing w:line="460" w:lineRule="exact"/>
        <w:jc w:val="center"/>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w:t>
      </w:r>
      <w:r>
        <w:rPr>
          <w:rFonts w:hint="eastAsia" w:ascii="新宋体" w:hAnsi="新宋体" w:eastAsia="新宋体" w:cs="新宋体"/>
          <w:color w:val="auto"/>
          <w:spacing w:val="6"/>
          <w:sz w:val="22"/>
          <w:szCs w:val="22"/>
          <w:highlight w:val="none"/>
          <w:lang w:val="zh-CN"/>
        </w:rPr>
        <w:t>小型、微型</w:t>
      </w:r>
      <w:r>
        <w:rPr>
          <w:rFonts w:hint="eastAsia" w:ascii="新宋体" w:hAnsi="新宋体" w:eastAsia="新宋体" w:cs="新宋体"/>
          <w:color w:val="auto"/>
          <w:spacing w:val="6"/>
          <w:sz w:val="22"/>
          <w:szCs w:val="22"/>
          <w:highlight w:val="none"/>
        </w:rPr>
        <w:t>企业不用提供】</w:t>
      </w:r>
    </w:p>
    <w:p w14:paraId="515CC806">
      <w:pPr>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根据《政府采购促进中小企业发展管理办法》（财库〔2020〕46号）、《财政部关于进一步加大政府采购支持中小企业力度的通知》（财库〔2022〕19号）有关规定，对货物类项目投标产品为小型或微型企业生产的，工程、服务类项目由小型或微型企业承建、承接的，</w:t>
      </w:r>
      <w:r>
        <w:rPr>
          <w:rFonts w:hint="eastAsia" w:ascii="新宋体" w:hAnsi="新宋体" w:eastAsia="新宋体" w:cs="新宋体"/>
          <w:b/>
          <w:bCs/>
          <w:color w:val="auto"/>
          <w:sz w:val="22"/>
          <w:szCs w:val="22"/>
          <w:highlight w:val="none"/>
          <w:u w:val="single"/>
          <w:lang w:val="zh-CN"/>
        </w:rPr>
        <w:t>价格给予</w:t>
      </w:r>
      <w:r>
        <w:rPr>
          <w:rFonts w:hint="eastAsia" w:ascii="新宋体" w:hAnsi="新宋体" w:eastAsia="新宋体" w:cs="新宋体"/>
          <w:b/>
          <w:bCs/>
          <w:color w:val="auto"/>
          <w:sz w:val="22"/>
          <w:szCs w:val="22"/>
          <w:highlight w:val="none"/>
          <w:u w:val="single"/>
        </w:rPr>
        <w:t>10</w:t>
      </w:r>
      <w:r>
        <w:rPr>
          <w:rFonts w:hint="eastAsia" w:ascii="新宋体" w:hAnsi="新宋体" w:eastAsia="新宋体" w:cs="新宋体"/>
          <w:b/>
          <w:bCs/>
          <w:color w:val="auto"/>
          <w:sz w:val="22"/>
          <w:szCs w:val="22"/>
          <w:highlight w:val="none"/>
          <w:u w:val="single"/>
          <w:lang w:val="zh-CN"/>
        </w:rPr>
        <w:t>%的扣除</w:t>
      </w:r>
      <w:r>
        <w:rPr>
          <w:rFonts w:hint="eastAsia" w:ascii="新宋体" w:hAnsi="新宋体" w:eastAsia="新宋体" w:cs="新宋体"/>
          <w:color w:val="auto"/>
          <w:sz w:val="22"/>
          <w:szCs w:val="22"/>
          <w:highlight w:val="none"/>
          <w:lang w:val="zh-CN"/>
        </w:rPr>
        <w:t>，用扣除后的价格参与价格评分。</w:t>
      </w:r>
    </w:p>
    <w:p w14:paraId="11D29553">
      <w:pPr>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投标文件中必须提供《中小企业声明函》。</w:t>
      </w:r>
    </w:p>
    <w:p w14:paraId="45563983">
      <w:pPr>
        <w:spacing w:line="460" w:lineRule="exact"/>
        <w:jc w:val="center"/>
        <w:rPr>
          <w:rFonts w:hint="eastAsia" w:ascii="新宋体" w:hAnsi="新宋体" w:eastAsia="新宋体" w:cs="新宋体"/>
          <w:b/>
          <w:bCs/>
          <w:color w:val="auto"/>
          <w:sz w:val="22"/>
          <w:szCs w:val="22"/>
          <w:highlight w:val="none"/>
        </w:rPr>
      </w:pPr>
    </w:p>
    <w:p w14:paraId="2D8EF30D">
      <w:pPr>
        <w:spacing w:line="460" w:lineRule="exact"/>
        <w:jc w:val="center"/>
        <w:rPr>
          <w:rFonts w:hint="eastAsia" w:ascii="新宋体" w:hAnsi="新宋体" w:eastAsia="新宋体" w:cs="新宋体"/>
          <w:color w:val="auto"/>
          <w:sz w:val="24"/>
          <w:highlight w:val="none"/>
        </w:rPr>
      </w:pPr>
      <w:r>
        <w:rPr>
          <w:rFonts w:hint="eastAsia" w:ascii="新宋体" w:hAnsi="新宋体" w:eastAsia="新宋体" w:cs="新宋体"/>
          <w:b/>
          <w:bCs/>
          <w:color w:val="auto"/>
          <w:sz w:val="24"/>
          <w:highlight w:val="none"/>
        </w:rPr>
        <w:t>《中小企业声明函（工程、服务）》</w:t>
      </w:r>
    </w:p>
    <w:p w14:paraId="74C19F26">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【不属于中小企业单位的无需填写、递交】</w:t>
      </w:r>
    </w:p>
    <w:p w14:paraId="538F2DCC">
      <w:pPr>
        <w:spacing w:line="460" w:lineRule="exact"/>
        <w:ind w:firstLine="637" w:firstLineChars="245"/>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本公司（联合体）郑重声明，根据《政府采购促进中小企业发展管理办法》（财库﹝2020）46 号）的规定，本公司（联合体）参加</w:t>
      </w:r>
      <w:r>
        <w:rPr>
          <w:rFonts w:hint="eastAsia" w:ascii="新宋体" w:hAnsi="新宋体" w:eastAsia="新宋体" w:cs="新宋体"/>
          <w:color w:val="auto"/>
          <w:spacing w:val="20"/>
          <w:sz w:val="22"/>
          <w:szCs w:val="22"/>
          <w:highlight w:val="none"/>
          <w:u w:val="single"/>
        </w:rPr>
        <w:t>（单位名称）</w:t>
      </w:r>
      <w:r>
        <w:rPr>
          <w:rFonts w:hint="eastAsia" w:ascii="新宋体" w:hAnsi="新宋体" w:eastAsia="新宋体" w:cs="新宋体"/>
          <w:color w:val="auto"/>
          <w:spacing w:val="20"/>
          <w:sz w:val="22"/>
          <w:szCs w:val="22"/>
          <w:highlight w:val="none"/>
        </w:rPr>
        <w:t>的</w:t>
      </w:r>
      <w:r>
        <w:rPr>
          <w:rFonts w:hint="eastAsia" w:ascii="新宋体" w:hAnsi="新宋体" w:eastAsia="新宋体" w:cs="新宋体"/>
          <w:color w:val="auto"/>
          <w:spacing w:val="20"/>
          <w:sz w:val="22"/>
          <w:szCs w:val="22"/>
          <w:highlight w:val="none"/>
          <w:u w:val="single"/>
        </w:rPr>
        <w:t>（项目名称）</w:t>
      </w:r>
      <w:r>
        <w:rPr>
          <w:rFonts w:hint="eastAsia" w:ascii="新宋体" w:hAnsi="新宋体" w:eastAsia="新宋体" w:cs="新宋体"/>
          <w:color w:val="auto"/>
          <w:spacing w:val="20"/>
          <w:sz w:val="22"/>
          <w:szCs w:val="22"/>
          <w:highlight w:val="none"/>
        </w:rPr>
        <w:t xml:space="preserve">采购活动，工程的施工单位全部为符合政策要求的中小企业（或者：服务全部由符合政策要求的中小企业承接）。相关企业（含联合体中的中小企业、签订分包意向协议的中小企业）的具体情况如下： </w:t>
      </w:r>
    </w:p>
    <w:p w14:paraId="6C927741">
      <w:pPr>
        <w:spacing w:line="460" w:lineRule="exact"/>
        <w:ind w:firstLine="637" w:firstLineChars="245"/>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1.</w:t>
      </w:r>
      <w:r>
        <w:rPr>
          <w:rFonts w:hint="eastAsia" w:ascii="新宋体" w:hAnsi="新宋体" w:eastAsia="新宋体" w:cs="新宋体"/>
          <w:color w:val="auto"/>
          <w:spacing w:val="20"/>
          <w:sz w:val="22"/>
          <w:szCs w:val="22"/>
          <w:highlight w:val="none"/>
          <w:u w:val="single"/>
        </w:rPr>
        <w:t>（标的名称）</w:t>
      </w:r>
      <w:r>
        <w:rPr>
          <w:rFonts w:hint="eastAsia" w:ascii="新宋体" w:hAnsi="新宋体" w:eastAsia="新宋体" w:cs="新宋体"/>
          <w:color w:val="auto"/>
          <w:spacing w:val="20"/>
          <w:sz w:val="22"/>
          <w:szCs w:val="22"/>
          <w:highlight w:val="none"/>
        </w:rPr>
        <w:t>，属于</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行业； 承建（承接）企业为</w:t>
      </w:r>
      <w:r>
        <w:rPr>
          <w:rFonts w:hint="eastAsia" w:ascii="新宋体" w:hAnsi="新宋体" w:eastAsia="新宋体" w:cs="新宋体"/>
          <w:color w:val="auto"/>
          <w:spacing w:val="20"/>
          <w:sz w:val="22"/>
          <w:szCs w:val="22"/>
          <w:highlight w:val="none"/>
          <w:u w:val="single"/>
        </w:rPr>
        <w:t>（企业名称）</w:t>
      </w:r>
      <w:r>
        <w:rPr>
          <w:rFonts w:hint="eastAsia" w:ascii="新宋体" w:hAnsi="新宋体" w:eastAsia="新宋体" w:cs="新宋体"/>
          <w:color w:val="auto"/>
          <w:spacing w:val="20"/>
          <w:sz w:val="22"/>
          <w:szCs w:val="22"/>
          <w:highlight w:val="none"/>
        </w:rPr>
        <w:t>，从业人员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 小型企业、微型企业）</w:t>
      </w:r>
      <w:r>
        <w:rPr>
          <w:rFonts w:hint="eastAsia" w:ascii="新宋体" w:hAnsi="新宋体" w:eastAsia="新宋体" w:cs="新宋体"/>
          <w:color w:val="auto"/>
          <w:spacing w:val="20"/>
          <w:sz w:val="22"/>
          <w:szCs w:val="22"/>
          <w:highlight w:val="none"/>
        </w:rPr>
        <w:t xml:space="preserve">； </w:t>
      </w:r>
    </w:p>
    <w:p w14:paraId="6AFD2D73">
      <w:pPr>
        <w:spacing w:line="460" w:lineRule="exact"/>
        <w:ind w:firstLine="637" w:firstLineChars="245"/>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2.</w:t>
      </w:r>
      <w:r>
        <w:rPr>
          <w:rFonts w:hint="eastAsia" w:ascii="新宋体" w:hAnsi="新宋体" w:eastAsia="新宋体" w:cs="新宋体"/>
          <w:color w:val="auto"/>
          <w:spacing w:val="20"/>
          <w:sz w:val="22"/>
          <w:szCs w:val="22"/>
          <w:highlight w:val="none"/>
          <w:u w:val="single"/>
        </w:rPr>
        <w:t>（标的名称）</w:t>
      </w:r>
      <w:r>
        <w:rPr>
          <w:rFonts w:hint="eastAsia" w:ascii="新宋体" w:hAnsi="新宋体" w:eastAsia="新宋体" w:cs="新宋体"/>
          <w:color w:val="auto"/>
          <w:spacing w:val="20"/>
          <w:sz w:val="22"/>
          <w:szCs w:val="22"/>
          <w:highlight w:val="none"/>
        </w:rPr>
        <w:t>，属于</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行业；承建（承接）企业为</w:t>
      </w:r>
      <w:r>
        <w:rPr>
          <w:rFonts w:hint="eastAsia" w:ascii="新宋体" w:hAnsi="新宋体" w:eastAsia="新宋体" w:cs="新宋体"/>
          <w:color w:val="auto"/>
          <w:spacing w:val="20"/>
          <w:sz w:val="22"/>
          <w:szCs w:val="22"/>
          <w:highlight w:val="none"/>
          <w:u w:val="single"/>
        </w:rPr>
        <w:t>（企业名称）</w:t>
      </w:r>
      <w:r>
        <w:rPr>
          <w:rFonts w:hint="eastAsia" w:ascii="新宋体" w:hAnsi="新宋体" w:eastAsia="新宋体" w:cs="新宋体"/>
          <w:color w:val="auto"/>
          <w:spacing w:val="20"/>
          <w:sz w:val="22"/>
          <w:szCs w:val="22"/>
          <w:highlight w:val="none"/>
        </w:rPr>
        <w:t>，从业人员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 小型企业、微型企业）</w:t>
      </w:r>
      <w:r>
        <w:rPr>
          <w:rFonts w:hint="eastAsia" w:ascii="新宋体" w:hAnsi="新宋体" w:eastAsia="新宋体" w:cs="新宋体"/>
          <w:color w:val="auto"/>
          <w:spacing w:val="20"/>
          <w:sz w:val="22"/>
          <w:szCs w:val="22"/>
          <w:highlight w:val="none"/>
        </w:rPr>
        <w:t>；</w:t>
      </w:r>
    </w:p>
    <w:p w14:paraId="23B4EB4C">
      <w:pPr>
        <w:spacing w:line="460" w:lineRule="exact"/>
        <w:ind w:firstLine="639" w:firstLineChars="245"/>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w:t>
      </w:r>
    </w:p>
    <w:p w14:paraId="1CFFC425">
      <w:pPr>
        <w:spacing w:line="460" w:lineRule="exact"/>
        <w:ind w:firstLine="637" w:firstLineChars="245"/>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 xml:space="preserve">以上企业，不属于大企业的分支机构，不存在控股股东为大企业的情形，也不存在与大企业的负责人为同一人的情形。本企业对上述声明内容的真实性负责。如有虚假，将依法承担相应责任。 </w:t>
      </w:r>
    </w:p>
    <w:p w14:paraId="57B2A69B">
      <w:pPr>
        <w:spacing w:line="460" w:lineRule="exact"/>
        <w:ind w:firstLine="4940" w:firstLineChars="1900"/>
        <w:jc w:val="both"/>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企业名称（盖章）：</w:t>
      </w:r>
    </w:p>
    <w:p w14:paraId="15532B54">
      <w:pPr>
        <w:spacing w:line="460" w:lineRule="exact"/>
        <w:ind w:firstLine="4940" w:firstLineChars="1900"/>
        <w:jc w:val="both"/>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日 期：</w:t>
      </w:r>
    </w:p>
    <w:p w14:paraId="3B8AC86B">
      <w:pPr>
        <w:spacing w:line="460" w:lineRule="exact"/>
        <w:rPr>
          <w:rFonts w:hint="eastAsia" w:ascii="新宋体" w:hAnsi="新宋体" w:eastAsia="新宋体" w:cs="新宋体"/>
          <w:color w:val="auto"/>
          <w:spacing w:val="20"/>
          <w:sz w:val="22"/>
          <w:szCs w:val="22"/>
          <w:highlight w:val="none"/>
        </w:rPr>
      </w:pPr>
    </w:p>
    <w:p w14:paraId="27FED204">
      <w:pPr>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br w:type="page"/>
      </w:r>
    </w:p>
    <w:p w14:paraId="28861944">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（2）监狱企业的相关证明材料</w:t>
      </w:r>
    </w:p>
    <w:p w14:paraId="3C8192BD">
      <w:pPr>
        <w:spacing w:line="460" w:lineRule="exact"/>
        <w:ind w:firstLine="466" w:firstLineChars="200"/>
        <w:rPr>
          <w:rFonts w:hint="eastAsia" w:ascii="新宋体" w:hAnsi="新宋体" w:eastAsia="新宋体" w:cs="新宋体"/>
          <w:b/>
          <w:bCs/>
          <w:color w:val="auto"/>
          <w:sz w:val="22"/>
          <w:szCs w:val="22"/>
          <w:highlight w:val="none"/>
          <w:u w:val="single"/>
          <w:lang w:val="zh-CN"/>
        </w:rPr>
      </w:pPr>
      <w:r>
        <w:rPr>
          <w:rFonts w:hint="eastAsia" w:ascii="新宋体" w:hAnsi="新宋体" w:eastAsia="新宋体" w:cs="新宋体"/>
          <w:b/>
          <w:color w:val="auto"/>
          <w:spacing w:val="6"/>
          <w:sz w:val="22"/>
          <w:szCs w:val="22"/>
          <w:highlight w:val="none"/>
        </w:rPr>
        <w:t>需提供相关证明材料，</w:t>
      </w:r>
      <w:r>
        <w:rPr>
          <w:rFonts w:hint="eastAsia" w:ascii="新宋体" w:hAnsi="新宋体" w:eastAsia="新宋体" w:cs="新宋体"/>
          <w:b/>
          <w:bCs/>
          <w:color w:val="auto"/>
          <w:sz w:val="22"/>
          <w:szCs w:val="22"/>
          <w:highlight w:val="none"/>
          <w:u w:val="single"/>
          <w:lang w:val="zh-CN"/>
        </w:rPr>
        <w:t>未提供证明材料或不能清楚辨析</w:t>
      </w:r>
      <w:r>
        <w:rPr>
          <w:rFonts w:hint="eastAsia" w:ascii="新宋体" w:hAnsi="新宋体" w:eastAsia="新宋体" w:cs="新宋体"/>
          <w:b/>
          <w:bCs/>
          <w:color w:val="auto"/>
          <w:sz w:val="22"/>
          <w:szCs w:val="22"/>
          <w:highlight w:val="none"/>
          <w:u w:val="single"/>
        </w:rPr>
        <w:t>是监狱企业的按非监狱企业处理，所提供的证明材料应为最新的最近的</w:t>
      </w:r>
      <w:r>
        <w:rPr>
          <w:rFonts w:hint="eastAsia" w:ascii="新宋体" w:hAnsi="新宋体" w:eastAsia="新宋体" w:cs="新宋体"/>
          <w:b/>
          <w:bCs/>
          <w:color w:val="auto"/>
          <w:sz w:val="22"/>
          <w:szCs w:val="22"/>
          <w:highlight w:val="none"/>
          <w:u w:val="single"/>
          <w:lang w:val="zh-CN"/>
        </w:rPr>
        <w:t>。</w:t>
      </w:r>
    </w:p>
    <w:p w14:paraId="5CACBDB8">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2E7268BA">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03894AC6">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1C4ED27A">
      <w:pPr>
        <w:adjustRightInd w:val="0"/>
        <w:snapToGrid w:val="0"/>
        <w:spacing w:line="30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b/>
          <w:color w:val="auto"/>
          <w:spacing w:val="6"/>
          <w:sz w:val="22"/>
          <w:szCs w:val="22"/>
          <w:highlight w:val="none"/>
        </w:rPr>
        <w:t>监狱企业声明函</w:t>
      </w:r>
    </w:p>
    <w:p w14:paraId="02A2EF2E">
      <w:pPr>
        <w:snapToGrid w:val="0"/>
        <w:spacing w:line="460" w:lineRule="exact"/>
        <w:jc w:val="center"/>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【非监狱企业不用提供】</w:t>
      </w:r>
    </w:p>
    <w:p w14:paraId="65F52CCA">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本企业郑重声明，根据《关于政府采购支持监狱企业发展有关问题的通知》（财库[2014]68号）的规定，本企业为监狱企业。 </w:t>
      </w:r>
    </w:p>
    <w:p w14:paraId="46BCACB8">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根据上述标准，我企业属于监狱企业的理由为：</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 </w:t>
      </w:r>
    </w:p>
    <w:p w14:paraId="068D8644">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本企业为参加（招标项目名称</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）（招标编号</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）采购活动并承担本工程。 </w:t>
      </w:r>
    </w:p>
    <w:p w14:paraId="122848E7">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本企业对上述声明的真实性负责。如有虚假，将依法承担相应责任。  </w:t>
      </w:r>
    </w:p>
    <w:p w14:paraId="10EDC656">
      <w:pPr>
        <w:adjustRightInd w:val="0"/>
        <w:snapToGrid w:val="0"/>
        <w:spacing w:line="460" w:lineRule="exact"/>
        <w:ind w:firstLine="464"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投标人全称（盖章）</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 xml:space="preserve">                   </w:t>
      </w:r>
    </w:p>
    <w:p w14:paraId="75ACD4DC">
      <w:pPr>
        <w:adjustRightInd w:val="0"/>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日期：    年    月   日 </w:t>
      </w:r>
    </w:p>
    <w:p w14:paraId="154BEDDF">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监狱企业参加政府采购活动时，应当提供由省级以上监狱管理局、戒毒管理局（含新疆生产建设兵团）出具的属于监狱企业的证明文件。 </w:t>
      </w:r>
    </w:p>
    <w:p w14:paraId="171363CA">
      <w:pPr>
        <w:adjustRightInd w:val="0"/>
        <w:snapToGrid w:val="0"/>
        <w:spacing w:line="460" w:lineRule="exact"/>
        <w:ind w:firstLine="464"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7DBD2BD8">
      <w:pPr>
        <w:spacing w:line="460" w:lineRule="exact"/>
        <w:rPr>
          <w:rFonts w:hint="eastAsia" w:ascii="新宋体" w:hAnsi="新宋体" w:eastAsia="新宋体" w:cs="新宋体"/>
          <w:color w:val="auto"/>
          <w:spacing w:val="20"/>
          <w:sz w:val="22"/>
          <w:szCs w:val="22"/>
          <w:highlight w:val="none"/>
        </w:rPr>
      </w:pPr>
    </w:p>
    <w:p w14:paraId="2BD764FA">
      <w:pPr>
        <w:spacing w:line="460" w:lineRule="exact"/>
        <w:rPr>
          <w:rFonts w:hint="eastAsia" w:ascii="新宋体" w:hAnsi="新宋体" w:eastAsia="新宋体" w:cs="新宋体"/>
          <w:color w:val="auto"/>
          <w:spacing w:val="20"/>
          <w:sz w:val="22"/>
          <w:szCs w:val="22"/>
          <w:highlight w:val="none"/>
        </w:rPr>
      </w:pPr>
    </w:p>
    <w:p w14:paraId="7755FE46">
      <w:pPr>
        <w:spacing w:line="380" w:lineRule="exact"/>
        <w:rPr>
          <w:rFonts w:hint="eastAsia" w:ascii="新宋体" w:hAnsi="新宋体" w:eastAsia="新宋体" w:cs="新宋体"/>
          <w:color w:val="auto"/>
          <w:sz w:val="22"/>
          <w:szCs w:val="22"/>
          <w:highlight w:val="none"/>
        </w:rPr>
      </w:pPr>
    </w:p>
    <w:p w14:paraId="369044C4">
      <w:pPr>
        <w:spacing w:line="380" w:lineRule="exact"/>
        <w:rPr>
          <w:rFonts w:hint="eastAsia" w:ascii="新宋体" w:hAnsi="新宋体" w:eastAsia="新宋体" w:cs="新宋体"/>
          <w:color w:val="auto"/>
          <w:sz w:val="22"/>
          <w:szCs w:val="22"/>
          <w:highlight w:val="none"/>
        </w:rPr>
      </w:pPr>
    </w:p>
    <w:p w14:paraId="08AD4DE0">
      <w:pPr>
        <w:spacing w:line="380" w:lineRule="exact"/>
        <w:rPr>
          <w:rFonts w:hint="eastAsia" w:ascii="新宋体" w:hAnsi="新宋体" w:eastAsia="新宋体" w:cs="新宋体"/>
          <w:color w:val="auto"/>
          <w:sz w:val="22"/>
          <w:szCs w:val="22"/>
          <w:highlight w:val="none"/>
        </w:rPr>
      </w:pPr>
    </w:p>
    <w:p w14:paraId="4EF2C1C9">
      <w:pPr>
        <w:spacing w:line="380" w:lineRule="exact"/>
        <w:rPr>
          <w:rFonts w:hint="eastAsia" w:ascii="新宋体" w:hAnsi="新宋体" w:eastAsia="新宋体" w:cs="新宋体"/>
          <w:color w:val="auto"/>
          <w:sz w:val="22"/>
          <w:szCs w:val="22"/>
          <w:highlight w:val="none"/>
        </w:rPr>
      </w:pPr>
    </w:p>
    <w:p w14:paraId="15FF7095">
      <w:pPr>
        <w:spacing w:line="380" w:lineRule="exact"/>
        <w:rPr>
          <w:rFonts w:hint="eastAsia" w:ascii="新宋体" w:hAnsi="新宋体" w:eastAsia="新宋体" w:cs="新宋体"/>
          <w:color w:val="auto"/>
          <w:sz w:val="22"/>
          <w:szCs w:val="22"/>
          <w:highlight w:val="none"/>
        </w:rPr>
      </w:pPr>
    </w:p>
    <w:p w14:paraId="10962BE4">
      <w:pPr>
        <w:spacing w:line="380" w:lineRule="exact"/>
        <w:rPr>
          <w:rFonts w:hint="eastAsia" w:ascii="新宋体" w:hAnsi="新宋体" w:eastAsia="新宋体" w:cs="新宋体"/>
          <w:color w:val="auto"/>
          <w:sz w:val="22"/>
          <w:szCs w:val="22"/>
          <w:highlight w:val="none"/>
        </w:rPr>
      </w:pPr>
    </w:p>
    <w:p w14:paraId="7E603008">
      <w:pPr>
        <w:spacing w:line="380" w:lineRule="exact"/>
        <w:rPr>
          <w:rFonts w:hint="eastAsia" w:ascii="新宋体" w:hAnsi="新宋体" w:eastAsia="新宋体" w:cs="新宋体"/>
          <w:color w:val="auto"/>
          <w:sz w:val="22"/>
          <w:szCs w:val="22"/>
          <w:highlight w:val="none"/>
        </w:rPr>
      </w:pPr>
    </w:p>
    <w:p w14:paraId="3AA714F3">
      <w:pPr>
        <w:spacing w:line="380" w:lineRule="exact"/>
        <w:rPr>
          <w:rFonts w:hint="eastAsia" w:ascii="新宋体" w:hAnsi="新宋体" w:eastAsia="新宋体" w:cs="新宋体"/>
          <w:color w:val="auto"/>
          <w:sz w:val="22"/>
          <w:szCs w:val="22"/>
          <w:highlight w:val="none"/>
        </w:rPr>
      </w:pPr>
    </w:p>
    <w:p w14:paraId="09E1BB6D">
      <w:pPr>
        <w:pStyle w:val="24"/>
        <w:rPr>
          <w:rFonts w:hint="eastAsia" w:ascii="新宋体" w:hAnsi="新宋体" w:eastAsia="新宋体" w:cs="新宋体"/>
          <w:color w:val="auto"/>
          <w:highlight w:val="none"/>
        </w:rPr>
      </w:pPr>
    </w:p>
    <w:p w14:paraId="503EBBD8">
      <w:pPr>
        <w:pStyle w:val="24"/>
        <w:rPr>
          <w:rFonts w:hint="eastAsia" w:ascii="新宋体" w:hAnsi="新宋体" w:eastAsia="新宋体" w:cs="新宋体"/>
          <w:color w:val="auto"/>
          <w:highlight w:val="none"/>
        </w:rPr>
      </w:pPr>
    </w:p>
    <w:p w14:paraId="1FD62B20">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（3）残疾人福利性单位的相关证明材料</w:t>
      </w:r>
    </w:p>
    <w:p w14:paraId="2DCCA1BD">
      <w:pPr>
        <w:spacing w:line="460" w:lineRule="exact"/>
        <w:ind w:firstLine="520" w:firstLineChars="200"/>
        <w:rPr>
          <w:rFonts w:hint="eastAsia" w:ascii="新宋体" w:hAnsi="新宋体" w:eastAsia="新宋体" w:cs="新宋体"/>
          <w:color w:val="auto"/>
          <w:spacing w:val="20"/>
          <w:sz w:val="22"/>
          <w:szCs w:val="22"/>
          <w:highlight w:val="none"/>
        </w:rPr>
      </w:pPr>
    </w:p>
    <w:p w14:paraId="48F0A0B3">
      <w:pPr>
        <w:spacing w:line="460" w:lineRule="exact"/>
        <w:rPr>
          <w:rFonts w:hint="eastAsia" w:ascii="新宋体" w:hAnsi="新宋体" w:eastAsia="新宋体" w:cs="新宋体"/>
          <w:color w:val="auto"/>
          <w:spacing w:val="20"/>
          <w:sz w:val="22"/>
          <w:szCs w:val="22"/>
          <w:highlight w:val="none"/>
        </w:rPr>
      </w:pPr>
    </w:p>
    <w:p w14:paraId="47D34E94">
      <w:pPr>
        <w:spacing w:line="460" w:lineRule="exact"/>
        <w:rPr>
          <w:rFonts w:hint="eastAsia" w:ascii="新宋体" w:hAnsi="新宋体" w:eastAsia="新宋体" w:cs="新宋体"/>
          <w:color w:val="auto"/>
          <w:spacing w:val="20"/>
          <w:sz w:val="22"/>
          <w:szCs w:val="22"/>
          <w:highlight w:val="none"/>
        </w:rPr>
      </w:pPr>
    </w:p>
    <w:p w14:paraId="441D7D28">
      <w:pPr>
        <w:spacing w:line="460" w:lineRule="exact"/>
        <w:jc w:val="center"/>
        <w:rPr>
          <w:rFonts w:hint="eastAsia" w:ascii="新宋体" w:hAnsi="新宋体" w:eastAsia="新宋体" w:cs="新宋体"/>
          <w:color w:val="auto"/>
          <w:spacing w:val="6"/>
          <w:sz w:val="22"/>
          <w:szCs w:val="22"/>
          <w:highlight w:val="none"/>
        </w:rPr>
      </w:pPr>
      <w:r>
        <w:rPr>
          <w:rFonts w:hint="eastAsia" w:ascii="新宋体" w:hAnsi="新宋体" w:eastAsia="新宋体" w:cs="新宋体"/>
          <w:b/>
          <w:color w:val="auto"/>
          <w:spacing w:val="6"/>
          <w:sz w:val="22"/>
          <w:szCs w:val="22"/>
          <w:highlight w:val="none"/>
        </w:rPr>
        <w:t>残疾人福利性单位声明函</w:t>
      </w:r>
    </w:p>
    <w:p w14:paraId="03A07658">
      <w:pPr>
        <w:widowControl/>
        <w:adjustRightInd w:val="0"/>
        <w:snapToGrid w:val="0"/>
        <w:spacing w:line="460" w:lineRule="exact"/>
        <w:ind w:firstLine="440" w:firstLineChars="200"/>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【不属于残疾人福利性单位的无需填写、递交】</w:t>
      </w:r>
    </w:p>
    <w:p w14:paraId="29FB595D">
      <w:pPr>
        <w:snapToGrid w:val="0"/>
        <w:spacing w:line="460" w:lineRule="exact"/>
        <w:jc w:val="center"/>
        <w:rPr>
          <w:rFonts w:hint="eastAsia" w:ascii="新宋体" w:hAnsi="新宋体" w:eastAsia="新宋体" w:cs="新宋体"/>
          <w:b/>
          <w:bCs/>
          <w:color w:val="auto"/>
          <w:sz w:val="22"/>
          <w:szCs w:val="22"/>
          <w:highlight w:val="none"/>
        </w:rPr>
      </w:pPr>
    </w:p>
    <w:p w14:paraId="04EF5EB3">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本单位郑重声明，根据《财政部民政部中国残疾人联合会关于促进残疾人就业政府采购政策的通知》（财库</w:t>
      </w:r>
      <w:r>
        <w:rPr>
          <w:rFonts w:hint="eastAsia" w:ascii="新宋体" w:hAnsi="新宋体" w:eastAsia="新宋体" w:cs="新宋体"/>
          <w:color w:val="auto"/>
          <w:sz w:val="22"/>
          <w:szCs w:val="22"/>
          <w:highlight w:val="none"/>
        </w:rPr>
        <w:t>〔2017〕141</w:t>
      </w:r>
      <w:r>
        <w:rPr>
          <w:rFonts w:hint="eastAsia" w:ascii="新宋体" w:hAnsi="新宋体" w:eastAsia="新宋体" w:cs="新宋体"/>
          <w:color w:val="auto"/>
          <w:spacing w:val="6"/>
          <w:sz w:val="22"/>
          <w:szCs w:val="22"/>
          <w:highlight w:val="none"/>
        </w:rPr>
        <w:t>号）的规定，本单位为符合条件的残疾人福利性单位，且本单位参加</w:t>
      </w:r>
      <w:r>
        <w:rPr>
          <w:rFonts w:hint="eastAsia" w:ascii="新宋体" w:hAnsi="新宋体" w:eastAsia="新宋体" w:cs="新宋体"/>
          <w:color w:val="auto"/>
          <w:spacing w:val="6"/>
          <w:sz w:val="22"/>
          <w:szCs w:val="22"/>
          <w:highlight w:val="none"/>
          <w:u w:val="single"/>
        </w:rPr>
        <w:t>（招标人名称）</w:t>
      </w:r>
      <w:r>
        <w:rPr>
          <w:rFonts w:hint="eastAsia" w:ascii="新宋体" w:hAnsi="新宋体" w:eastAsia="新宋体" w:cs="新宋体"/>
          <w:color w:val="auto"/>
          <w:spacing w:val="6"/>
          <w:sz w:val="22"/>
          <w:szCs w:val="22"/>
          <w:highlight w:val="none"/>
        </w:rPr>
        <w:t>单位的</w:t>
      </w:r>
      <w:r>
        <w:rPr>
          <w:rFonts w:hint="eastAsia" w:ascii="新宋体" w:hAnsi="新宋体" w:eastAsia="新宋体" w:cs="新宋体"/>
          <w:color w:val="auto"/>
          <w:spacing w:val="6"/>
          <w:sz w:val="22"/>
          <w:szCs w:val="22"/>
          <w:highlight w:val="none"/>
          <w:u w:val="single"/>
        </w:rPr>
        <w:t>（招标项目名称）</w:t>
      </w:r>
      <w:r>
        <w:rPr>
          <w:rFonts w:hint="eastAsia" w:ascii="新宋体" w:hAnsi="新宋体" w:eastAsia="新宋体" w:cs="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14:paraId="176BCA51">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本单位对上述声明的真实性负责。如有虚假，将依法承担相应责任。</w:t>
      </w:r>
    </w:p>
    <w:p w14:paraId="4B87A0D5">
      <w:pPr>
        <w:snapToGrid w:val="0"/>
        <w:spacing w:line="460" w:lineRule="exact"/>
        <w:ind w:firstLine="464" w:firstLineChars="200"/>
        <w:rPr>
          <w:rFonts w:hint="eastAsia" w:ascii="新宋体" w:hAnsi="新宋体" w:eastAsia="新宋体" w:cs="新宋体"/>
          <w:color w:val="auto"/>
          <w:spacing w:val="6"/>
          <w:sz w:val="22"/>
          <w:szCs w:val="22"/>
          <w:highlight w:val="none"/>
        </w:rPr>
      </w:pPr>
    </w:p>
    <w:p w14:paraId="4987031C">
      <w:pPr>
        <w:snapToGrid w:val="0"/>
        <w:spacing w:line="460" w:lineRule="exact"/>
        <w:ind w:firstLine="464" w:firstLineChars="200"/>
        <w:rPr>
          <w:rFonts w:hint="eastAsia" w:ascii="新宋体" w:hAnsi="新宋体" w:eastAsia="新宋体" w:cs="新宋体"/>
          <w:color w:val="auto"/>
          <w:spacing w:val="6"/>
          <w:sz w:val="22"/>
          <w:szCs w:val="22"/>
          <w:highlight w:val="none"/>
        </w:rPr>
      </w:pPr>
    </w:p>
    <w:p w14:paraId="4348D333">
      <w:pPr>
        <w:adjustRightInd w:val="0"/>
        <w:snapToGrid w:val="0"/>
        <w:spacing w:line="460" w:lineRule="exact"/>
        <w:ind w:firstLine="440" w:firstLineChars="200"/>
        <w:rPr>
          <w:rFonts w:hint="eastAsia"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rPr>
        <w:t>投标人全称（盖章）：</w:t>
      </w:r>
      <w:r>
        <w:rPr>
          <w:rFonts w:hint="eastAsia" w:ascii="新宋体" w:hAnsi="新宋体" w:eastAsia="新宋体" w:cs="新宋体"/>
          <w:color w:val="auto"/>
          <w:kern w:val="0"/>
          <w:sz w:val="22"/>
          <w:szCs w:val="22"/>
          <w:highlight w:val="none"/>
          <w:u w:val="single"/>
        </w:rPr>
        <w:t xml:space="preserve">                    </w:t>
      </w:r>
    </w:p>
    <w:p w14:paraId="590F23B1">
      <w:pPr>
        <w:pStyle w:val="24"/>
        <w:spacing w:line="460" w:lineRule="exact"/>
        <w:ind w:left="437" w:leftChars="208"/>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32E227FB">
      <w:pPr>
        <w:pStyle w:val="24"/>
        <w:spacing w:line="460" w:lineRule="exact"/>
        <w:ind w:left="860" w:hanging="440"/>
        <w:rPr>
          <w:rFonts w:hint="eastAsia" w:ascii="新宋体" w:hAnsi="新宋体" w:eastAsia="新宋体" w:cs="新宋体"/>
          <w:color w:val="auto"/>
          <w:kern w:val="0"/>
          <w:sz w:val="22"/>
          <w:szCs w:val="22"/>
          <w:highlight w:val="none"/>
        </w:rPr>
      </w:pPr>
    </w:p>
    <w:p w14:paraId="4B6A8948">
      <w:pPr>
        <w:pStyle w:val="24"/>
        <w:ind w:left="860" w:hanging="440"/>
        <w:rPr>
          <w:rFonts w:hint="eastAsia" w:ascii="新宋体" w:hAnsi="新宋体" w:eastAsia="新宋体" w:cs="新宋体"/>
          <w:color w:val="auto"/>
          <w:kern w:val="0"/>
          <w:sz w:val="22"/>
          <w:szCs w:val="22"/>
          <w:highlight w:val="none"/>
        </w:rPr>
      </w:pPr>
    </w:p>
    <w:p w14:paraId="394A979E">
      <w:pPr>
        <w:pStyle w:val="25"/>
        <w:ind w:left="0" w:leftChars="0" w:firstLine="0" w:firstLineChars="0"/>
        <w:rPr>
          <w:rFonts w:hint="eastAsia" w:ascii="新宋体" w:hAnsi="新宋体" w:eastAsia="新宋体" w:cs="新宋体"/>
          <w:color w:val="auto"/>
          <w:highlight w:val="none"/>
        </w:rPr>
      </w:pPr>
    </w:p>
    <w:p w14:paraId="6110AB7B">
      <w:pP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p>
    <w:p w14:paraId="476EE461">
      <w:pPr>
        <w:jc w:val="left"/>
        <w:outlineLvl w:val="1"/>
        <w:rPr>
          <w:rFonts w:hint="eastAsia" w:ascii="新宋体" w:hAnsi="新宋体" w:eastAsia="新宋体" w:cs="新宋体"/>
          <w:b/>
          <w:bCs/>
          <w:color w:val="auto"/>
          <w:sz w:val="22"/>
          <w:szCs w:val="22"/>
          <w:highlight w:val="none"/>
        </w:rPr>
      </w:pPr>
      <w:bookmarkStart w:id="28" w:name="_Toc22040"/>
      <w:r>
        <w:rPr>
          <w:rFonts w:hint="eastAsia" w:ascii="新宋体" w:hAnsi="新宋体" w:eastAsia="新宋体" w:cs="新宋体"/>
          <w:b/>
          <w:bCs/>
          <w:color w:val="auto"/>
          <w:sz w:val="22"/>
          <w:szCs w:val="22"/>
          <w:highlight w:val="none"/>
        </w:rPr>
        <w:t>附件三</w:t>
      </w:r>
      <w:bookmarkEnd w:id="28"/>
    </w:p>
    <w:p w14:paraId="4A0886BA">
      <w:pPr>
        <w:spacing w:line="380" w:lineRule="exact"/>
        <w:jc w:val="center"/>
        <w:outlineLvl w:val="2"/>
        <w:rPr>
          <w:rFonts w:hint="eastAsia" w:ascii="新宋体" w:hAnsi="新宋体" w:eastAsia="新宋体" w:cs="新宋体"/>
          <w:b/>
          <w:bCs/>
          <w:color w:val="auto"/>
          <w:sz w:val="28"/>
          <w:szCs w:val="28"/>
          <w:highlight w:val="none"/>
        </w:rPr>
      </w:pPr>
      <w:bookmarkStart w:id="29" w:name="_Toc24178"/>
      <w:r>
        <w:rPr>
          <w:rFonts w:hint="eastAsia" w:ascii="新宋体" w:hAnsi="新宋体" w:eastAsia="新宋体" w:cs="新宋体"/>
          <w:b/>
          <w:bCs/>
          <w:color w:val="auto"/>
          <w:sz w:val="28"/>
          <w:szCs w:val="28"/>
          <w:highlight w:val="none"/>
        </w:rPr>
        <w:t>商务技术文件</w:t>
      </w:r>
      <w:bookmarkEnd w:id="29"/>
    </w:p>
    <w:p w14:paraId="285D8230">
      <w:pPr>
        <w:spacing w:line="400" w:lineRule="exact"/>
        <w:jc w:val="center"/>
        <w:outlineLvl w:val="3"/>
        <w:rPr>
          <w:rFonts w:hint="eastAsia" w:ascii="新宋体" w:hAnsi="新宋体" w:eastAsia="新宋体" w:cs="新宋体"/>
          <w:bCs/>
          <w:color w:val="auto"/>
          <w:szCs w:val="28"/>
          <w:highlight w:val="none"/>
          <w:lang w:val="zh-CN"/>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zh-CN"/>
        </w:rPr>
        <w:t>投标</w:t>
      </w:r>
      <w:r>
        <w:rPr>
          <w:rFonts w:hint="eastAsia" w:ascii="新宋体" w:hAnsi="新宋体" w:eastAsia="新宋体" w:cs="新宋体"/>
          <w:b/>
          <w:bCs/>
          <w:color w:val="auto"/>
          <w:sz w:val="28"/>
          <w:szCs w:val="28"/>
          <w:highlight w:val="none"/>
        </w:rPr>
        <w:t>响应</w:t>
      </w:r>
      <w:r>
        <w:rPr>
          <w:rFonts w:hint="eastAsia" w:ascii="新宋体" w:hAnsi="新宋体" w:eastAsia="新宋体" w:cs="新宋体"/>
          <w:b/>
          <w:bCs/>
          <w:color w:val="auto"/>
          <w:sz w:val="28"/>
          <w:szCs w:val="28"/>
          <w:highlight w:val="none"/>
          <w:lang w:val="zh-CN"/>
        </w:rPr>
        <w:t>函</w:t>
      </w:r>
    </w:p>
    <w:p w14:paraId="63B6E8F8">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致：</w:t>
      </w:r>
      <w:r>
        <w:rPr>
          <w:rFonts w:hint="eastAsia" w:ascii="新宋体" w:hAnsi="新宋体" w:eastAsia="新宋体" w:cs="新宋体"/>
          <w:color w:val="auto"/>
          <w:sz w:val="22"/>
          <w:szCs w:val="22"/>
          <w:highlight w:val="none"/>
          <w:lang w:eastAsia="zh-CN"/>
        </w:rPr>
        <w:t>温州市第七人民医院</w:t>
      </w:r>
    </w:p>
    <w:p w14:paraId="2B3322E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根据贵方为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项目（项目编号：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bCs/>
          <w:color w:val="auto"/>
          <w:sz w:val="22"/>
          <w:szCs w:val="22"/>
          <w:highlight w:val="none"/>
          <w:u w:val="single"/>
        </w:rPr>
        <w:t xml:space="preserve"> </w:t>
      </w:r>
      <w:r>
        <w:rPr>
          <w:rFonts w:hint="eastAsia" w:ascii="新宋体" w:hAnsi="新宋体" w:eastAsia="新宋体" w:cs="新宋体"/>
          <w:color w:val="auto"/>
          <w:sz w:val="22"/>
          <w:szCs w:val="22"/>
          <w:highlight w:val="none"/>
        </w:rPr>
        <w:t>）的投标邀请，我方</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（投标人名称）作为投标人正式授权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（授权代表全名，职务）代表我方处理有关本投标的一切事宜。为此：</w:t>
      </w:r>
    </w:p>
    <w:p w14:paraId="786A211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1、我方同意在投标人编制和提交投标文件须知规定的开标日期起遵守本投标书中的承诺且在投标有效期满之前均具有约束力。</w:t>
      </w:r>
    </w:p>
    <w:p w14:paraId="6C87FBD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2、我方承诺已经具备《中华人民共和国政府采购法》中规定的参加政府采购活动的投标人应当具备的条件：</w:t>
      </w:r>
    </w:p>
    <w:p w14:paraId="1CE3875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（1）具有独立承担民事责任的能力；</w:t>
      </w:r>
    </w:p>
    <w:p w14:paraId="2FB4668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（2）遵守国家法律、行政法规，具有良好的信誉和商业道德；</w:t>
      </w:r>
    </w:p>
    <w:p w14:paraId="0374585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（3）具有履行合同的能力和良好的履行合同记录；</w:t>
      </w:r>
    </w:p>
    <w:p w14:paraId="29B04CC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（4）良好的资金、财务状况；</w:t>
      </w:r>
    </w:p>
    <w:p w14:paraId="14FD9B4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（5）提供的产品和服务符合中国政府规定的相应标准和环保标准；</w:t>
      </w:r>
    </w:p>
    <w:p w14:paraId="5CD990E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（6）没有违反政府采购法规、政策的记录；</w:t>
      </w:r>
    </w:p>
    <w:p w14:paraId="4CAFAA8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（7）没有发生重大经济纠纷和走私犯罪记录。</w:t>
      </w:r>
    </w:p>
    <w:p w14:paraId="76C0143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3、提供编制和提交投标文件须知规定的全部投标文件，包括资格文件、报价文件、商务技术文件。具体内容为：</w:t>
      </w:r>
    </w:p>
    <w:p w14:paraId="11683AC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（1）资格文件</w:t>
      </w:r>
    </w:p>
    <w:p w14:paraId="511350F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（2）报价文件；</w:t>
      </w:r>
    </w:p>
    <w:p w14:paraId="7D16DA5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zh-CN"/>
        </w:rPr>
        <w:t>商务技术文件</w:t>
      </w:r>
      <w:r>
        <w:rPr>
          <w:rFonts w:hint="eastAsia" w:ascii="新宋体" w:hAnsi="新宋体" w:eastAsia="新宋体" w:cs="新宋体"/>
          <w:color w:val="auto"/>
          <w:sz w:val="22"/>
          <w:szCs w:val="22"/>
          <w:highlight w:val="none"/>
        </w:rPr>
        <w:t>；</w:t>
      </w:r>
    </w:p>
    <w:p w14:paraId="3791FD3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（4）编制和提交投标文件须知要求投标人提交的全部文件；</w:t>
      </w:r>
    </w:p>
    <w:p w14:paraId="21365E6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（5）按招标文件要求提供和交付的货物和服务的投标报价详见开标一览表；</w:t>
      </w:r>
    </w:p>
    <w:p w14:paraId="223A55F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（6）保证忠实地执行双方所签订的合同，并承担合同规定的责任和义务；</w:t>
      </w:r>
    </w:p>
    <w:p w14:paraId="698C44E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（7）保证遵守招标文件中的其他有关规定。</w:t>
      </w:r>
    </w:p>
    <w:p w14:paraId="42E96D6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4、投标有效期内不撤销投标文件，如中标，有效期将延至合同终止日为止。</w:t>
      </w:r>
    </w:p>
    <w:p w14:paraId="395146E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5、我方完全理解贵方不一定要接受最低价的投标。</w:t>
      </w:r>
    </w:p>
    <w:p w14:paraId="3ECF793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14:paraId="225BA3D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7、如中标，按招标文件规定的招标代理服务费标准，在领取中标通知书时向招标代理机构支付招标代理服务费。</w:t>
      </w:r>
    </w:p>
    <w:p w14:paraId="4BB371C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8、我方愿意向贵方提供任何与该项投标有关的数据、情况和服务资料。若贵方需要，我方愿意提供我方作出的一切承诺的证明材料。</w:t>
      </w:r>
    </w:p>
    <w:p w14:paraId="1960B25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14:paraId="62462A6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4063A40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（1）提供虚假材料谋取中标、成交的；</w:t>
      </w:r>
    </w:p>
    <w:p w14:paraId="3400448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（2）采取不正当手段诋毁、排挤其他投标人的；</w:t>
      </w:r>
    </w:p>
    <w:p w14:paraId="6F722BF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（3）与招标人、其它投标人或者招标代理机构恶意串通的；</w:t>
      </w:r>
    </w:p>
    <w:p w14:paraId="5E6E49E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（4）向招标人、招标代理机构行贿或者提供其他不正当利益的；</w:t>
      </w:r>
    </w:p>
    <w:p w14:paraId="308D1CF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（5）在招标采购过程中与招标人进行协商谈判的；</w:t>
      </w:r>
    </w:p>
    <w:p w14:paraId="2B5181A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（6）拒绝有关部门监督检查或提供虚假情况的。</w:t>
      </w:r>
    </w:p>
    <w:p w14:paraId="0E3DE0A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投标人有前款第（1）至（5）项情形之一的，中标、成交无效。</w:t>
      </w:r>
    </w:p>
    <w:p w14:paraId="51D833C4">
      <w:pPr>
        <w:spacing w:line="460" w:lineRule="exact"/>
        <w:rPr>
          <w:rFonts w:hint="eastAsia" w:ascii="新宋体" w:hAnsi="新宋体" w:eastAsia="新宋体" w:cs="新宋体"/>
          <w:color w:val="auto"/>
          <w:sz w:val="22"/>
          <w:szCs w:val="22"/>
          <w:highlight w:val="none"/>
          <w:lang w:val="zh-CN"/>
        </w:rPr>
      </w:pPr>
    </w:p>
    <w:p w14:paraId="2E54625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法定（授权）代表人（签字）：</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p>
    <w:p w14:paraId="0B3A7496">
      <w:pPr>
        <w:spacing w:line="460" w:lineRule="exact"/>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投标人（盖 章）：</w:t>
      </w:r>
      <w:r>
        <w:rPr>
          <w:rFonts w:hint="eastAsia" w:ascii="新宋体" w:hAnsi="新宋体" w:eastAsia="新宋体" w:cs="新宋体"/>
          <w:color w:val="auto"/>
          <w:sz w:val="22"/>
          <w:szCs w:val="22"/>
          <w:highlight w:val="none"/>
          <w:u w:val="single"/>
          <w:lang w:val="zh-CN"/>
        </w:rPr>
        <w:t xml:space="preserve">                   </w:t>
      </w:r>
    </w:p>
    <w:p w14:paraId="135B467D">
      <w:pPr>
        <w:spacing w:line="460" w:lineRule="exact"/>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lang w:val="zh-CN"/>
        </w:rPr>
        <w:t>联系电话：</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传真：</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电子邮件：</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5ED086AE">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联系地址：</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06D3A595">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邮政编码：</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 xml:space="preserve"> </w:t>
      </w:r>
    </w:p>
    <w:p w14:paraId="3CC7589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日</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zh-CN"/>
        </w:rPr>
        <w:t>期</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月</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日</w:t>
      </w:r>
    </w:p>
    <w:p w14:paraId="235A4932">
      <w:pPr>
        <w:spacing w:line="460" w:lineRule="exact"/>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注：未按照本投标响应函要求填报的将被视为非实质性响应，从而可能导致该投标文件被拒绝。</w:t>
      </w:r>
    </w:p>
    <w:p w14:paraId="31D27155">
      <w:pPr>
        <w:pStyle w:val="24"/>
        <w:ind w:left="862" w:hanging="442"/>
        <w:rPr>
          <w:rFonts w:hint="eastAsia" w:ascii="新宋体" w:hAnsi="新宋体" w:eastAsia="新宋体" w:cs="新宋体"/>
          <w:b/>
          <w:bCs/>
          <w:color w:val="auto"/>
          <w:kern w:val="0"/>
          <w:sz w:val="22"/>
          <w:szCs w:val="22"/>
          <w:highlight w:val="none"/>
          <w:lang w:val="zh-CN"/>
        </w:rPr>
      </w:pPr>
    </w:p>
    <w:p w14:paraId="2938947B">
      <w:pPr>
        <w:pStyle w:val="24"/>
        <w:ind w:left="862" w:hanging="442"/>
        <w:rPr>
          <w:rFonts w:hint="eastAsia" w:ascii="新宋体" w:hAnsi="新宋体" w:eastAsia="新宋体" w:cs="新宋体"/>
          <w:b/>
          <w:bCs/>
          <w:color w:val="auto"/>
          <w:kern w:val="0"/>
          <w:sz w:val="22"/>
          <w:szCs w:val="22"/>
          <w:highlight w:val="none"/>
          <w:lang w:val="zh-CN"/>
        </w:rPr>
      </w:pPr>
    </w:p>
    <w:p w14:paraId="41BC37B0">
      <w:pPr>
        <w:pStyle w:val="24"/>
        <w:ind w:left="862" w:hanging="442"/>
        <w:rPr>
          <w:rFonts w:hint="eastAsia" w:ascii="新宋体" w:hAnsi="新宋体" w:eastAsia="新宋体" w:cs="新宋体"/>
          <w:b/>
          <w:bCs/>
          <w:color w:val="auto"/>
          <w:kern w:val="0"/>
          <w:sz w:val="22"/>
          <w:szCs w:val="22"/>
          <w:highlight w:val="none"/>
          <w:lang w:val="zh-CN"/>
        </w:rPr>
      </w:pPr>
    </w:p>
    <w:p w14:paraId="3E11F2B1">
      <w:pPr>
        <w:pStyle w:val="24"/>
        <w:ind w:left="862" w:hanging="442"/>
        <w:rPr>
          <w:rFonts w:hint="eastAsia" w:ascii="新宋体" w:hAnsi="新宋体" w:eastAsia="新宋体" w:cs="新宋体"/>
          <w:b/>
          <w:bCs/>
          <w:color w:val="auto"/>
          <w:kern w:val="0"/>
          <w:sz w:val="22"/>
          <w:szCs w:val="22"/>
          <w:highlight w:val="none"/>
          <w:lang w:val="zh-CN"/>
        </w:rPr>
      </w:pPr>
    </w:p>
    <w:p w14:paraId="4B18A4AF">
      <w:pPr>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p>
    <w:p w14:paraId="77C4C8FA">
      <w:pPr>
        <w:spacing w:line="380" w:lineRule="exact"/>
        <w:jc w:val="center"/>
        <w:outlineLvl w:val="3"/>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8"/>
          <w:szCs w:val="28"/>
          <w:highlight w:val="none"/>
          <w:lang w:val="en-US" w:eastAsia="zh-CN"/>
        </w:rPr>
        <w:t>2</w:t>
      </w:r>
      <w:r>
        <w:rPr>
          <w:rFonts w:hint="eastAsia" w:ascii="新宋体" w:hAnsi="新宋体" w:eastAsia="新宋体" w:cs="新宋体"/>
          <w:b/>
          <w:bCs/>
          <w:color w:val="auto"/>
          <w:sz w:val="28"/>
          <w:szCs w:val="28"/>
          <w:highlight w:val="none"/>
        </w:rPr>
        <w:t>、法定代表人授权书</w:t>
      </w:r>
    </w:p>
    <w:p w14:paraId="73561D2B">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温州市第七人民医院</w:t>
      </w:r>
      <w:r>
        <w:rPr>
          <w:rFonts w:hint="eastAsia" w:ascii="新宋体" w:hAnsi="新宋体" w:eastAsia="新宋体" w:cs="新宋体"/>
          <w:color w:val="auto"/>
          <w:sz w:val="22"/>
          <w:szCs w:val="22"/>
          <w:highlight w:val="none"/>
        </w:rPr>
        <w:t>：</w:t>
      </w:r>
    </w:p>
    <w:p w14:paraId="45C16B8C">
      <w:pPr>
        <w:spacing w:line="460" w:lineRule="exact"/>
        <w:rPr>
          <w:rFonts w:hint="eastAsia" w:ascii="新宋体" w:hAnsi="新宋体" w:eastAsia="新宋体" w:cs="新宋体"/>
          <w:color w:val="auto"/>
          <w:sz w:val="22"/>
          <w:szCs w:val="22"/>
          <w:highlight w:val="none"/>
          <w:u w:val="single"/>
        </w:rPr>
      </w:pPr>
    </w:p>
    <w:p w14:paraId="42607406">
      <w:pPr>
        <w:spacing w:line="460" w:lineRule="exact"/>
        <w:ind w:firstLine="550" w:firstLineChars="2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（投标人全称）法定代表人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（全权代表姓名）为全权代表，参加贵处组织的（项目名称：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）的招标活动，全权代表我方处理招标活动中的一切事宜。</w:t>
      </w:r>
    </w:p>
    <w:p w14:paraId="3B21C7E4">
      <w:pPr>
        <w:spacing w:line="460" w:lineRule="exact"/>
        <w:ind w:firstLine="2955"/>
        <w:rPr>
          <w:rFonts w:hint="eastAsia" w:ascii="新宋体" w:hAnsi="新宋体" w:eastAsia="新宋体" w:cs="新宋体"/>
          <w:color w:val="auto"/>
          <w:sz w:val="22"/>
          <w:szCs w:val="22"/>
          <w:highlight w:val="none"/>
        </w:rPr>
      </w:pPr>
    </w:p>
    <w:p w14:paraId="7945B38C">
      <w:pPr>
        <w:spacing w:line="460" w:lineRule="exact"/>
        <w:ind w:firstLine="295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p w14:paraId="4F482FAA">
      <w:pPr>
        <w:keepNext w:val="0"/>
        <w:keepLines w:val="0"/>
        <w:pageBreakBefore w:val="0"/>
        <w:widowControl w:val="0"/>
        <w:kinsoku/>
        <w:wordWrap/>
        <w:overflowPunct/>
        <w:topLinePunct w:val="0"/>
        <w:autoSpaceDE/>
        <w:autoSpaceDN/>
        <w:bidi w:val="0"/>
        <w:adjustRightInd/>
        <w:snapToGrid/>
        <w:spacing w:line="460" w:lineRule="exact"/>
        <w:ind w:firstLine="3740" w:firstLineChars="17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val="0"/>
          <w:bCs w:val="0"/>
          <w:color w:val="auto"/>
          <w:sz w:val="22"/>
          <w:szCs w:val="22"/>
          <w:highlight w:val="none"/>
        </w:rPr>
        <w:t>法定代表人</w:t>
      </w:r>
      <w:r>
        <w:rPr>
          <w:rFonts w:hint="eastAsia" w:ascii="新宋体" w:hAnsi="新宋体" w:eastAsia="新宋体" w:cs="新宋体"/>
          <w:b/>
          <w:bCs/>
          <w:color w:val="auto"/>
          <w:sz w:val="22"/>
          <w:szCs w:val="22"/>
          <w:highlight w:val="none"/>
        </w:rPr>
        <w:t>（法定代表人签字或盖法定代表人名章）：</w:t>
      </w:r>
    </w:p>
    <w:p w14:paraId="70FE61B6">
      <w:pPr>
        <w:keepNext w:val="0"/>
        <w:keepLines w:val="0"/>
        <w:pageBreakBefore w:val="0"/>
        <w:widowControl w:val="0"/>
        <w:kinsoku/>
        <w:wordWrap/>
        <w:overflowPunct/>
        <w:topLinePunct w:val="0"/>
        <w:autoSpaceDE/>
        <w:autoSpaceDN/>
        <w:bidi w:val="0"/>
        <w:adjustRightInd/>
        <w:snapToGrid/>
        <w:spacing w:line="460" w:lineRule="exact"/>
        <w:ind w:firstLine="3740" w:firstLineChars="17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投标人全称（公章）：</w:t>
      </w:r>
    </w:p>
    <w:p w14:paraId="5B76CBAE">
      <w:pPr>
        <w:keepNext w:val="0"/>
        <w:keepLines w:val="0"/>
        <w:pageBreakBefore w:val="0"/>
        <w:widowControl w:val="0"/>
        <w:kinsoku/>
        <w:wordWrap/>
        <w:overflowPunct/>
        <w:topLinePunct w:val="0"/>
        <w:autoSpaceDE/>
        <w:autoSpaceDN/>
        <w:bidi w:val="0"/>
        <w:adjustRightInd/>
        <w:snapToGrid/>
        <w:spacing w:line="460" w:lineRule="exact"/>
        <w:ind w:firstLine="3740" w:firstLineChars="17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tbl>
      <w:tblPr>
        <w:tblStyle w:val="54"/>
        <w:tblpPr w:leftFromText="180" w:rightFromText="180" w:vertAnchor="text" w:horzAnchor="page" w:tblpX="1230" w:tblpY="263"/>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29"/>
      </w:tblGrid>
      <w:tr w14:paraId="0668D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9629" w:type="dxa"/>
            <w:vAlign w:val="center"/>
          </w:tcPr>
          <w:p w14:paraId="4AFBF12D">
            <w:pPr>
              <w:pStyle w:val="24"/>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新宋体" w:hAnsi="新宋体" w:eastAsia="新宋体" w:cs="新宋体"/>
                <w:color w:val="auto"/>
                <w:sz w:val="22"/>
                <w:szCs w:val="22"/>
                <w:highlight w:val="none"/>
                <w:vertAlign w:val="baseline"/>
                <w:lang w:val="en-US" w:eastAsia="zh-CN"/>
              </w:rPr>
            </w:pPr>
            <w:r>
              <w:rPr>
                <w:rFonts w:hint="eastAsia" w:ascii="新宋体" w:hAnsi="新宋体" w:eastAsia="新宋体" w:cs="新宋体"/>
                <w:b/>
                <w:bCs/>
                <w:color w:val="auto"/>
                <w:sz w:val="28"/>
                <w:szCs w:val="28"/>
                <w:highlight w:val="none"/>
                <w:u w:val="single"/>
                <w:vertAlign w:val="baseline"/>
                <w:lang w:val="en-US" w:eastAsia="zh-CN"/>
              </w:rPr>
              <w:t>注意事项：上处由</w:t>
            </w:r>
            <w:r>
              <w:rPr>
                <w:rFonts w:hint="eastAsia" w:ascii="新宋体" w:hAnsi="新宋体" w:eastAsia="新宋体" w:cs="新宋体"/>
                <w:b/>
                <w:bCs/>
                <w:color w:val="auto"/>
                <w:sz w:val="40"/>
                <w:szCs w:val="40"/>
                <w:highlight w:val="none"/>
                <w:u w:val="single"/>
                <w:vertAlign w:val="baseline"/>
                <w:lang w:val="en-US" w:eastAsia="zh-CN"/>
              </w:rPr>
              <w:t>法定代表人</w:t>
            </w:r>
            <w:r>
              <w:rPr>
                <w:rFonts w:hint="eastAsia" w:ascii="新宋体" w:hAnsi="新宋体" w:eastAsia="新宋体" w:cs="新宋体"/>
                <w:b/>
                <w:bCs/>
                <w:color w:val="auto"/>
                <w:sz w:val="28"/>
                <w:szCs w:val="28"/>
                <w:highlight w:val="none"/>
                <w:u w:val="single"/>
                <w:vertAlign w:val="baseline"/>
                <w:lang w:val="en-US" w:eastAsia="zh-CN"/>
              </w:rPr>
              <w:t>签字或盖</w:t>
            </w:r>
            <w:r>
              <w:rPr>
                <w:rFonts w:hint="eastAsia" w:ascii="新宋体" w:hAnsi="新宋体" w:eastAsia="新宋体" w:cs="新宋体"/>
                <w:b/>
                <w:bCs/>
                <w:color w:val="auto"/>
                <w:sz w:val="40"/>
                <w:szCs w:val="40"/>
                <w:highlight w:val="none"/>
                <w:u w:val="single"/>
                <w:vertAlign w:val="baseline"/>
                <w:lang w:val="en-US" w:eastAsia="zh-CN"/>
              </w:rPr>
              <w:t>法定代表人</w:t>
            </w:r>
            <w:r>
              <w:rPr>
                <w:rFonts w:hint="eastAsia" w:ascii="新宋体" w:hAnsi="新宋体" w:eastAsia="新宋体" w:cs="新宋体"/>
                <w:b/>
                <w:bCs/>
                <w:color w:val="auto"/>
                <w:sz w:val="28"/>
                <w:szCs w:val="28"/>
                <w:highlight w:val="none"/>
                <w:u w:val="single"/>
                <w:vertAlign w:val="baseline"/>
                <w:lang w:val="en-US" w:eastAsia="zh-CN"/>
              </w:rPr>
              <w:t>名章</w:t>
            </w:r>
          </w:p>
        </w:tc>
      </w:tr>
    </w:tbl>
    <w:p w14:paraId="3A4DED69">
      <w:pPr>
        <w:spacing w:line="3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8"/>
          <w:highlight w:val="none"/>
        </w:rPr>
        <mc:AlternateContent>
          <mc:Choice Requires="wps">
            <w:drawing>
              <wp:anchor distT="0" distB="0" distL="114300" distR="114300" simplePos="0" relativeHeight="251662336" behindDoc="0" locked="0" layoutInCell="1" allowOverlap="1">
                <wp:simplePos x="0" y="0"/>
                <wp:positionH relativeFrom="column">
                  <wp:posOffset>5811520</wp:posOffset>
                </wp:positionH>
                <wp:positionV relativeFrom="paragraph">
                  <wp:posOffset>132080</wp:posOffset>
                </wp:positionV>
                <wp:extent cx="156210" cy="468630"/>
                <wp:effectExtent l="12700" t="12700" r="21590" b="13970"/>
                <wp:wrapNone/>
                <wp:docPr id="8" name="上箭头 8"/>
                <wp:cNvGraphicFramePr/>
                <a:graphic xmlns:a="http://schemas.openxmlformats.org/drawingml/2006/main">
                  <a:graphicData uri="http://schemas.microsoft.com/office/word/2010/wordprocessingShape">
                    <wps:wsp>
                      <wps:cNvSpPr/>
                      <wps:spPr>
                        <a:xfrm>
                          <a:off x="6586220" y="4848860"/>
                          <a:ext cx="156210" cy="468630"/>
                        </a:xfrm>
                        <a:prstGeom prst="up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457.6pt;margin-top:10.4pt;height:36.9pt;width:12.3pt;z-index:251662336;v-text-anchor:middle;mso-width-relative:page;mso-height-relative:page;" fillcolor="#000000 [3200]" filled="t" stroked="t" coordsize="21600,21600" o:gfxdata="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0ZJrwNgAAAAJAQAADwAAAAAAAAABACAA&#10;AAAiAAAAZHJzL2Rvd25yZXYueG1sUEsBAhQAFAAAAAgAh07iQHeI8jB/AgAADwUAAA4AAAAAAAAA&#10;AQAgAAAAJwEAAGRycy9lMm9Eb2MueG1sUEsFBgAAAAAGAAYAWQEAABgGAAAAAA==&#10;" adj="3600,5400">
                <v:fill on="t" focussize="0,0"/>
                <v:stroke weight="2pt" color="#000000 [3200]" joinstyle="round"/>
                <v:imagedata o:title=""/>
                <o:lock v:ext="edit" aspectratio="f"/>
              </v:shape>
            </w:pict>
          </mc:Fallback>
        </mc:AlternateContent>
      </w:r>
    </w:p>
    <w:p w14:paraId="73F2DDFB">
      <w:pPr>
        <w:bidi w:val="0"/>
        <w:rPr>
          <w:rFonts w:hint="eastAsia" w:ascii="新宋体" w:hAnsi="新宋体" w:eastAsia="新宋体" w:cs="新宋体"/>
          <w:color w:val="auto"/>
          <w:highlight w:val="none"/>
        </w:rPr>
      </w:pPr>
    </w:p>
    <w:p w14:paraId="624F32C1">
      <w:pPr>
        <w:spacing w:line="460" w:lineRule="exact"/>
        <w:ind w:firstLine="541"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附：</w:t>
      </w:r>
    </w:p>
    <w:p w14:paraId="19D6D06F">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 xml:space="preserve">授权代表姓名：                               </w:t>
      </w:r>
    </w:p>
    <w:p w14:paraId="3731F166">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职务：</w:t>
      </w:r>
    </w:p>
    <w:p w14:paraId="5EE6C777">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详细通讯地址：</w:t>
      </w:r>
    </w:p>
    <w:p w14:paraId="4DA16ED1">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电话：</w:t>
      </w:r>
    </w:p>
    <w:p w14:paraId="7F31497E">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传真：</w:t>
      </w:r>
    </w:p>
    <w:p w14:paraId="7B1E48ED">
      <w:pPr>
        <w:spacing w:line="460" w:lineRule="exact"/>
        <w:ind w:firstLine="539" w:firstLineChars="24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邮政编码：</w:t>
      </w:r>
    </w:p>
    <w:p w14:paraId="67A456EE">
      <w:pPr>
        <w:pStyle w:val="9"/>
        <w:ind w:firstLine="440"/>
        <w:rPr>
          <w:rFonts w:hint="eastAsia" w:ascii="新宋体" w:hAnsi="新宋体" w:eastAsia="新宋体" w:cs="新宋体"/>
          <w:color w:val="auto"/>
          <w:sz w:val="22"/>
          <w:szCs w:val="22"/>
          <w:highlight w:val="none"/>
        </w:rPr>
      </w:pPr>
    </w:p>
    <w:p w14:paraId="7FF916C7">
      <w:pPr>
        <w:rPr>
          <w:rFonts w:hint="eastAsia" w:ascii="新宋体" w:hAnsi="新宋体" w:eastAsia="新宋体" w:cs="新宋体"/>
          <w:color w:val="auto"/>
          <w:sz w:val="22"/>
          <w:szCs w:val="22"/>
          <w:highlight w:val="none"/>
        </w:rPr>
      </w:pPr>
    </w:p>
    <w:p w14:paraId="7CBF1575">
      <w:pPr>
        <w:pStyle w:val="9"/>
        <w:ind w:firstLine="440"/>
        <w:rPr>
          <w:rFonts w:hint="eastAsia" w:ascii="新宋体" w:hAnsi="新宋体" w:eastAsia="新宋体" w:cs="新宋体"/>
          <w:color w:val="auto"/>
          <w:sz w:val="22"/>
          <w:szCs w:val="22"/>
          <w:highlight w:val="none"/>
        </w:rPr>
      </w:pPr>
    </w:p>
    <w:p w14:paraId="3BFE4488">
      <w:pPr>
        <w:rPr>
          <w:rFonts w:hint="eastAsia" w:ascii="新宋体" w:hAnsi="新宋体" w:eastAsia="新宋体" w:cs="新宋体"/>
          <w:color w:val="auto"/>
          <w:sz w:val="22"/>
          <w:szCs w:val="22"/>
          <w:highlight w:val="none"/>
        </w:rPr>
      </w:pPr>
    </w:p>
    <w:p w14:paraId="6C7C6378">
      <w:pPr>
        <w:pStyle w:val="9"/>
        <w:ind w:firstLine="440"/>
        <w:rPr>
          <w:rFonts w:hint="eastAsia" w:ascii="新宋体" w:hAnsi="新宋体" w:eastAsia="新宋体" w:cs="新宋体"/>
          <w:color w:val="auto"/>
          <w:sz w:val="22"/>
          <w:szCs w:val="22"/>
          <w:highlight w:val="none"/>
        </w:rPr>
      </w:pPr>
    </w:p>
    <w:p w14:paraId="72F75FAB">
      <w:pPr>
        <w:rPr>
          <w:rFonts w:hint="eastAsia" w:ascii="新宋体" w:hAnsi="新宋体" w:eastAsia="新宋体" w:cs="新宋体"/>
          <w:color w:val="auto"/>
          <w:sz w:val="22"/>
          <w:szCs w:val="22"/>
          <w:highlight w:val="none"/>
        </w:rPr>
      </w:pPr>
    </w:p>
    <w:p w14:paraId="11F506A8">
      <w:pPr>
        <w:pStyle w:val="9"/>
        <w:ind w:firstLine="440"/>
        <w:rPr>
          <w:rFonts w:hint="eastAsia" w:ascii="新宋体" w:hAnsi="新宋体" w:eastAsia="新宋体" w:cs="新宋体"/>
          <w:color w:val="auto"/>
          <w:sz w:val="22"/>
          <w:szCs w:val="22"/>
          <w:highlight w:val="none"/>
        </w:rPr>
      </w:pPr>
    </w:p>
    <w:p w14:paraId="4FBA7811">
      <w:pPr>
        <w:rPr>
          <w:rFonts w:hint="eastAsia" w:ascii="新宋体" w:hAnsi="新宋体" w:eastAsia="新宋体" w:cs="新宋体"/>
          <w:color w:val="auto"/>
          <w:highlight w:val="none"/>
        </w:rPr>
      </w:pPr>
    </w:p>
    <w:p w14:paraId="2999EAC6">
      <w:pPr>
        <w:pStyle w:val="9"/>
        <w:ind w:firstLine="440"/>
        <w:rPr>
          <w:rFonts w:hint="eastAsia" w:ascii="新宋体" w:hAnsi="新宋体" w:eastAsia="新宋体" w:cs="新宋体"/>
          <w:color w:val="auto"/>
          <w:sz w:val="22"/>
          <w:szCs w:val="22"/>
          <w:highlight w:val="none"/>
        </w:rPr>
      </w:pPr>
    </w:p>
    <w:p w14:paraId="12B87A47">
      <w:pPr>
        <w:rPr>
          <w:rFonts w:hint="eastAsia" w:ascii="新宋体" w:hAnsi="新宋体" w:eastAsia="新宋体" w:cs="新宋体"/>
          <w:color w:val="auto"/>
          <w:sz w:val="22"/>
          <w:szCs w:val="22"/>
          <w:highlight w:val="none"/>
        </w:rPr>
      </w:pPr>
    </w:p>
    <w:p w14:paraId="41AB69C6">
      <w:pPr>
        <w:pStyle w:val="24"/>
        <w:ind w:left="860" w:hanging="440"/>
        <w:rPr>
          <w:rFonts w:hint="eastAsia" w:ascii="新宋体" w:hAnsi="新宋体" w:eastAsia="新宋体" w:cs="新宋体"/>
          <w:color w:val="auto"/>
          <w:sz w:val="22"/>
          <w:szCs w:val="22"/>
          <w:highlight w:val="none"/>
        </w:rPr>
      </w:pPr>
    </w:p>
    <w:p w14:paraId="0D553EB4">
      <w:pPr>
        <w:pStyle w:val="24"/>
        <w:ind w:left="860" w:hanging="440"/>
        <w:rPr>
          <w:rFonts w:hint="eastAsia" w:ascii="新宋体" w:hAnsi="新宋体" w:eastAsia="新宋体" w:cs="新宋体"/>
          <w:color w:val="auto"/>
          <w:sz w:val="22"/>
          <w:szCs w:val="22"/>
          <w:highlight w:val="none"/>
        </w:rPr>
      </w:pPr>
    </w:p>
    <w:p w14:paraId="32ED5C0A">
      <w:pPr>
        <w:pStyle w:val="24"/>
        <w:ind w:left="860" w:hanging="440"/>
        <w:rPr>
          <w:rFonts w:hint="eastAsia" w:ascii="新宋体" w:hAnsi="新宋体" w:eastAsia="新宋体" w:cs="新宋体"/>
          <w:color w:val="auto"/>
          <w:sz w:val="22"/>
          <w:szCs w:val="22"/>
          <w:highlight w:val="none"/>
        </w:rPr>
      </w:pPr>
    </w:p>
    <w:p w14:paraId="4B256D89">
      <w:pPr>
        <w:rPr>
          <w:rFonts w:hint="eastAsia" w:ascii="新宋体" w:hAnsi="新宋体" w:eastAsia="新宋体" w:cs="新宋体"/>
          <w:color w:val="auto"/>
          <w:highlight w:val="none"/>
        </w:rPr>
      </w:pPr>
    </w:p>
    <w:p w14:paraId="6CFCDE38">
      <w:pPr>
        <w:spacing w:line="460" w:lineRule="exact"/>
        <w:jc w:val="center"/>
        <w:rPr>
          <w:rFonts w:hint="eastAsia"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5080" t="4445" r="8255" b="2032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254115" cy="3004185"/>
                        </a:xfrm>
                        <a:prstGeom prst="rect">
                          <a:avLst/>
                        </a:prstGeom>
                        <a:solidFill>
                          <a:srgbClr val="FFFFFF"/>
                        </a:solidFill>
                        <a:ln w="9525" cmpd="sng">
                          <a:solidFill>
                            <a:srgbClr val="000000"/>
                          </a:solidFill>
                          <a:miter lim="800000"/>
                        </a:ln>
                        <a:effectLst/>
                      </wps:spPr>
                      <wps:txbx>
                        <w:txbxContent>
                          <w:p w14:paraId="13DEA969">
                            <w:r>
                              <w:rPr>
                                <w:rFonts w:hint="eastAsia" w:ascii="新宋体" w:hAnsi="新宋体" w:eastAsia="新宋体"/>
                                <w:sz w:val="22"/>
                                <w:szCs w:val="22"/>
                              </w:rPr>
                              <w:t xml:space="preserve">  法定代表人身份证（正反面）：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3CNo2AAAAAoBAAAPAAAA&#10;AAAAAAEAIAAAACIAAABkcnMvZG93bnJldi54bWxQSwECFAAUAAAACACHTuJAdbpxhU4CAAChBAAA&#10;DgAAAAAAAAABACAAAAAnAQAAZHJzL2Uyb0RvYy54bWxQSwUGAAAAAAYABgBZAQAA5wUAAAAA&#10;">
                <v:fill on="t" focussize="0,0"/>
                <v:stroke color="#000000" miterlimit="8" joinstyle="miter"/>
                <v:imagedata o:title=""/>
                <o:lock v:ext="edit" aspectratio="f"/>
                <v:textbox>
                  <w:txbxContent>
                    <w:p w14:paraId="13DEA969">
                      <w:r>
                        <w:rPr>
                          <w:rFonts w:hint="eastAsia" w:ascii="新宋体" w:hAnsi="新宋体" w:eastAsia="新宋体"/>
                          <w:sz w:val="22"/>
                          <w:szCs w:val="22"/>
                        </w:rPr>
                        <w:t xml:space="preserve">  法定代表人身份证（正反面）：</w:t>
                      </w:r>
                    </w:p>
                  </w:txbxContent>
                </v:textbox>
              </v:shape>
            </w:pict>
          </mc:Fallback>
        </mc:AlternateContent>
      </w:r>
    </w:p>
    <w:p w14:paraId="0F4088FB">
      <w:pPr>
        <w:spacing w:line="460" w:lineRule="exact"/>
        <w:jc w:val="center"/>
        <w:rPr>
          <w:rFonts w:hint="eastAsia" w:ascii="新宋体" w:hAnsi="新宋体" w:eastAsia="新宋体" w:cs="新宋体"/>
          <w:b/>
          <w:bCs/>
          <w:color w:val="auto"/>
          <w:sz w:val="28"/>
          <w:szCs w:val="28"/>
          <w:highlight w:val="none"/>
        </w:rPr>
      </w:pPr>
    </w:p>
    <w:p w14:paraId="5B460892">
      <w:pPr>
        <w:spacing w:line="460" w:lineRule="exact"/>
        <w:jc w:val="center"/>
        <w:rPr>
          <w:rFonts w:hint="eastAsia" w:ascii="新宋体" w:hAnsi="新宋体" w:eastAsia="新宋体" w:cs="新宋体"/>
          <w:b/>
          <w:bCs/>
          <w:color w:val="auto"/>
          <w:sz w:val="28"/>
          <w:szCs w:val="28"/>
          <w:highlight w:val="none"/>
        </w:rPr>
      </w:pPr>
    </w:p>
    <w:p w14:paraId="046BE86E">
      <w:pPr>
        <w:spacing w:line="460" w:lineRule="exact"/>
        <w:jc w:val="center"/>
        <w:rPr>
          <w:rFonts w:hint="eastAsia" w:ascii="新宋体" w:hAnsi="新宋体" w:eastAsia="新宋体" w:cs="新宋体"/>
          <w:b/>
          <w:bCs/>
          <w:color w:val="auto"/>
          <w:sz w:val="28"/>
          <w:szCs w:val="28"/>
          <w:highlight w:val="none"/>
        </w:rPr>
      </w:pPr>
    </w:p>
    <w:p w14:paraId="7C546B26">
      <w:pPr>
        <w:spacing w:line="460" w:lineRule="exact"/>
        <w:jc w:val="center"/>
        <w:rPr>
          <w:rFonts w:hint="eastAsia" w:ascii="新宋体" w:hAnsi="新宋体" w:eastAsia="新宋体" w:cs="新宋体"/>
          <w:b/>
          <w:bCs/>
          <w:color w:val="auto"/>
          <w:sz w:val="28"/>
          <w:szCs w:val="28"/>
          <w:highlight w:val="none"/>
        </w:rPr>
      </w:pPr>
    </w:p>
    <w:p w14:paraId="7F897101">
      <w:pPr>
        <w:spacing w:line="460" w:lineRule="exact"/>
        <w:jc w:val="center"/>
        <w:rPr>
          <w:rFonts w:hint="eastAsia" w:ascii="新宋体" w:hAnsi="新宋体" w:eastAsia="新宋体" w:cs="新宋体"/>
          <w:b/>
          <w:bCs/>
          <w:color w:val="auto"/>
          <w:sz w:val="28"/>
          <w:szCs w:val="28"/>
          <w:highlight w:val="none"/>
        </w:rPr>
      </w:pPr>
    </w:p>
    <w:p w14:paraId="6DEE48D7">
      <w:pPr>
        <w:spacing w:line="460" w:lineRule="exact"/>
        <w:jc w:val="center"/>
        <w:rPr>
          <w:rFonts w:hint="eastAsia" w:ascii="新宋体" w:hAnsi="新宋体" w:eastAsia="新宋体" w:cs="新宋体"/>
          <w:b/>
          <w:bCs/>
          <w:color w:val="auto"/>
          <w:sz w:val="28"/>
          <w:szCs w:val="28"/>
          <w:highlight w:val="none"/>
        </w:rPr>
      </w:pPr>
    </w:p>
    <w:p w14:paraId="75AB5A09">
      <w:pPr>
        <w:spacing w:line="460" w:lineRule="exact"/>
        <w:jc w:val="center"/>
        <w:rPr>
          <w:rFonts w:hint="eastAsia" w:ascii="新宋体" w:hAnsi="新宋体" w:eastAsia="新宋体" w:cs="新宋体"/>
          <w:b/>
          <w:bCs/>
          <w:color w:val="auto"/>
          <w:sz w:val="28"/>
          <w:szCs w:val="28"/>
          <w:highlight w:val="none"/>
        </w:rPr>
      </w:pPr>
    </w:p>
    <w:p w14:paraId="3D000B24">
      <w:pPr>
        <w:spacing w:line="460" w:lineRule="exact"/>
        <w:jc w:val="center"/>
        <w:rPr>
          <w:rFonts w:hint="eastAsia" w:ascii="新宋体" w:hAnsi="新宋体" w:eastAsia="新宋体" w:cs="新宋体"/>
          <w:b/>
          <w:bCs/>
          <w:color w:val="auto"/>
          <w:sz w:val="28"/>
          <w:szCs w:val="28"/>
          <w:highlight w:val="none"/>
        </w:rPr>
      </w:pPr>
    </w:p>
    <w:p w14:paraId="4582D69B">
      <w:pPr>
        <w:spacing w:line="460" w:lineRule="exact"/>
        <w:jc w:val="center"/>
        <w:rPr>
          <w:rFonts w:hint="eastAsia" w:ascii="新宋体" w:hAnsi="新宋体" w:eastAsia="新宋体" w:cs="新宋体"/>
          <w:b/>
          <w:bCs/>
          <w:color w:val="auto"/>
          <w:sz w:val="28"/>
          <w:szCs w:val="28"/>
          <w:highlight w:val="none"/>
        </w:rPr>
      </w:pPr>
    </w:p>
    <w:p w14:paraId="70D8820F">
      <w:pPr>
        <w:spacing w:line="460" w:lineRule="exact"/>
        <w:jc w:val="center"/>
        <w:rPr>
          <w:rFonts w:hint="eastAsia" w:ascii="新宋体" w:hAnsi="新宋体" w:eastAsia="新宋体" w:cs="新宋体"/>
          <w:b/>
          <w:bCs/>
          <w:color w:val="auto"/>
          <w:sz w:val="28"/>
          <w:szCs w:val="28"/>
          <w:highlight w:val="none"/>
        </w:rPr>
      </w:pPr>
    </w:p>
    <w:p w14:paraId="7C5A2C90">
      <w:pPr>
        <w:spacing w:line="460" w:lineRule="exact"/>
        <w:jc w:val="center"/>
        <w:rPr>
          <w:rFonts w:hint="eastAsia" w:ascii="新宋体" w:hAnsi="新宋体" w:eastAsia="新宋体" w:cs="新宋体"/>
          <w:b/>
          <w:bCs/>
          <w:color w:val="auto"/>
          <w:sz w:val="28"/>
          <w:szCs w:val="28"/>
          <w:highlight w:val="none"/>
        </w:rPr>
      </w:pPr>
    </w:p>
    <w:p w14:paraId="55278A9F">
      <w:pPr>
        <w:spacing w:line="460" w:lineRule="exact"/>
        <w:jc w:val="center"/>
        <w:rPr>
          <w:rFonts w:hint="eastAsia"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60288" behindDoc="0" locked="0" layoutInCell="1" allowOverlap="1">
                <wp:simplePos x="0" y="0"/>
                <wp:positionH relativeFrom="column">
                  <wp:posOffset>145415</wp:posOffset>
                </wp:positionH>
                <wp:positionV relativeFrom="paragraph">
                  <wp:posOffset>238125</wp:posOffset>
                </wp:positionV>
                <wp:extent cx="6246495" cy="3913505"/>
                <wp:effectExtent l="4445" t="4445" r="16510" b="635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6246495" cy="3913505"/>
                        </a:xfrm>
                        <a:prstGeom prst="rect">
                          <a:avLst/>
                        </a:prstGeom>
                        <a:solidFill>
                          <a:srgbClr val="FFFFFF"/>
                        </a:solidFill>
                        <a:ln w="9525" cmpd="sng">
                          <a:solidFill>
                            <a:srgbClr val="000000"/>
                          </a:solidFill>
                          <a:miter lim="800000"/>
                        </a:ln>
                        <a:effectLst/>
                      </wps:spPr>
                      <wps:txbx>
                        <w:txbxContent>
                          <w:p w14:paraId="70B5CA94">
                            <w:r>
                              <w:rPr>
                                <w:rFonts w:hint="eastAsia" w:ascii="新宋体" w:hAnsi="新宋体" w:eastAsia="新宋体"/>
                                <w:sz w:val="22"/>
                                <w:szCs w:val="22"/>
                              </w:rPr>
                              <w:t xml:space="preserve">  授权代表身份证（正反面）：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1.45pt;margin-top:18.75pt;height:308.15pt;width:491.85pt;z-index:251660288;mso-width-relative:page;mso-height-relative:page;" fillcolor="#FFFFFF" filled="t" stroked="t" coordsize="21600,21600" o:gfxdata="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QlNcXZAAAACgEAAA8A&#10;AAAAAAAAAQAgAAAAIgAAAGRycy9kb3ducmV2LnhtbFBLAQIUABQAAAAIAIdO4kC7fB4aTwIAAKEE&#10;AAAOAAAAAAAAAAEAIAAAACgBAABkcnMvZTJvRG9jLnhtbFBLBQYAAAAABgAGAFkBAADpBQAAAAA=&#10;">
                <v:fill on="t" focussize="0,0"/>
                <v:stroke color="#000000" miterlimit="8" joinstyle="miter"/>
                <v:imagedata o:title=""/>
                <o:lock v:ext="edit" aspectratio="f"/>
                <v:textbox>
                  <w:txbxContent>
                    <w:p w14:paraId="70B5CA94">
                      <w:r>
                        <w:rPr>
                          <w:rFonts w:hint="eastAsia" w:ascii="新宋体" w:hAnsi="新宋体" w:eastAsia="新宋体"/>
                          <w:sz w:val="22"/>
                          <w:szCs w:val="22"/>
                        </w:rPr>
                        <w:t xml:space="preserve">  授权代表身份证（正反面）：</w:t>
                      </w:r>
                    </w:p>
                  </w:txbxContent>
                </v:textbox>
              </v:shape>
            </w:pict>
          </mc:Fallback>
        </mc:AlternateContent>
      </w:r>
    </w:p>
    <w:p w14:paraId="323888C7">
      <w:pPr>
        <w:spacing w:line="460" w:lineRule="exact"/>
        <w:jc w:val="center"/>
        <w:rPr>
          <w:rFonts w:hint="eastAsia" w:ascii="新宋体" w:hAnsi="新宋体" w:eastAsia="新宋体" w:cs="新宋体"/>
          <w:b/>
          <w:bCs/>
          <w:color w:val="auto"/>
          <w:sz w:val="28"/>
          <w:szCs w:val="28"/>
          <w:highlight w:val="none"/>
        </w:rPr>
      </w:pPr>
    </w:p>
    <w:p w14:paraId="377320A5">
      <w:pPr>
        <w:spacing w:line="460" w:lineRule="exact"/>
        <w:jc w:val="center"/>
        <w:rPr>
          <w:rFonts w:hint="eastAsia" w:ascii="新宋体" w:hAnsi="新宋体" w:eastAsia="新宋体" w:cs="新宋体"/>
          <w:b/>
          <w:bCs/>
          <w:color w:val="auto"/>
          <w:sz w:val="28"/>
          <w:szCs w:val="28"/>
          <w:highlight w:val="none"/>
        </w:rPr>
      </w:pPr>
    </w:p>
    <w:p w14:paraId="0D92C4E5">
      <w:pPr>
        <w:spacing w:line="460" w:lineRule="exact"/>
        <w:jc w:val="center"/>
        <w:rPr>
          <w:rFonts w:hint="eastAsia" w:ascii="新宋体" w:hAnsi="新宋体" w:eastAsia="新宋体" w:cs="新宋体"/>
          <w:b/>
          <w:bCs/>
          <w:color w:val="auto"/>
          <w:sz w:val="28"/>
          <w:szCs w:val="28"/>
          <w:highlight w:val="none"/>
        </w:rPr>
      </w:pPr>
    </w:p>
    <w:p w14:paraId="6AE59FC3">
      <w:pPr>
        <w:spacing w:line="460" w:lineRule="exact"/>
        <w:jc w:val="center"/>
        <w:rPr>
          <w:rFonts w:hint="eastAsia" w:ascii="新宋体" w:hAnsi="新宋体" w:eastAsia="新宋体" w:cs="新宋体"/>
          <w:b/>
          <w:bCs/>
          <w:color w:val="auto"/>
          <w:sz w:val="28"/>
          <w:szCs w:val="28"/>
          <w:highlight w:val="none"/>
        </w:rPr>
      </w:pPr>
    </w:p>
    <w:p w14:paraId="58E50857">
      <w:pPr>
        <w:spacing w:line="460" w:lineRule="exact"/>
        <w:jc w:val="center"/>
        <w:rPr>
          <w:rFonts w:hint="eastAsia" w:ascii="新宋体" w:hAnsi="新宋体" w:eastAsia="新宋体" w:cs="新宋体"/>
          <w:b/>
          <w:bCs/>
          <w:color w:val="auto"/>
          <w:sz w:val="28"/>
          <w:szCs w:val="28"/>
          <w:highlight w:val="none"/>
        </w:rPr>
      </w:pPr>
    </w:p>
    <w:p w14:paraId="4C6A8C86">
      <w:pPr>
        <w:spacing w:line="460" w:lineRule="exact"/>
        <w:jc w:val="center"/>
        <w:rPr>
          <w:rFonts w:hint="eastAsia" w:ascii="新宋体" w:hAnsi="新宋体" w:eastAsia="新宋体" w:cs="新宋体"/>
          <w:b/>
          <w:bCs/>
          <w:color w:val="auto"/>
          <w:sz w:val="28"/>
          <w:szCs w:val="28"/>
          <w:highlight w:val="none"/>
        </w:rPr>
      </w:pPr>
    </w:p>
    <w:p w14:paraId="52072C82">
      <w:pPr>
        <w:spacing w:line="460" w:lineRule="exact"/>
        <w:jc w:val="center"/>
        <w:rPr>
          <w:rFonts w:hint="eastAsia" w:ascii="新宋体" w:hAnsi="新宋体" w:eastAsia="新宋体" w:cs="新宋体"/>
          <w:b/>
          <w:bCs/>
          <w:color w:val="auto"/>
          <w:sz w:val="28"/>
          <w:szCs w:val="28"/>
          <w:highlight w:val="none"/>
        </w:rPr>
      </w:pPr>
    </w:p>
    <w:p w14:paraId="3D2F29D3">
      <w:pPr>
        <w:spacing w:line="460" w:lineRule="exact"/>
        <w:jc w:val="center"/>
        <w:rPr>
          <w:rFonts w:hint="eastAsia" w:ascii="新宋体" w:hAnsi="新宋体" w:eastAsia="新宋体" w:cs="新宋体"/>
          <w:b/>
          <w:bCs/>
          <w:color w:val="auto"/>
          <w:sz w:val="28"/>
          <w:szCs w:val="28"/>
          <w:highlight w:val="none"/>
        </w:rPr>
      </w:pPr>
    </w:p>
    <w:p w14:paraId="037A74F9">
      <w:pPr>
        <w:spacing w:line="460" w:lineRule="exact"/>
        <w:jc w:val="center"/>
        <w:rPr>
          <w:rFonts w:hint="eastAsia" w:ascii="新宋体" w:hAnsi="新宋体" w:eastAsia="新宋体" w:cs="新宋体"/>
          <w:b/>
          <w:bCs/>
          <w:color w:val="auto"/>
          <w:sz w:val="28"/>
          <w:szCs w:val="28"/>
          <w:highlight w:val="none"/>
        </w:rPr>
      </w:pPr>
    </w:p>
    <w:p w14:paraId="34CE49B7">
      <w:pPr>
        <w:spacing w:line="460" w:lineRule="exact"/>
        <w:jc w:val="center"/>
        <w:rPr>
          <w:rFonts w:hint="eastAsia" w:ascii="新宋体" w:hAnsi="新宋体" w:eastAsia="新宋体" w:cs="新宋体"/>
          <w:b/>
          <w:bCs/>
          <w:color w:val="auto"/>
          <w:sz w:val="28"/>
          <w:szCs w:val="28"/>
          <w:highlight w:val="none"/>
        </w:rPr>
      </w:pPr>
    </w:p>
    <w:p w14:paraId="5D7C08F4">
      <w:pPr>
        <w:spacing w:line="460" w:lineRule="exact"/>
        <w:jc w:val="center"/>
        <w:rPr>
          <w:rFonts w:hint="eastAsia" w:ascii="新宋体" w:hAnsi="新宋体" w:eastAsia="新宋体" w:cs="新宋体"/>
          <w:b/>
          <w:bCs/>
          <w:color w:val="auto"/>
          <w:sz w:val="28"/>
          <w:szCs w:val="28"/>
          <w:highlight w:val="none"/>
        </w:rPr>
      </w:pPr>
    </w:p>
    <w:p w14:paraId="24F72B6B">
      <w:pPr>
        <w:spacing w:line="460" w:lineRule="exact"/>
        <w:jc w:val="center"/>
        <w:rPr>
          <w:rFonts w:hint="eastAsia" w:ascii="新宋体" w:hAnsi="新宋体" w:eastAsia="新宋体" w:cs="新宋体"/>
          <w:b/>
          <w:bCs/>
          <w:color w:val="auto"/>
          <w:sz w:val="28"/>
          <w:szCs w:val="28"/>
          <w:highlight w:val="none"/>
        </w:rPr>
      </w:pPr>
    </w:p>
    <w:p w14:paraId="623E758D">
      <w:pPr>
        <w:spacing w:line="460" w:lineRule="exact"/>
        <w:jc w:val="center"/>
        <w:rPr>
          <w:rFonts w:hint="eastAsia" w:ascii="新宋体" w:hAnsi="新宋体" w:eastAsia="新宋体" w:cs="新宋体"/>
          <w:b/>
          <w:bCs/>
          <w:color w:val="auto"/>
          <w:sz w:val="28"/>
          <w:szCs w:val="28"/>
          <w:highlight w:val="none"/>
        </w:rPr>
      </w:pPr>
    </w:p>
    <w:p w14:paraId="04573D7E">
      <w:pPr>
        <w:spacing w:line="460" w:lineRule="exact"/>
        <w:jc w:val="center"/>
        <w:rPr>
          <w:rFonts w:hint="eastAsia" w:ascii="新宋体" w:hAnsi="新宋体" w:eastAsia="新宋体" w:cs="新宋体"/>
          <w:b/>
          <w:bCs/>
          <w:color w:val="auto"/>
          <w:sz w:val="28"/>
          <w:szCs w:val="28"/>
          <w:highlight w:val="none"/>
        </w:rPr>
      </w:pPr>
    </w:p>
    <w:p w14:paraId="2DB69C49">
      <w:pPr>
        <w:spacing w:line="460" w:lineRule="exact"/>
        <w:jc w:val="center"/>
        <w:rPr>
          <w:rFonts w:hint="eastAsia" w:ascii="新宋体" w:hAnsi="新宋体" w:eastAsia="新宋体" w:cs="新宋体"/>
          <w:b/>
          <w:bCs/>
          <w:color w:val="auto"/>
          <w:sz w:val="28"/>
          <w:szCs w:val="28"/>
          <w:highlight w:val="none"/>
        </w:rPr>
      </w:pPr>
    </w:p>
    <w:p w14:paraId="40F67B91">
      <w:pPr>
        <w:spacing w:line="460" w:lineRule="exact"/>
        <w:jc w:val="center"/>
        <w:rPr>
          <w:rFonts w:hint="eastAsia" w:ascii="新宋体" w:hAnsi="新宋体" w:eastAsia="新宋体" w:cs="新宋体"/>
          <w:b/>
          <w:bCs/>
          <w:color w:val="auto"/>
          <w:sz w:val="28"/>
          <w:szCs w:val="28"/>
          <w:highlight w:val="none"/>
        </w:rPr>
      </w:pPr>
    </w:p>
    <w:p w14:paraId="69D2BDCC">
      <w:pPr>
        <w:spacing w:line="460" w:lineRule="exact"/>
        <w:jc w:val="center"/>
        <w:rPr>
          <w:rFonts w:hint="eastAsia" w:ascii="新宋体" w:hAnsi="新宋体" w:eastAsia="新宋体" w:cs="新宋体"/>
          <w:b/>
          <w:bCs/>
          <w:color w:val="auto"/>
          <w:sz w:val="28"/>
          <w:szCs w:val="28"/>
          <w:highlight w:val="none"/>
        </w:rPr>
        <w:sectPr>
          <w:headerReference r:id="rId6" w:type="first"/>
          <w:footerReference r:id="rId8" w:type="first"/>
          <w:footerReference r:id="rId7" w:type="default"/>
          <w:pgSz w:w="11907" w:h="16840"/>
          <w:pgMar w:top="1134" w:right="1134" w:bottom="1134" w:left="1134" w:header="851" w:footer="992" w:gutter="0"/>
          <w:pgBorders>
            <w:top w:val="none" w:sz="0" w:space="0"/>
            <w:left w:val="none" w:sz="0" w:space="0"/>
            <w:bottom w:val="none" w:sz="0" w:space="0"/>
            <w:right w:val="none" w:sz="0" w:space="0"/>
          </w:pgBorders>
          <w:cols w:space="720" w:num="1"/>
          <w:titlePg/>
          <w:docGrid w:linePitch="312" w:charSpace="0"/>
        </w:sectPr>
      </w:pPr>
    </w:p>
    <w:p w14:paraId="3315D1E9">
      <w:pPr>
        <w:spacing w:line="460" w:lineRule="exact"/>
        <w:jc w:val="center"/>
        <w:outlineLvl w:val="3"/>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8"/>
          <w:szCs w:val="28"/>
          <w:highlight w:val="none"/>
          <w:lang w:val="en-US" w:eastAsia="zh-CN"/>
        </w:rPr>
        <w:t>3</w:t>
      </w:r>
      <w:r>
        <w:rPr>
          <w:rFonts w:hint="eastAsia" w:ascii="新宋体" w:hAnsi="新宋体" w:eastAsia="新宋体" w:cs="新宋体"/>
          <w:b/>
          <w:bCs/>
          <w:color w:val="auto"/>
          <w:sz w:val="28"/>
          <w:szCs w:val="28"/>
          <w:highlight w:val="none"/>
        </w:rPr>
        <w:t>、投标人情况表</w:t>
      </w:r>
    </w:p>
    <w:p w14:paraId="371C8EA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616E38A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14788"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14:paraId="3FFB9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14:paraId="79FBFBA5">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单位名称（盖章）</w:t>
            </w:r>
          </w:p>
        </w:tc>
        <w:tc>
          <w:tcPr>
            <w:tcW w:w="2804" w:type="dxa"/>
            <w:gridSpan w:val="2"/>
          </w:tcPr>
          <w:p w14:paraId="483AC9CB">
            <w:pPr>
              <w:spacing w:line="480" w:lineRule="exact"/>
              <w:rPr>
                <w:rFonts w:hint="eastAsia" w:ascii="新宋体" w:hAnsi="新宋体" w:eastAsia="新宋体" w:cs="新宋体"/>
                <w:color w:val="auto"/>
                <w:sz w:val="22"/>
                <w:szCs w:val="22"/>
                <w:highlight w:val="none"/>
              </w:rPr>
            </w:pPr>
          </w:p>
        </w:tc>
        <w:tc>
          <w:tcPr>
            <w:tcW w:w="1115" w:type="dxa"/>
            <w:gridSpan w:val="2"/>
          </w:tcPr>
          <w:p w14:paraId="4C0A4E40">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 话</w:t>
            </w:r>
          </w:p>
        </w:tc>
        <w:tc>
          <w:tcPr>
            <w:tcW w:w="2588" w:type="dxa"/>
            <w:gridSpan w:val="2"/>
          </w:tcPr>
          <w:p w14:paraId="606FA14F">
            <w:pPr>
              <w:spacing w:line="480" w:lineRule="exact"/>
              <w:rPr>
                <w:rFonts w:hint="eastAsia" w:ascii="新宋体" w:hAnsi="新宋体" w:eastAsia="新宋体" w:cs="新宋体"/>
                <w:color w:val="auto"/>
                <w:sz w:val="22"/>
                <w:szCs w:val="22"/>
                <w:highlight w:val="none"/>
              </w:rPr>
            </w:pPr>
          </w:p>
        </w:tc>
        <w:tc>
          <w:tcPr>
            <w:tcW w:w="1488" w:type="dxa"/>
          </w:tcPr>
          <w:p w14:paraId="2B370D4F">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主管部门</w:t>
            </w:r>
          </w:p>
        </w:tc>
        <w:tc>
          <w:tcPr>
            <w:tcW w:w="1502" w:type="dxa"/>
          </w:tcPr>
          <w:p w14:paraId="115F1E36">
            <w:pPr>
              <w:spacing w:line="480" w:lineRule="exact"/>
              <w:rPr>
                <w:rFonts w:hint="eastAsia" w:ascii="新宋体" w:hAnsi="新宋体" w:eastAsia="新宋体" w:cs="新宋体"/>
                <w:color w:val="auto"/>
                <w:sz w:val="22"/>
                <w:szCs w:val="22"/>
                <w:highlight w:val="none"/>
              </w:rPr>
            </w:pPr>
          </w:p>
        </w:tc>
        <w:tc>
          <w:tcPr>
            <w:tcW w:w="1488" w:type="dxa"/>
          </w:tcPr>
          <w:p w14:paraId="0A0D6A06">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企业负责人</w:t>
            </w:r>
          </w:p>
        </w:tc>
        <w:tc>
          <w:tcPr>
            <w:tcW w:w="1115" w:type="dxa"/>
          </w:tcPr>
          <w:p w14:paraId="7C899A22">
            <w:pPr>
              <w:spacing w:line="480" w:lineRule="exact"/>
              <w:rPr>
                <w:rFonts w:hint="eastAsia" w:ascii="新宋体" w:hAnsi="新宋体" w:eastAsia="新宋体" w:cs="新宋体"/>
                <w:color w:val="auto"/>
                <w:sz w:val="22"/>
                <w:szCs w:val="22"/>
                <w:highlight w:val="none"/>
              </w:rPr>
            </w:pPr>
          </w:p>
        </w:tc>
        <w:tc>
          <w:tcPr>
            <w:tcW w:w="1461" w:type="dxa"/>
            <w:gridSpan w:val="2"/>
          </w:tcPr>
          <w:p w14:paraId="3475A22C">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职务</w:t>
            </w:r>
          </w:p>
        </w:tc>
      </w:tr>
      <w:tr w14:paraId="3C043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14:paraId="153C7508">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p>
        </w:tc>
        <w:tc>
          <w:tcPr>
            <w:tcW w:w="2804" w:type="dxa"/>
            <w:gridSpan w:val="2"/>
          </w:tcPr>
          <w:p w14:paraId="61C600DA">
            <w:pPr>
              <w:spacing w:line="480" w:lineRule="exact"/>
              <w:rPr>
                <w:rFonts w:hint="eastAsia" w:ascii="新宋体" w:hAnsi="新宋体" w:eastAsia="新宋体" w:cs="新宋体"/>
                <w:color w:val="auto"/>
                <w:sz w:val="22"/>
                <w:szCs w:val="22"/>
                <w:highlight w:val="none"/>
              </w:rPr>
            </w:pPr>
          </w:p>
        </w:tc>
        <w:tc>
          <w:tcPr>
            <w:tcW w:w="1115" w:type="dxa"/>
            <w:gridSpan w:val="2"/>
          </w:tcPr>
          <w:p w14:paraId="2EE5FE9F">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tc>
        <w:tc>
          <w:tcPr>
            <w:tcW w:w="2588" w:type="dxa"/>
            <w:gridSpan w:val="2"/>
          </w:tcPr>
          <w:p w14:paraId="4E12217D">
            <w:pPr>
              <w:spacing w:line="480" w:lineRule="exact"/>
              <w:rPr>
                <w:rFonts w:hint="eastAsia" w:ascii="新宋体" w:hAnsi="新宋体" w:eastAsia="新宋体" w:cs="新宋体"/>
                <w:color w:val="auto"/>
                <w:sz w:val="22"/>
                <w:szCs w:val="22"/>
                <w:highlight w:val="none"/>
              </w:rPr>
            </w:pPr>
          </w:p>
        </w:tc>
        <w:tc>
          <w:tcPr>
            <w:tcW w:w="1488" w:type="dxa"/>
          </w:tcPr>
          <w:p w14:paraId="5C101AA8">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企业性质</w:t>
            </w:r>
          </w:p>
        </w:tc>
        <w:tc>
          <w:tcPr>
            <w:tcW w:w="1502" w:type="dxa"/>
          </w:tcPr>
          <w:p w14:paraId="24370D3E">
            <w:pPr>
              <w:spacing w:line="480" w:lineRule="exact"/>
              <w:rPr>
                <w:rFonts w:hint="eastAsia" w:ascii="新宋体" w:hAnsi="新宋体" w:eastAsia="新宋体" w:cs="新宋体"/>
                <w:color w:val="auto"/>
                <w:sz w:val="22"/>
                <w:szCs w:val="22"/>
                <w:highlight w:val="none"/>
              </w:rPr>
            </w:pPr>
          </w:p>
        </w:tc>
        <w:tc>
          <w:tcPr>
            <w:tcW w:w="1488" w:type="dxa"/>
          </w:tcPr>
          <w:p w14:paraId="59226237">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授权代表</w:t>
            </w:r>
          </w:p>
        </w:tc>
        <w:tc>
          <w:tcPr>
            <w:tcW w:w="1115" w:type="dxa"/>
          </w:tcPr>
          <w:p w14:paraId="2D7CACCC">
            <w:pPr>
              <w:spacing w:line="480" w:lineRule="exact"/>
              <w:rPr>
                <w:rFonts w:hint="eastAsia" w:ascii="新宋体" w:hAnsi="新宋体" w:eastAsia="新宋体" w:cs="新宋体"/>
                <w:color w:val="auto"/>
                <w:sz w:val="22"/>
                <w:szCs w:val="22"/>
                <w:highlight w:val="none"/>
              </w:rPr>
            </w:pPr>
          </w:p>
        </w:tc>
        <w:tc>
          <w:tcPr>
            <w:tcW w:w="1461" w:type="dxa"/>
            <w:gridSpan w:val="2"/>
          </w:tcPr>
          <w:p w14:paraId="558C103A">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职务</w:t>
            </w:r>
          </w:p>
        </w:tc>
      </w:tr>
      <w:tr w14:paraId="61341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vAlign w:val="center"/>
          </w:tcPr>
          <w:p w14:paraId="7DCF1C30">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单位简介</w:t>
            </w:r>
          </w:p>
          <w:p w14:paraId="1FB289EF">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及机构</w:t>
            </w:r>
          </w:p>
        </w:tc>
        <w:tc>
          <w:tcPr>
            <w:tcW w:w="6507" w:type="dxa"/>
            <w:gridSpan w:val="6"/>
            <w:vAlign w:val="center"/>
          </w:tcPr>
          <w:p w14:paraId="066A8843">
            <w:pPr>
              <w:spacing w:line="480" w:lineRule="exact"/>
              <w:jc w:val="center"/>
              <w:rPr>
                <w:rFonts w:hint="eastAsia" w:ascii="新宋体" w:hAnsi="新宋体" w:eastAsia="新宋体" w:cs="新宋体"/>
                <w:color w:val="auto"/>
                <w:sz w:val="22"/>
                <w:szCs w:val="22"/>
                <w:highlight w:val="none"/>
              </w:rPr>
            </w:pPr>
          </w:p>
        </w:tc>
        <w:tc>
          <w:tcPr>
            <w:tcW w:w="1488" w:type="dxa"/>
            <w:vAlign w:val="center"/>
          </w:tcPr>
          <w:p w14:paraId="104B957F">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单位优势</w:t>
            </w:r>
          </w:p>
          <w:p w14:paraId="175A7DE8">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及特长</w:t>
            </w:r>
          </w:p>
        </w:tc>
        <w:tc>
          <w:tcPr>
            <w:tcW w:w="5566" w:type="dxa"/>
            <w:gridSpan w:val="5"/>
          </w:tcPr>
          <w:p w14:paraId="2AD85FE9">
            <w:pPr>
              <w:spacing w:line="480" w:lineRule="exact"/>
              <w:rPr>
                <w:rFonts w:hint="eastAsia" w:ascii="新宋体" w:hAnsi="新宋体" w:eastAsia="新宋体" w:cs="新宋体"/>
                <w:color w:val="auto"/>
                <w:sz w:val="22"/>
                <w:szCs w:val="22"/>
                <w:highlight w:val="none"/>
              </w:rPr>
            </w:pPr>
          </w:p>
        </w:tc>
      </w:tr>
      <w:tr w14:paraId="14BF4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227" w:type="dxa"/>
            <w:vMerge w:val="restart"/>
            <w:vAlign w:val="center"/>
          </w:tcPr>
          <w:p w14:paraId="40F1ABEA">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单位概况</w:t>
            </w:r>
          </w:p>
        </w:tc>
        <w:tc>
          <w:tcPr>
            <w:tcW w:w="1115" w:type="dxa"/>
            <w:vMerge w:val="restart"/>
          </w:tcPr>
          <w:p w14:paraId="394974B1">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职工总数</w:t>
            </w:r>
          </w:p>
        </w:tc>
        <w:tc>
          <w:tcPr>
            <w:tcW w:w="1689" w:type="dxa"/>
            <w:vMerge w:val="restart"/>
          </w:tcPr>
          <w:p w14:paraId="13E39B82">
            <w:pPr>
              <w:spacing w:line="480" w:lineRule="exact"/>
              <w:ind w:firstLine="1540" w:firstLineChars="700"/>
              <w:rPr>
                <w:rFonts w:hint="eastAsia" w:ascii="新宋体" w:hAnsi="新宋体" w:eastAsia="新宋体" w:cs="新宋体"/>
                <w:color w:val="auto"/>
                <w:sz w:val="22"/>
                <w:szCs w:val="22"/>
                <w:highlight w:val="none"/>
              </w:rPr>
            </w:pPr>
          </w:p>
        </w:tc>
        <w:tc>
          <w:tcPr>
            <w:tcW w:w="3703" w:type="dxa"/>
            <w:gridSpan w:val="4"/>
            <w:vMerge w:val="restart"/>
          </w:tcPr>
          <w:p w14:paraId="48D3E177">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各人员构成情况</w:t>
            </w:r>
          </w:p>
        </w:tc>
        <w:tc>
          <w:tcPr>
            <w:tcW w:w="1488" w:type="dxa"/>
            <w:vMerge w:val="restart"/>
            <w:vAlign w:val="center"/>
          </w:tcPr>
          <w:p w14:paraId="04A1759A">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上一年主要  经济指标</w:t>
            </w:r>
          </w:p>
        </w:tc>
        <w:tc>
          <w:tcPr>
            <w:tcW w:w="1502" w:type="dxa"/>
            <w:vAlign w:val="center"/>
          </w:tcPr>
          <w:p w14:paraId="45D88DCC">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指标名称</w:t>
            </w:r>
          </w:p>
        </w:tc>
        <w:tc>
          <w:tcPr>
            <w:tcW w:w="1488" w:type="dxa"/>
            <w:tcBorders>
              <w:tr2bl w:val="single" w:color="auto" w:sz="4" w:space="0"/>
            </w:tcBorders>
            <w:vAlign w:val="center"/>
          </w:tcPr>
          <w:p w14:paraId="1AC1850F">
            <w:pPr>
              <w:spacing w:line="480" w:lineRule="exact"/>
              <w:jc w:val="center"/>
              <w:rPr>
                <w:rFonts w:hint="eastAsia" w:ascii="新宋体" w:hAnsi="新宋体" w:eastAsia="新宋体" w:cs="新宋体"/>
                <w:color w:val="auto"/>
                <w:sz w:val="22"/>
                <w:szCs w:val="22"/>
                <w:highlight w:val="none"/>
              </w:rPr>
            </w:pPr>
          </w:p>
        </w:tc>
        <w:tc>
          <w:tcPr>
            <w:tcW w:w="1470" w:type="dxa"/>
            <w:gridSpan w:val="2"/>
            <w:vAlign w:val="center"/>
          </w:tcPr>
          <w:p w14:paraId="6F451641">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实际完成</w:t>
            </w:r>
          </w:p>
        </w:tc>
        <w:tc>
          <w:tcPr>
            <w:tcW w:w="1106" w:type="dxa"/>
            <w:tcBorders>
              <w:tr2bl w:val="single" w:color="auto" w:sz="4" w:space="0"/>
            </w:tcBorders>
            <w:vAlign w:val="center"/>
          </w:tcPr>
          <w:p w14:paraId="2E61D8CE">
            <w:pPr>
              <w:spacing w:line="480" w:lineRule="exact"/>
              <w:jc w:val="center"/>
              <w:rPr>
                <w:rFonts w:hint="eastAsia" w:ascii="新宋体" w:hAnsi="新宋体" w:eastAsia="新宋体" w:cs="新宋体"/>
                <w:color w:val="auto"/>
                <w:sz w:val="22"/>
                <w:szCs w:val="22"/>
                <w:highlight w:val="none"/>
              </w:rPr>
            </w:pPr>
          </w:p>
        </w:tc>
      </w:tr>
      <w:tr w14:paraId="76FA4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tcPr>
          <w:p w14:paraId="073B93D0">
            <w:pPr>
              <w:spacing w:line="480" w:lineRule="exact"/>
              <w:rPr>
                <w:rFonts w:hint="eastAsia" w:ascii="新宋体" w:hAnsi="新宋体" w:eastAsia="新宋体" w:cs="新宋体"/>
                <w:color w:val="auto"/>
                <w:sz w:val="22"/>
                <w:szCs w:val="22"/>
                <w:highlight w:val="none"/>
              </w:rPr>
            </w:pPr>
          </w:p>
        </w:tc>
        <w:tc>
          <w:tcPr>
            <w:tcW w:w="1115" w:type="dxa"/>
            <w:vMerge w:val="continue"/>
          </w:tcPr>
          <w:p w14:paraId="03186951">
            <w:pPr>
              <w:spacing w:line="480" w:lineRule="exact"/>
              <w:rPr>
                <w:rFonts w:hint="eastAsia" w:ascii="新宋体" w:hAnsi="新宋体" w:eastAsia="新宋体" w:cs="新宋体"/>
                <w:color w:val="auto"/>
                <w:sz w:val="22"/>
                <w:szCs w:val="22"/>
                <w:highlight w:val="none"/>
              </w:rPr>
            </w:pPr>
          </w:p>
        </w:tc>
        <w:tc>
          <w:tcPr>
            <w:tcW w:w="1689" w:type="dxa"/>
            <w:vMerge w:val="continue"/>
          </w:tcPr>
          <w:p w14:paraId="61C9C708">
            <w:pPr>
              <w:spacing w:line="480" w:lineRule="exact"/>
              <w:rPr>
                <w:rFonts w:hint="eastAsia" w:ascii="新宋体" w:hAnsi="新宋体" w:eastAsia="新宋体" w:cs="新宋体"/>
                <w:color w:val="auto"/>
                <w:sz w:val="22"/>
                <w:szCs w:val="22"/>
                <w:highlight w:val="none"/>
              </w:rPr>
            </w:pPr>
          </w:p>
        </w:tc>
        <w:tc>
          <w:tcPr>
            <w:tcW w:w="3703" w:type="dxa"/>
            <w:gridSpan w:val="4"/>
            <w:vMerge w:val="continue"/>
          </w:tcPr>
          <w:p w14:paraId="3923EF87">
            <w:pPr>
              <w:spacing w:line="480" w:lineRule="exact"/>
              <w:rPr>
                <w:rFonts w:hint="eastAsia" w:ascii="新宋体" w:hAnsi="新宋体" w:eastAsia="新宋体" w:cs="新宋体"/>
                <w:color w:val="auto"/>
                <w:sz w:val="22"/>
                <w:szCs w:val="22"/>
                <w:highlight w:val="none"/>
              </w:rPr>
            </w:pPr>
          </w:p>
        </w:tc>
        <w:tc>
          <w:tcPr>
            <w:tcW w:w="1488" w:type="dxa"/>
            <w:vMerge w:val="continue"/>
          </w:tcPr>
          <w:p w14:paraId="0639E838">
            <w:pPr>
              <w:spacing w:line="480" w:lineRule="exact"/>
              <w:rPr>
                <w:rFonts w:hint="eastAsia" w:ascii="新宋体" w:hAnsi="新宋体" w:eastAsia="新宋体" w:cs="新宋体"/>
                <w:color w:val="auto"/>
                <w:sz w:val="22"/>
                <w:szCs w:val="22"/>
                <w:highlight w:val="none"/>
              </w:rPr>
            </w:pPr>
          </w:p>
        </w:tc>
        <w:tc>
          <w:tcPr>
            <w:tcW w:w="1502" w:type="dxa"/>
            <w:vAlign w:val="center"/>
          </w:tcPr>
          <w:p w14:paraId="2AB350B7">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总产值</w:t>
            </w:r>
          </w:p>
        </w:tc>
        <w:tc>
          <w:tcPr>
            <w:tcW w:w="1488" w:type="dxa"/>
            <w:vAlign w:val="center"/>
          </w:tcPr>
          <w:p w14:paraId="772252BF">
            <w:pPr>
              <w:spacing w:line="480" w:lineRule="exact"/>
              <w:ind w:firstLine="660" w:firstLineChars="300"/>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万元</w:t>
            </w:r>
          </w:p>
        </w:tc>
        <w:tc>
          <w:tcPr>
            <w:tcW w:w="1470" w:type="dxa"/>
            <w:gridSpan w:val="2"/>
            <w:vAlign w:val="center"/>
          </w:tcPr>
          <w:p w14:paraId="1FF57D74">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总产值</w:t>
            </w:r>
          </w:p>
        </w:tc>
        <w:tc>
          <w:tcPr>
            <w:tcW w:w="1106" w:type="dxa"/>
            <w:vAlign w:val="center"/>
          </w:tcPr>
          <w:p w14:paraId="23608CC7">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万元</w:t>
            </w:r>
          </w:p>
        </w:tc>
      </w:tr>
      <w:tr w14:paraId="275C6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tcPr>
          <w:p w14:paraId="75623F09">
            <w:pPr>
              <w:spacing w:line="480" w:lineRule="exact"/>
              <w:rPr>
                <w:rFonts w:hint="eastAsia" w:ascii="新宋体" w:hAnsi="新宋体" w:eastAsia="新宋体" w:cs="新宋体"/>
                <w:color w:val="auto"/>
                <w:sz w:val="22"/>
                <w:szCs w:val="22"/>
                <w:highlight w:val="none"/>
              </w:rPr>
            </w:pPr>
          </w:p>
        </w:tc>
        <w:tc>
          <w:tcPr>
            <w:tcW w:w="1115" w:type="dxa"/>
            <w:vMerge w:val="restart"/>
          </w:tcPr>
          <w:p w14:paraId="3B93C018">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流动资金</w:t>
            </w:r>
          </w:p>
        </w:tc>
        <w:tc>
          <w:tcPr>
            <w:tcW w:w="1689" w:type="dxa"/>
            <w:vMerge w:val="restart"/>
          </w:tcPr>
          <w:p w14:paraId="6E603DE6">
            <w:pPr>
              <w:spacing w:line="48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p w14:paraId="1D78656E">
            <w:pPr>
              <w:spacing w:line="480" w:lineRule="exact"/>
              <w:ind w:firstLine="660" w:firstLineChars="300"/>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万元 </w:t>
            </w:r>
          </w:p>
        </w:tc>
        <w:tc>
          <w:tcPr>
            <w:tcW w:w="728" w:type="dxa"/>
            <w:vMerge w:val="restart"/>
          </w:tcPr>
          <w:p w14:paraId="6ABF232B">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资金</w:t>
            </w:r>
          </w:p>
          <w:p w14:paraId="4C58D21C">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来源</w:t>
            </w:r>
          </w:p>
        </w:tc>
        <w:tc>
          <w:tcPr>
            <w:tcW w:w="1487" w:type="dxa"/>
            <w:gridSpan w:val="2"/>
            <w:vAlign w:val="center"/>
          </w:tcPr>
          <w:p w14:paraId="4EA7691F">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自有资金</w:t>
            </w:r>
          </w:p>
        </w:tc>
        <w:tc>
          <w:tcPr>
            <w:tcW w:w="1488" w:type="dxa"/>
            <w:vAlign w:val="center"/>
          </w:tcPr>
          <w:p w14:paraId="0DBD6F7A">
            <w:pPr>
              <w:spacing w:line="48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万元</w:t>
            </w:r>
          </w:p>
        </w:tc>
        <w:tc>
          <w:tcPr>
            <w:tcW w:w="1488" w:type="dxa"/>
            <w:vMerge w:val="continue"/>
          </w:tcPr>
          <w:p w14:paraId="609B9435">
            <w:pPr>
              <w:spacing w:line="480" w:lineRule="exact"/>
              <w:rPr>
                <w:rFonts w:hint="eastAsia" w:ascii="新宋体" w:hAnsi="新宋体" w:eastAsia="新宋体" w:cs="新宋体"/>
                <w:color w:val="auto"/>
                <w:sz w:val="22"/>
                <w:szCs w:val="22"/>
                <w:highlight w:val="none"/>
              </w:rPr>
            </w:pPr>
          </w:p>
        </w:tc>
        <w:tc>
          <w:tcPr>
            <w:tcW w:w="1502" w:type="dxa"/>
            <w:vAlign w:val="center"/>
          </w:tcPr>
          <w:p w14:paraId="6B1BA4E2">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实现利润</w:t>
            </w:r>
          </w:p>
        </w:tc>
        <w:tc>
          <w:tcPr>
            <w:tcW w:w="1488" w:type="dxa"/>
            <w:vAlign w:val="center"/>
          </w:tcPr>
          <w:p w14:paraId="622889A0">
            <w:pPr>
              <w:spacing w:line="480" w:lineRule="exact"/>
              <w:ind w:firstLine="660" w:firstLineChars="300"/>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万元</w:t>
            </w:r>
          </w:p>
        </w:tc>
        <w:tc>
          <w:tcPr>
            <w:tcW w:w="1470" w:type="dxa"/>
            <w:gridSpan w:val="2"/>
            <w:vAlign w:val="center"/>
          </w:tcPr>
          <w:p w14:paraId="0B644E81">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实现利润</w:t>
            </w:r>
          </w:p>
        </w:tc>
        <w:tc>
          <w:tcPr>
            <w:tcW w:w="1106" w:type="dxa"/>
            <w:vAlign w:val="center"/>
          </w:tcPr>
          <w:p w14:paraId="6900C18B">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万元</w:t>
            </w:r>
          </w:p>
        </w:tc>
      </w:tr>
      <w:tr w14:paraId="6FA84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tcPr>
          <w:p w14:paraId="778D7964">
            <w:pPr>
              <w:spacing w:line="480" w:lineRule="exact"/>
              <w:rPr>
                <w:rFonts w:hint="eastAsia" w:ascii="新宋体" w:hAnsi="新宋体" w:eastAsia="新宋体" w:cs="新宋体"/>
                <w:color w:val="auto"/>
                <w:sz w:val="22"/>
                <w:szCs w:val="22"/>
                <w:highlight w:val="none"/>
              </w:rPr>
            </w:pPr>
          </w:p>
        </w:tc>
        <w:tc>
          <w:tcPr>
            <w:tcW w:w="1115" w:type="dxa"/>
            <w:vMerge w:val="continue"/>
            <w:tcBorders>
              <w:bottom w:val="single" w:color="auto" w:sz="4" w:space="0"/>
            </w:tcBorders>
          </w:tcPr>
          <w:p w14:paraId="703900F7">
            <w:pPr>
              <w:spacing w:line="480" w:lineRule="exact"/>
              <w:rPr>
                <w:rFonts w:hint="eastAsia" w:ascii="新宋体" w:hAnsi="新宋体" w:eastAsia="新宋体" w:cs="新宋体"/>
                <w:color w:val="auto"/>
                <w:sz w:val="22"/>
                <w:szCs w:val="22"/>
                <w:highlight w:val="none"/>
              </w:rPr>
            </w:pPr>
          </w:p>
        </w:tc>
        <w:tc>
          <w:tcPr>
            <w:tcW w:w="1689" w:type="dxa"/>
            <w:vMerge w:val="continue"/>
            <w:tcBorders>
              <w:bottom w:val="single" w:color="auto" w:sz="4" w:space="0"/>
            </w:tcBorders>
          </w:tcPr>
          <w:p w14:paraId="5DDA0006">
            <w:pPr>
              <w:spacing w:line="480" w:lineRule="exact"/>
              <w:rPr>
                <w:rFonts w:hint="eastAsia" w:ascii="新宋体" w:hAnsi="新宋体" w:eastAsia="新宋体" w:cs="新宋体"/>
                <w:color w:val="auto"/>
                <w:sz w:val="22"/>
                <w:szCs w:val="22"/>
                <w:highlight w:val="none"/>
              </w:rPr>
            </w:pPr>
          </w:p>
        </w:tc>
        <w:tc>
          <w:tcPr>
            <w:tcW w:w="728" w:type="dxa"/>
            <w:vMerge w:val="continue"/>
            <w:tcBorders>
              <w:bottom w:val="single" w:color="auto" w:sz="4" w:space="0"/>
            </w:tcBorders>
          </w:tcPr>
          <w:p w14:paraId="6EA1A493">
            <w:pPr>
              <w:spacing w:line="480" w:lineRule="exact"/>
              <w:rPr>
                <w:rFonts w:hint="eastAsia" w:ascii="新宋体" w:hAnsi="新宋体" w:eastAsia="新宋体" w:cs="新宋体"/>
                <w:color w:val="auto"/>
                <w:sz w:val="22"/>
                <w:szCs w:val="22"/>
                <w:highlight w:val="none"/>
              </w:rPr>
            </w:pPr>
          </w:p>
        </w:tc>
        <w:tc>
          <w:tcPr>
            <w:tcW w:w="1487" w:type="dxa"/>
            <w:gridSpan w:val="2"/>
            <w:tcBorders>
              <w:bottom w:val="single" w:color="auto" w:sz="4" w:space="0"/>
            </w:tcBorders>
          </w:tcPr>
          <w:p w14:paraId="5A8204D8">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银行贷款</w:t>
            </w:r>
          </w:p>
        </w:tc>
        <w:tc>
          <w:tcPr>
            <w:tcW w:w="1488" w:type="dxa"/>
            <w:tcBorders>
              <w:bottom w:val="single" w:color="auto" w:sz="4" w:space="0"/>
            </w:tcBorders>
          </w:tcPr>
          <w:p w14:paraId="6A14FD6C">
            <w:pPr>
              <w:spacing w:line="48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万元</w:t>
            </w:r>
          </w:p>
        </w:tc>
        <w:tc>
          <w:tcPr>
            <w:tcW w:w="1488" w:type="dxa"/>
            <w:vMerge w:val="continue"/>
            <w:tcBorders>
              <w:bottom w:val="single" w:color="auto" w:sz="4" w:space="0"/>
            </w:tcBorders>
          </w:tcPr>
          <w:p w14:paraId="3D184995">
            <w:pPr>
              <w:spacing w:line="480" w:lineRule="exact"/>
              <w:rPr>
                <w:rFonts w:hint="eastAsia" w:ascii="新宋体" w:hAnsi="新宋体" w:eastAsia="新宋体" w:cs="新宋体"/>
                <w:color w:val="auto"/>
                <w:sz w:val="22"/>
                <w:szCs w:val="22"/>
                <w:highlight w:val="none"/>
              </w:rPr>
            </w:pPr>
          </w:p>
        </w:tc>
        <w:tc>
          <w:tcPr>
            <w:tcW w:w="1502" w:type="dxa"/>
            <w:vMerge w:val="restart"/>
            <w:tcBorders>
              <w:bottom w:val="single" w:color="auto" w:sz="4" w:space="0"/>
            </w:tcBorders>
            <w:vAlign w:val="center"/>
          </w:tcPr>
          <w:p w14:paraId="30CDE8D8">
            <w:pPr>
              <w:spacing w:line="48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主要业绩</w:t>
            </w:r>
          </w:p>
        </w:tc>
        <w:tc>
          <w:tcPr>
            <w:tcW w:w="4064" w:type="dxa"/>
            <w:gridSpan w:val="4"/>
            <w:vMerge w:val="restart"/>
            <w:tcBorders>
              <w:bottom w:val="single" w:color="auto" w:sz="4" w:space="0"/>
            </w:tcBorders>
            <w:vAlign w:val="center"/>
          </w:tcPr>
          <w:p w14:paraId="2D93E3E9">
            <w:pPr>
              <w:spacing w:line="480" w:lineRule="exact"/>
              <w:jc w:val="center"/>
              <w:rPr>
                <w:rFonts w:hint="eastAsia" w:ascii="新宋体" w:hAnsi="新宋体" w:eastAsia="新宋体" w:cs="新宋体"/>
                <w:color w:val="auto"/>
                <w:sz w:val="22"/>
                <w:szCs w:val="22"/>
                <w:highlight w:val="none"/>
              </w:rPr>
            </w:pPr>
          </w:p>
        </w:tc>
      </w:tr>
      <w:tr w14:paraId="49AB0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tcPr>
          <w:p w14:paraId="3AC8641C">
            <w:pPr>
              <w:spacing w:line="480" w:lineRule="exact"/>
              <w:rPr>
                <w:rFonts w:hint="eastAsia" w:ascii="新宋体" w:hAnsi="新宋体" w:eastAsia="新宋体" w:cs="新宋体"/>
                <w:color w:val="auto"/>
                <w:sz w:val="22"/>
                <w:szCs w:val="22"/>
                <w:highlight w:val="none"/>
              </w:rPr>
            </w:pPr>
          </w:p>
        </w:tc>
        <w:tc>
          <w:tcPr>
            <w:tcW w:w="1115" w:type="dxa"/>
            <w:vMerge w:val="restart"/>
          </w:tcPr>
          <w:p w14:paraId="22375B75">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固定资产</w:t>
            </w:r>
          </w:p>
        </w:tc>
        <w:tc>
          <w:tcPr>
            <w:tcW w:w="1689" w:type="dxa"/>
            <w:vMerge w:val="restart"/>
          </w:tcPr>
          <w:p w14:paraId="299D1327">
            <w:pPr>
              <w:spacing w:line="48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原值   万元</w:t>
            </w:r>
          </w:p>
          <w:p w14:paraId="46C6BE7A">
            <w:pPr>
              <w:spacing w:line="48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净值   万元</w:t>
            </w:r>
          </w:p>
        </w:tc>
        <w:tc>
          <w:tcPr>
            <w:tcW w:w="728" w:type="dxa"/>
            <w:vMerge w:val="restart"/>
          </w:tcPr>
          <w:p w14:paraId="51D365CD">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资金</w:t>
            </w:r>
          </w:p>
          <w:p w14:paraId="775D9FBE">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性质</w:t>
            </w:r>
          </w:p>
        </w:tc>
        <w:tc>
          <w:tcPr>
            <w:tcW w:w="1487" w:type="dxa"/>
            <w:gridSpan w:val="2"/>
          </w:tcPr>
          <w:p w14:paraId="7A8AE99A">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生产性</w:t>
            </w:r>
          </w:p>
        </w:tc>
        <w:tc>
          <w:tcPr>
            <w:tcW w:w="1488" w:type="dxa"/>
          </w:tcPr>
          <w:p w14:paraId="3297B385">
            <w:pPr>
              <w:spacing w:line="48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万元</w:t>
            </w:r>
          </w:p>
        </w:tc>
        <w:tc>
          <w:tcPr>
            <w:tcW w:w="1488" w:type="dxa"/>
            <w:vMerge w:val="continue"/>
          </w:tcPr>
          <w:p w14:paraId="6A700BA4">
            <w:pPr>
              <w:spacing w:line="480" w:lineRule="exact"/>
              <w:rPr>
                <w:rFonts w:hint="eastAsia" w:ascii="新宋体" w:hAnsi="新宋体" w:eastAsia="新宋体" w:cs="新宋体"/>
                <w:color w:val="auto"/>
                <w:sz w:val="22"/>
                <w:szCs w:val="22"/>
                <w:highlight w:val="none"/>
              </w:rPr>
            </w:pPr>
          </w:p>
        </w:tc>
        <w:tc>
          <w:tcPr>
            <w:tcW w:w="1502" w:type="dxa"/>
            <w:vMerge w:val="continue"/>
          </w:tcPr>
          <w:p w14:paraId="01BF96B4">
            <w:pPr>
              <w:spacing w:line="480" w:lineRule="exact"/>
              <w:rPr>
                <w:rFonts w:hint="eastAsia" w:ascii="新宋体" w:hAnsi="新宋体" w:eastAsia="新宋体" w:cs="新宋体"/>
                <w:color w:val="auto"/>
                <w:sz w:val="22"/>
                <w:szCs w:val="22"/>
                <w:highlight w:val="none"/>
              </w:rPr>
            </w:pPr>
          </w:p>
        </w:tc>
        <w:tc>
          <w:tcPr>
            <w:tcW w:w="4064" w:type="dxa"/>
            <w:gridSpan w:val="4"/>
            <w:vMerge w:val="continue"/>
          </w:tcPr>
          <w:p w14:paraId="102A857D">
            <w:pPr>
              <w:spacing w:line="480" w:lineRule="exact"/>
              <w:rPr>
                <w:rFonts w:hint="eastAsia" w:ascii="新宋体" w:hAnsi="新宋体" w:eastAsia="新宋体" w:cs="新宋体"/>
                <w:color w:val="auto"/>
                <w:sz w:val="22"/>
                <w:szCs w:val="22"/>
                <w:highlight w:val="none"/>
              </w:rPr>
            </w:pPr>
          </w:p>
        </w:tc>
      </w:tr>
      <w:tr w14:paraId="15964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tcPr>
          <w:p w14:paraId="1127E835">
            <w:pPr>
              <w:spacing w:line="480" w:lineRule="exact"/>
              <w:rPr>
                <w:rFonts w:hint="eastAsia" w:ascii="新宋体" w:hAnsi="新宋体" w:eastAsia="新宋体" w:cs="新宋体"/>
                <w:color w:val="auto"/>
                <w:sz w:val="22"/>
                <w:szCs w:val="22"/>
                <w:highlight w:val="none"/>
              </w:rPr>
            </w:pPr>
          </w:p>
        </w:tc>
        <w:tc>
          <w:tcPr>
            <w:tcW w:w="1115" w:type="dxa"/>
            <w:vMerge w:val="continue"/>
          </w:tcPr>
          <w:p w14:paraId="2A9EB49E">
            <w:pPr>
              <w:spacing w:line="480" w:lineRule="exact"/>
              <w:rPr>
                <w:rFonts w:hint="eastAsia" w:ascii="新宋体" w:hAnsi="新宋体" w:eastAsia="新宋体" w:cs="新宋体"/>
                <w:color w:val="auto"/>
                <w:sz w:val="22"/>
                <w:szCs w:val="22"/>
                <w:highlight w:val="none"/>
              </w:rPr>
            </w:pPr>
          </w:p>
        </w:tc>
        <w:tc>
          <w:tcPr>
            <w:tcW w:w="1689" w:type="dxa"/>
            <w:vMerge w:val="continue"/>
          </w:tcPr>
          <w:p w14:paraId="3094597B">
            <w:pPr>
              <w:spacing w:line="480" w:lineRule="exact"/>
              <w:rPr>
                <w:rFonts w:hint="eastAsia" w:ascii="新宋体" w:hAnsi="新宋体" w:eastAsia="新宋体" w:cs="新宋体"/>
                <w:color w:val="auto"/>
                <w:sz w:val="22"/>
                <w:szCs w:val="22"/>
                <w:highlight w:val="none"/>
              </w:rPr>
            </w:pPr>
          </w:p>
        </w:tc>
        <w:tc>
          <w:tcPr>
            <w:tcW w:w="728" w:type="dxa"/>
            <w:vMerge w:val="continue"/>
          </w:tcPr>
          <w:p w14:paraId="047B5EF4">
            <w:pPr>
              <w:spacing w:line="480" w:lineRule="exact"/>
              <w:rPr>
                <w:rFonts w:hint="eastAsia" w:ascii="新宋体" w:hAnsi="新宋体" w:eastAsia="新宋体" w:cs="新宋体"/>
                <w:color w:val="auto"/>
                <w:sz w:val="22"/>
                <w:szCs w:val="22"/>
                <w:highlight w:val="none"/>
              </w:rPr>
            </w:pPr>
          </w:p>
        </w:tc>
        <w:tc>
          <w:tcPr>
            <w:tcW w:w="1487" w:type="dxa"/>
            <w:gridSpan w:val="2"/>
          </w:tcPr>
          <w:p w14:paraId="6783E16D">
            <w:pPr>
              <w:spacing w:line="4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非生产性</w:t>
            </w:r>
          </w:p>
        </w:tc>
        <w:tc>
          <w:tcPr>
            <w:tcW w:w="1488" w:type="dxa"/>
          </w:tcPr>
          <w:p w14:paraId="3E94D31C">
            <w:pPr>
              <w:spacing w:line="48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万元</w:t>
            </w:r>
          </w:p>
        </w:tc>
        <w:tc>
          <w:tcPr>
            <w:tcW w:w="1488" w:type="dxa"/>
            <w:vMerge w:val="continue"/>
          </w:tcPr>
          <w:p w14:paraId="49630BED">
            <w:pPr>
              <w:spacing w:line="480" w:lineRule="exact"/>
              <w:rPr>
                <w:rFonts w:hint="eastAsia" w:ascii="新宋体" w:hAnsi="新宋体" w:eastAsia="新宋体" w:cs="新宋体"/>
                <w:color w:val="auto"/>
                <w:sz w:val="22"/>
                <w:szCs w:val="22"/>
                <w:highlight w:val="none"/>
              </w:rPr>
            </w:pPr>
          </w:p>
        </w:tc>
        <w:tc>
          <w:tcPr>
            <w:tcW w:w="1502" w:type="dxa"/>
            <w:vMerge w:val="continue"/>
          </w:tcPr>
          <w:p w14:paraId="2676C42B">
            <w:pPr>
              <w:spacing w:line="480" w:lineRule="exact"/>
              <w:rPr>
                <w:rFonts w:hint="eastAsia" w:ascii="新宋体" w:hAnsi="新宋体" w:eastAsia="新宋体" w:cs="新宋体"/>
                <w:color w:val="auto"/>
                <w:sz w:val="22"/>
                <w:szCs w:val="22"/>
                <w:highlight w:val="none"/>
              </w:rPr>
            </w:pPr>
          </w:p>
        </w:tc>
        <w:tc>
          <w:tcPr>
            <w:tcW w:w="4064" w:type="dxa"/>
            <w:gridSpan w:val="4"/>
            <w:vMerge w:val="continue"/>
          </w:tcPr>
          <w:p w14:paraId="10A49754">
            <w:pPr>
              <w:spacing w:line="480" w:lineRule="exact"/>
              <w:rPr>
                <w:rFonts w:hint="eastAsia" w:ascii="新宋体" w:hAnsi="新宋体" w:eastAsia="新宋体" w:cs="新宋体"/>
                <w:color w:val="auto"/>
                <w:sz w:val="22"/>
                <w:szCs w:val="22"/>
                <w:highlight w:val="none"/>
              </w:rPr>
            </w:pPr>
          </w:p>
        </w:tc>
      </w:tr>
    </w:tbl>
    <w:p w14:paraId="7640D840">
      <w:pPr>
        <w:spacing w:line="460" w:lineRule="exact"/>
        <w:rPr>
          <w:rFonts w:hint="eastAsia" w:ascii="新宋体" w:hAnsi="新宋体" w:eastAsia="新宋体" w:cs="新宋体"/>
          <w:color w:val="auto"/>
          <w:sz w:val="22"/>
          <w:szCs w:val="22"/>
          <w:highlight w:val="none"/>
        </w:rPr>
        <w:sectPr>
          <w:pgSz w:w="16840" w:h="11907" w:orient="landscape"/>
          <w:pgMar w:top="1134" w:right="1134" w:bottom="1134" w:left="1134" w:header="851" w:footer="992" w:gutter="0"/>
          <w:pgBorders>
            <w:top w:val="none" w:sz="0" w:space="0"/>
            <w:left w:val="none" w:sz="0" w:space="0"/>
            <w:bottom w:val="none" w:sz="0" w:space="0"/>
            <w:right w:val="none" w:sz="0" w:space="0"/>
          </w:pgBorders>
          <w:cols w:space="720" w:num="1"/>
          <w:titlePg/>
          <w:docGrid w:linePitch="312" w:charSpace="0"/>
        </w:sectPr>
      </w:pPr>
    </w:p>
    <w:p w14:paraId="123D4C66">
      <w:pPr>
        <w:spacing w:line="46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lang w:val="en-US" w:eastAsia="zh-CN"/>
        </w:rPr>
        <w:t>4</w:t>
      </w:r>
      <w:r>
        <w:rPr>
          <w:rFonts w:hint="eastAsia" w:ascii="新宋体" w:hAnsi="新宋体" w:eastAsia="新宋体" w:cs="新宋体"/>
          <w:b/>
          <w:bCs/>
          <w:color w:val="auto"/>
          <w:sz w:val="28"/>
          <w:szCs w:val="28"/>
          <w:highlight w:val="none"/>
        </w:rPr>
        <w:t>、廉政承诺书</w:t>
      </w:r>
    </w:p>
    <w:p w14:paraId="0EA12224">
      <w:pPr>
        <w:tabs>
          <w:tab w:val="left" w:pos="360"/>
        </w:tabs>
        <w:spacing w:line="46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温州市第七人民医院</w:t>
      </w:r>
      <w:r>
        <w:rPr>
          <w:rFonts w:hint="eastAsia" w:ascii="新宋体" w:hAnsi="新宋体" w:eastAsia="新宋体" w:cs="新宋体"/>
          <w:color w:val="auto"/>
          <w:sz w:val="22"/>
          <w:highlight w:val="none"/>
        </w:rPr>
        <w:t>、温州历程招标有限公司：</w:t>
      </w:r>
    </w:p>
    <w:p w14:paraId="47E5F217">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为加强采购活动中的廉政建设，防止发生违法违纪行为，体现公开、公平、公正的原则，根据国家有关法律、法规和廉政建设责任制的规定，本投标人特作如下承诺：</w:t>
      </w:r>
    </w:p>
    <w:p w14:paraId="75BD9015">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一、不与</w:t>
      </w:r>
      <w:r>
        <w:rPr>
          <w:rFonts w:hint="eastAsia" w:ascii="新宋体" w:hAnsi="新宋体" w:eastAsia="新宋体" w:cs="新宋体"/>
          <w:color w:val="auto"/>
          <w:sz w:val="22"/>
          <w:highlight w:val="none"/>
          <w:lang w:eastAsia="zh-CN"/>
        </w:rPr>
        <w:t>招标人</w:t>
      </w:r>
      <w:r>
        <w:rPr>
          <w:rFonts w:hint="eastAsia" w:ascii="新宋体" w:hAnsi="新宋体" w:eastAsia="新宋体" w:cs="新宋体"/>
          <w:color w:val="auto"/>
          <w:sz w:val="22"/>
          <w:highlight w:val="none"/>
        </w:rPr>
        <w:t>、</w:t>
      </w:r>
      <w:r>
        <w:rPr>
          <w:rFonts w:hint="eastAsia" w:ascii="新宋体" w:hAnsi="新宋体" w:eastAsia="新宋体" w:cs="新宋体"/>
          <w:color w:val="auto"/>
          <w:sz w:val="22"/>
          <w:highlight w:val="none"/>
          <w:lang w:eastAsia="zh-CN"/>
        </w:rPr>
        <w:t>招标代理机构</w:t>
      </w:r>
      <w:r>
        <w:rPr>
          <w:rFonts w:hint="eastAsia" w:ascii="新宋体" w:hAnsi="新宋体" w:eastAsia="新宋体" w:cs="新宋体"/>
          <w:color w:val="auto"/>
          <w:sz w:val="22"/>
          <w:highlight w:val="none"/>
        </w:rPr>
        <w:t>及其他投标人私下串通协商，进行围标、串标、抬标、控制投标价格。</w:t>
      </w:r>
    </w:p>
    <w:p w14:paraId="0631770F">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二、不向</w:t>
      </w:r>
      <w:r>
        <w:rPr>
          <w:rFonts w:hint="eastAsia" w:ascii="新宋体" w:hAnsi="新宋体" w:eastAsia="新宋体" w:cs="新宋体"/>
          <w:color w:val="auto"/>
          <w:sz w:val="22"/>
          <w:highlight w:val="none"/>
          <w:lang w:eastAsia="zh-CN"/>
        </w:rPr>
        <w:t>招标人</w:t>
      </w:r>
      <w:r>
        <w:rPr>
          <w:rFonts w:hint="eastAsia" w:ascii="新宋体" w:hAnsi="新宋体" w:eastAsia="新宋体" w:cs="新宋体"/>
          <w:color w:val="auto"/>
          <w:sz w:val="22"/>
          <w:highlight w:val="none"/>
        </w:rPr>
        <w:t>、</w:t>
      </w:r>
      <w:r>
        <w:rPr>
          <w:rFonts w:hint="eastAsia" w:ascii="新宋体" w:hAnsi="新宋体" w:eastAsia="新宋体" w:cs="新宋体"/>
          <w:color w:val="auto"/>
          <w:sz w:val="22"/>
          <w:highlight w:val="none"/>
          <w:lang w:eastAsia="zh-CN"/>
        </w:rPr>
        <w:t>招标代理机构</w:t>
      </w:r>
      <w:r>
        <w:rPr>
          <w:rFonts w:hint="eastAsia" w:ascii="新宋体" w:hAnsi="新宋体" w:eastAsia="新宋体" w:cs="新宋体"/>
          <w:color w:val="auto"/>
          <w:sz w:val="22"/>
          <w:highlight w:val="none"/>
        </w:rPr>
        <w:t>、评标专家行贿，以不正当手段谋取中标。</w:t>
      </w:r>
    </w:p>
    <w:p w14:paraId="7F80A130">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三、不向监管人员请客、送礼及组织其他有可能影响客观公正监管的活动。</w:t>
      </w:r>
    </w:p>
    <w:p w14:paraId="23200100">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四、自觉遵守开标、评标现场工作纪律，不私下接触评标专家，不干扰正常的开标评标秩序。</w:t>
      </w:r>
    </w:p>
    <w:p w14:paraId="1918CD88">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五、不给责任人的违法违规行为说情、解脱。</w:t>
      </w:r>
    </w:p>
    <w:p w14:paraId="7474DB0B">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14:paraId="06EC6DFC">
      <w:pPr>
        <w:tabs>
          <w:tab w:val="left" w:pos="360"/>
        </w:tabs>
        <w:spacing w:line="460" w:lineRule="exact"/>
        <w:rPr>
          <w:rFonts w:hint="eastAsia" w:ascii="新宋体" w:hAnsi="新宋体" w:eastAsia="新宋体" w:cs="新宋体"/>
          <w:color w:val="auto"/>
          <w:sz w:val="22"/>
          <w:highlight w:val="none"/>
        </w:rPr>
      </w:pPr>
    </w:p>
    <w:p w14:paraId="7B2A7A87">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特此承诺！</w:t>
      </w:r>
    </w:p>
    <w:p w14:paraId="0AB83FE6">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4DC012F6">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1AB504A">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F585D8A">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9343755">
      <w:pPr>
        <w:pStyle w:val="9"/>
        <w:ind w:firstLine="440"/>
        <w:rPr>
          <w:rFonts w:hint="eastAsia" w:ascii="新宋体" w:hAnsi="新宋体" w:eastAsia="新宋体" w:cs="新宋体"/>
          <w:color w:val="auto"/>
          <w:sz w:val="22"/>
          <w:szCs w:val="22"/>
          <w:highlight w:val="none"/>
        </w:rPr>
      </w:pPr>
    </w:p>
    <w:p w14:paraId="409FCD60">
      <w:pPr>
        <w:rPr>
          <w:rFonts w:hint="eastAsia" w:ascii="新宋体" w:hAnsi="新宋体" w:eastAsia="新宋体" w:cs="新宋体"/>
          <w:color w:val="auto"/>
          <w:sz w:val="22"/>
          <w:szCs w:val="22"/>
          <w:highlight w:val="none"/>
        </w:rPr>
      </w:pPr>
    </w:p>
    <w:p w14:paraId="7ABC08C2">
      <w:pPr>
        <w:pStyle w:val="9"/>
        <w:ind w:firstLine="440"/>
        <w:rPr>
          <w:rFonts w:hint="eastAsia" w:ascii="新宋体" w:hAnsi="新宋体" w:eastAsia="新宋体" w:cs="新宋体"/>
          <w:color w:val="auto"/>
          <w:sz w:val="22"/>
          <w:szCs w:val="22"/>
          <w:highlight w:val="none"/>
        </w:rPr>
      </w:pPr>
    </w:p>
    <w:p w14:paraId="74ABEF0D">
      <w:pPr>
        <w:rPr>
          <w:rFonts w:hint="eastAsia" w:ascii="新宋体" w:hAnsi="新宋体" w:eastAsia="新宋体" w:cs="新宋体"/>
          <w:color w:val="auto"/>
          <w:sz w:val="22"/>
          <w:szCs w:val="22"/>
          <w:highlight w:val="none"/>
        </w:rPr>
      </w:pPr>
    </w:p>
    <w:p w14:paraId="6A160385">
      <w:pPr>
        <w:pStyle w:val="9"/>
        <w:ind w:firstLine="440"/>
        <w:rPr>
          <w:rFonts w:hint="eastAsia" w:ascii="新宋体" w:hAnsi="新宋体" w:eastAsia="新宋体" w:cs="新宋体"/>
          <w:color w:val="auto"/>
          <w:sz w:val="22"/>
          <w:szCs w:val="22"/>
          <w:highlight w:val="none"/>
        </w:rPr>
      </w:pPr>
    </w:p>
    <w:p w14:paraId="1FE90F17">
      <w:pPr>
        <w:rPr>
          <w:rFonts w:hint="eastAsia" w:ascii="新宋体" w:hAnsi="新宋体" w:eastAsia="新宋体" w:cs="新宋体"/>
          <w:color w:val="auto"/>
          <w:sz w:val="22"/>
          <w:szCs w:val="22"/>
          <w:highlight w:val="none"/>
        </w:rPr>
      </w:pPr>
    </w:p>
    <w:p w14:paraId="4095CD3A">
      <w:pPr>
        <w:pStyle w:val="9"/>
        <w:ind w:firstLine="440"/>
        <w:rPr>
          <w:rFonts w:hint="eastAsia" w:ascii="新宋体" w:hAnsi="新宋体" w:eastAsia="新宋体" w:cs="新宋体"/>
          <w:color w:val="auto"/>
          <w:sz w:val="22"/>
          <w:szCs w:val="22"/>
          <w:highlight w:val="none"/>
        </w:rPr>
      </w:pPr>
    </w:p>
    <w:p w14:paraId="6C50587B">
      <w:pPr>
        <w:rPr>
          <w:rFonts w:hint="eastAsia" w:ascii="新宋体" w:hAnsi="新宋体" w:eastAsia="新宋体" w:cs="新宋体"/>
          <w:color w:val="auto"/>
          <w:sz w:val="22"/>
          <w:szCs w:val="22"/>
          <w:highlight w:val="none"/>
        </w:rPr>
      </w:pPr>
    </w:p>
    <w:p w14:paraId="36247486">
      <w:pPr>
        <w:pStyle w:val="9"/>
        <w:ind w:firstLine="440"/>
        <w:rPr>
          <w:rFonts w:hint="eastAsia" w:ascii="新宋体" w:hAnsi="新宋体" w:eastAsia="新宋体" w:cs="新宋体"/>
          <w:color w:val="auto"/>
          <w:sz w:val="22"/>
          <w:szCs w:val="22"/>
          <w:highlight w:val="none"/>
        </w:rPr>
      </w:pPr>
    </w:p>
    <w:p w14:paraId="75FC62F2">
      <w:pPr>
        <w:rPr>
          <w:rFonts w:hint="eastAsia" w:ascii="新宋体" w:hAnsi="新宋体" w:eastAsia="新宋体" w:cs="新宋体"/>
          <w:color w:val="auto"/>
          <w:sz w:val="22"/>
          <w:szCs w:val="22"/>
          <w:highlight w:val="none"/>
        </w:rPr>
      </w:pPr>
    </w:p>
    <w:p w14:paraId="1F29BB56">
      <w:pPr>
        <w:pStyle w:val="9"/>
        <w:ind w:firstLine="440"/>
        <w:rPr>
          <w:rFonts w:hint="eastAsia" w:ascii="新宋体" w:hAnsi="新宋体" w:eastAsia="新宋体" w:cs="新宋体"/>
          <w:color w:val="auto"/>
          <w:sz w:val="22"/>
          <w:szCs w:val="22"/>
          <w:highlight w:val="none"/>
        </w:rPr>
      </w:pPr>
    </w:p>
    <w:p w14:paraId="66850798">
      <w:pPr>
        <w:rPr>
          <w:rFonts w:hint="eastAsia" w:ascii="新宋体" w:hAnsi="新宋体" w:eastAsia="新宋体" w:cs="新宋体"/>
          <w:color w:val="auto"/>
          <w:sz w:val="22"/>
          <w:szCs w:val="22"/>
          <w:highlight w:val="none"/>
        </w:rPr>
      </w:pPr>
    </w:p>
    <w:p w14:paraId="1AD8704F">
      <w:pPr>
        <w:pStyle w:val="9"/>
        <w:ind w:firstLine="440"/>
        <w:rPr>
          <w:rFonts w:hint="eastAsia" w:ascii="新宋体" w:hAnsi="新宋体" w:eastAsia="新宋体" w:cs="新宋体"/>
          <w:color w:val="auto"/>
          <w:sz w:val="22"/>
          <w:szCs w:val="22"/>
          <w:highlight w:val="none"/>
        </w:rPr>
      </w:pPr>
    </w:p>
    <w:p w14:paraId="15A2AAA6">
      <w:pPr>
        <w:rPr>
          <w:rFonts w:hint="eastAsia" w:ascii="新宋体" w:hAnsi="新宋体" w:eastAsia="新宋体" w:cs="新宋体"/>
          <w:color w:val="auto"/>
          <w:sz w:val="22"/>
          <w:szCs w:val="22"/>
          <w:highlight w:val="none"/>
        </w:rPr>
      </w:pPr>
    </w:p>
    <w:p w14:paraId="3554E20C">
      <w:pPr>
        <w:pStyle w:val="9"/>
        <w:ind w:firstLine="440"/>
        <w:rPr>
          <w:rFonts w:hint="eastAsia" w:ascii="新宋体" w:hAnsi="新宋体" w:eastAsia="新宋体" w:cs="新宋体"/>
          <w:color w:val="auto"/>
          <w:sz w:val="22"/>
          <w:szCs w:val="22"/>
          <w:highlight w:val="none"/>
        </w:rPr>
      </w:pPr>
    </w:p>
    <w:p w14:paraId="2477C394">
      <w:pPr>
        <w:rPr>
          <w:rFonts w:hint="eastAsia" w:ascii="新宋体" w:hAnsi="新宋体" w:eastAsia="新宋体" w:cs="新宋体"/>
          <w:color w:val="auto"/>
          <w:highlight w:val="none"/>
        </w:rPr>
      </w:pPr>
    </w:p>
    <w:p w14:paraId="09D574D2">
      <w:pPr>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p>
    <w:p w14:paraId="02940EE4">
      <w:pPr>
        <w:spacing w:line="38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lang w:val="en-US" w:eastAsia="zh-CN"/>
        </w:rPr>
        <w:t>5</w:t>
      </w:r>
      <w:r>
        <w:rPr>
          <w:rFonts w:hint="eastAsia" w:ascii="新宋体" w:hAnsi="新宋体" w:eastAsia="新宋体" w:cs="新宋体"/>
          <w:b/>
          <w:bCs/>
          <w:color w:val="auto"/>
          <w:sz w:val="28"/>
          <w:szCs w:val="28"/>
          <w:highlight w:val="none"/>
        </w:rPr>
        <w:t>、偏离表</w:t>
      </w:r>
      <w:r>
        <w:rPr>
          <w:rFonts w:hint="eastAsia" w:ascii="新宋体" w:hAnsi="新宋体" w:eastAsia="新宋体" w:cs="新宋体"/>
          <w:b/>
          <w:bCs/>
          <w:color w:val="auto"/>
          <w:sz w:val="28"/>
          <w:szCs w:val="28"/>
          <w:highlight w:val="none"/>
          <w:lang w:val="zh-CN"/>
        </w:rPr>
        <w:t>（</w:t>
      </w:r>
      <w:r>
        <w:rPr>
          <w:rFonts w:hint="eastAsia" w:ascii="新宋体" w:hAnsi="新宋体" w:eastAsia="新宋体" w:cs="新宋体"/>
          <w:b/>
          <w:bCs/>
          <w:color w:val="auto"/>
          <w:sz w:val="28"/>
          <w:szCs w:val="28"/>
          <w:highlight w:val="none"/>
        </w:rPr>
        <w:t>商务、技术偏离</w:t>
      </w:r>
      <w:r>
        <w:rPr>
          <w:rFonts w:hint="eastAsia" w:ascii="新宋体" w:hAnsi="新宋体" w:eastAsia="新宋体" w:cs="新宋体"/>
          <w:b/>
          <w:bCs/>
          <w:color w:val="auto"/>
          <w:sz w:val="28"/>
          <w:szCs w:val="28"/>
          <w:highlight w:val="none"/>
          <w:lang w:val="zh-CN"/>
        </w:rPr>
        <w:t>）</w:t>
      </w:r>
    </w:p>
    <w:p w14:paraId="3C41CCDA">
      <w:pPr>
        <w:spacing w:line="56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8"/>
          <w:highlight w:val="none"/>
        </w:rPr>
        <w:t>（根据招标文件中“项目技术规范和服务要求”逐项自行编制）</w:t>
      </w:r>
    </w:p>
    <w:p w14:paraId="3FB6BFE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6CB6904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14:paraId="0D585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134" w:type="dxa"/>
            <w:shd w:val="clear" w:color="auto" w:fill="FFFFFF"/>
            <w:vAlign w:val="center"/>
          </w:tcPr>
          <w:p w14:paraId="4C2F4DA2">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  号</w:t>
            </w:r>
          </w:p>
        </w:tc>
        <w:tc>
          <w:tcPr>
            <w:tcW w:w="3544" w:type="dxa"/>
            <w:shd w:val="clear" w:color="auto" w:fill="FFFFFF"/>
            <w:vAlign w:val="center"/>
          </w:tcPr>
          <w:p w14:paraId="15CEE793">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招标文件</w:t>
            </w:r>
          </w:p>
          <w:p w14:paraId="06D7C43D">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规格要求</w:t>
            </w:r>
          </w:p>
        </w:tc>
        <w:tc>
          <w:tcPr>
            <w:tcW w:w="3402" w:type="dxa"/>
            <w:shd w:val="clear" w:color="auto" w:fill="FFFFFF"/>
            <w:vAlign w:val="center"/>
          </w:tcPr>
          <w:p w14:paraId="2030B09D">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投标文件</w:t>
            </w:r>
          </w:p>
          <w:p w14:paraId="2AE4FAE9">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对应规格</w:t>
            </w:r>
          </w:p>
        </w:tc>
        <w:tc>
          <w:tcPr>
            <w:tcW w:w="1843" w:type="dxa"/>
            <w:shd w:val="clear" w:color="auto" w:fill="FFFFFF"/>
            <w:vAlign w:val="center"/>
          </w:tcPr>
          <w:p w14:paraId="4041BF7A">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   明</w:t>
            </w:r>
          </w:p>
          <w:p w14:paraId="09AA2E48">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（偏离情况）</w:t>
            </w:r>
          </w:p>
        </w:tc>
      </w:tr>
      <w:tr w14:paraId="340C5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134" w:type="dxa"/>
            <w:vAlign w:val="center"/>
          </w:tcPr>
          <w:p w14:paraId="74FCEAF4">
            <w:pPr>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4143CD06">
            <w:pPr>
              <w:jc w:val="center"/>
              <w:rPr>
                <w:rFonts w:hint="eastAsia" w:ascii="新宋体" w:hAnsi="新宋体" w:eastAsia="新宋体" w:cs="新宋体"/>
                <w:color w:val="auto"/>
                <w:sz w:val="22"/>
                <w:szCs w:val="22"/>
                <w:highlight w:val="none"/>
              </w:rPr>
            </w:pPr>
          </w:p>
        </w:tc>
        <w:tc>
          <w:tcPr>
            <w:tcW w:w="3402" w:type="dxa"/>
            <w:vAlign w:val="center"/>
          </w:tcPr>
          <w:p w14:paraId="7DBBF83C">
            <w:pPr>
              <w:jc w:val="center"/>
              <w:rPr>
                <w:rFonts w:hint="eastAsia" w:ascii="新宋体" w:hAnsi="新宋体" w:eastAsia="新宋体" w:cs="新宋体"/>
                <w:color w:val="auto"/>
                <w:sz w:val="22"/>
                <w:szCs w:val="22"/>
                <w:highlight w:val="none"/>
              </w:rPr>
            </w:pPr>
          </w:p>
        </w:tc>
        <w:tc>
          <w:tcPr>
            <w:tcW w:w="1843" w:type="dxa"/>
            <w:vAlign w:val="center"/>
          </w:tcPr>
          <w:p w14:paraId="2B320629">
            <w:pPr>
              <w:jc w:val="center"/>
              <w:rPr>
                <w:rFonts w:hint="eastAsia" w:ascii="新宋体" w:hAnsi="新宋体" w:eastAsia="新宋体" w:cs="新宋体"/>
                <w:color w:val="auto"/>
                <w:sz w:val="22"/>
                <w:szCs w:val="22"/>
                <w:highlight w:val="none"/>
              </w:rPr>
            </w:pPr>
          </w:p>
        </w:tc>
      </w:tr>
      <w:tr w14:paraId="764B2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51756549">
            <w:pPr>
              <w:jc w:val="center"/>
              <w:rPr>
                <w:rFonts w:hint="eastAsia" w:ascii="新宋体" w:hAnsi="新宋体" w:eastAsia="新宋体" w:cs="新宋体"/>
                <w:color w:val="auto"/>
                <w:sz w:val="22"/>
                <w:szCs w:val="22"/>
                <w:highlight w:val="none"/>
              </w:rPr>
            </w:pPr>
          </w:p>
        </w:tc>
        <w:tc>
          <w:tcPr>
            <w:tcW w:w="3544" w:type="dxa"/>
            <w:vAlign w:val="center"/>
          </w:tcPr>
          <w:p w14:paraId="107E9169">
            <w:pPr>
              <w:jc w:val="center"/>
              <w:rPr>
                <w:rFonts w:hint="eastAsia" w:ascii="新宋体" w:hAnsi="新宋体" w:eastAsia="新宋体" w:cs="新宋体"/>
                <w:color w:val="auto"/>
                <w:sz w:val="22"/>
                <w:szCs w:val="22"/>
                <w:highlight w:val="none"/>
              </w:rPr>
            </w:pPr>
          </w:p>
        </w:tc>
        <w:tc>
          <w:tcPr>
            <w:tcW w:w="3402" w:type="dxa"/>
            <w:vAlign w:val="center"/>
          </w:tcPr>
          <w:p w14:paraId="39E8DE19">
            <w:pPr>
              <w:jc w:val="center"/>
              <w:rPr>
                <w:rFonts w:hint="eastAsia" w:ascii="新宋体" w:hAnsi="新宋体" w:eastAsia="新宋体" w:cs="新宋体"/>
                <w:color w:val="auto"/>
                <w:sz w:val="22"/>
                <w:szCs w:val="22"/>
                <w:highlight w:val="none"/>
              </w:rPr>
            </w:pPr>
          </w:p>
        </w:tc>
        <w:tc>
          <w:tcPr>
            <w:tcW w:w="1843" w:type="dxa"/>
            <w:vAlign w:val="center"/>
          </w:tcPr>
          <w:p w14:paraId="07929727">
            <w:pPr>
              <w:jc w:val="center"/>
              <w:rPr>
                <w:rFonts w:hint="eastAsia" w:ascii="新宋体" w:hAnsi="新宋体" w:eastAsia="新宋体" w:cs="新宋体"/>
                <w:color w:val="auto"/>
                <w:sz w:val="22"/>
                <w:szCs w:val="22"/>
                <w:highlight w:val="none"/>
              </w:rPr>
            </w:pPr>
          </w:p>
        </w:tc>
      </w:tr>
      <w:tr w14:paraId="7B4E6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33B8E987">
            <w:pPr>
              <w:jc w:val="center"/>
              <w:rPr>
                <w:rFonts w:hint="eastAsia" w:ascii="新宋体" w:hAnsi="新宋体" w:eastAsia="新宋体" w:cs="新宋体"/>
                <w:color w:val="auto"/>
                <w:sz w:val="22"/>
                <w:szCs w:val="22"/>
                <w:highlight w:val="none"/>
              </w:rPr>
            </w:pPr>
          </w:p>
        </w:tc>
        <w:tc>
          <w:tcPr>
            <w:tcW w:w="3544" w:type="dxa"/>
            <w:vAlign w:val="center"/>
          </w:tcPr>
          <w:p w14:paraId="728F8872">
            <w:pPr>
              <w:jc w:val="center"/>
              <w:rPr>
                <w:rFonts w:hint="eastAsia" w:ascii="新宋体" w:hAnsi="新宋体" w:eastAsia="新宋体" w:cs="新宋体"/>
                <w:color w:val="auto"/>
                <w:sz w:val="22"/>
                <w:szCs w:val="22"/>
                <w:highlight w:val="none"/>
              </w:rPr>
            </w:pPr>
          </w:p>
        </w:tc>
        <w:tc>
          <w:tcPr>
            <w:tcW w:w="3402" w:type="dxa"/>
            <w:vAlign w:val="center"/>
          </w:tcPr>
          <w:p w14:paraId="30B2DB14">
            <w:pPr>
              <w:jc w:val="center"/>
              <w:rPr>
                <w:rFonts w:hint="eastAsia" w:ascii="新宋体" w:hAnsi="新宋体" w:eastAsia="新宋体" w:cs="新宋体"/>
                <w:color w:val="auto"/>
                <w:sz w:val="22"/>
                <w:szCs w:val="22"/>
                <w:highlight w:val="none"/>
              </w:rPr>
            </w:pPr>
          </w:p>
        </w:tc>
        <w:tc>
          <w:tcPr>
            <w:tcW w:w="1843" w:type="dxa"/>
            <w:vAlign w:val="center"/>
          </w:tcPr>
          <w:p w14:paraId="61D4E360">
            <w:pPr>
              <w:jc w:val="center"/>
              <w:rPr>
                <w:rFonts w:hint="eastAsia" w:ascii="新宋体" w:hAnsi="新宋体" w:eastAsia="新宋体" w:cs="新宋体"/>
                <w:color w:val="auto"/>
                <w:sz w:val="22"/>
                <w:szCs w:val="22"/>
                <w:highlight w:val="none"/>
              </w:rPr>
            </w:pPr>
          </w:p>
        </w:tc>
      </w:tr>
      <w:tr w14:paraId="2B65D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4C5D325C">
            <w:pPr>
              <w:jc w:val="center"/>
              <w:rPr>
                <w:rFonts w:hint="eastAsia" w:ascii="新宋体" w:hAnsi="新宋体" w:eastAsia="新宋体" w:cs="新宋体"/>
                <w:color w:val="auto"/>
                <w:sz w:val="22"/>
                <w:szCs w:val="22"/>
                <w:highlight w:val="none"/>
              </w:rPr>
            </w:pPr>
          </w:p>
        </w:tc>
        <w:tc>
          <w:tcPr>
            <w:tcW w:w="3544" w:type="dxa"/>
            <w:vAlign w:val="center"/>
          </w:tcPr>
          <w:p w14:paraId="4C4301E4">
            <w:pPr>
              <w:jc w:val="center"/>
              <w:rPr>
                <w:rFonts w:hint="eastAsia" w:ascii="新宋体" w:hAnsi="新宋体" w:eastAsia="新宋体" w:cs="新宋体"/>
                <w:color w:val="auto"/>
                <w:sz w:val="22"/>
                <w:szCs w:val="22"/>
                <w:highlight w:val="none"/>
              </w:rPr>
            </w:pPr>
          </w:p>
        </w:tc>
        <w:tc>
          <w:tcPr>
            <w:tcW w:w="3402" w:type="dxa"/>
            <w:vAlign w:val="center"/>
          </w:tcPr>
          <w:p w14:paraId="7DBC1330">
            <w:pPr>
              <w:jc w:val="center"/>
              <w:rPr>
                <w:rFonts w:hint="eastAsia" w:ascii="新宋体" w:hAnsi="新宋体" w:eastAsia="新宋体" w:cs="新宋体"/>
                <w:color w:val="auto"/>
                <w:sz w:val="22"/>
                <w:szCs w:val="22"/>
                <w:highlight w:val="none"/>
              </w:rPr>
            </w:pPr>
          </w:p>
        </w:tc>
        <w:tc>
          <w:tcPr>
            <w:tcW w:w="1843" w:type="dxa"/>
            <w:vAlign w:val="center"/>
          </w:tcPr>
          <w:p w14:paraId="00EBED80">
            <w:pPr>
              <w:jc w:val="center"/>
              <w:rPr>
                <w:rFonts w:hint="eastAsia" w:ascii="新宋体" w:hAnsi="新宋体" w:eastAsia="新宋体" w:cs="新宋体"/>
                <w:color w:val="auto"/>
                <w:sz w:val="22"/>
                <w:szCs w:val="22"/>
                <w:highlight w:val="none"/>
              </w:rPr>
            </w:pPr>
          </w:p>
        </w:tc>
      </w:tr>
      <w:tr w14:paraId="76870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7E530E00">
            <w:pPr>
              <w:jc w:val="center"/>
              <w:rPr>
                <w:rFonts w:hint="eastAsia" w:ascii="新宋体" w:hAnsi="新宋体" w:eastAsia="新宋体" w:cs="新宋体"/>
                <w:color w:val="auto"/>
                <w:sz w:val="22"/>
                <w:szCs w:val="22"/>
                <w:highlight w:val="none"/>
              </w:rPr>
            </w:pPr>
          </w:p>
        </w:tc>
        <w:tc>
          <w:tcPr>
            <w:tcW w:w="3544" w:type="dxa"/>
            <w:vAlign w:val="center"/>
          </w:tcPr>
          <w:p w14:paraId="3AA12B59">
            <w:pPr>
              <w:jc w:val="center"/>
              <w:rPr>
                <w:rFonts w:hint="eastAsia" w:ascii="新宋体" w:hAnsi="新宋体" w:eastAsia="新宋体" w:cs="新宋体"/>
                <w:color w:val="auto"/>
                <w:sz w:val="22"/>
                <w:szCs w:val="22"/>
                <w:highlight w:val="none"/>
              </w:rPr>
            </w:pPr>
          </w:p>
        </w:tc>
        <w:tc>
          <w:tcPr>
            <w:tcW w:w="3402" w:type="dxa"/>
            <w:vAlign w:val="center"/>
          </w:tcPr>
          <w:p w14:paraId="0FD85811">
            <w:pPr>
              <w:jc w:val="center"/>
              <w:rPr>
                <w:rFonts w:hint="eastAsia" w:ascii="新宋体" w:hAnsi="新宋体" w:eastAsia="新宋体" w:cs="新宋体"/>
                <w:color w:val="auto"/>
                <w:sz w:val="22"/>
                <w:szCs w:val="22"/>
                <w:highlight w:val="none"/>
              </w:rPr>
            </w:pPr>
          </w:p>
        </w:tc>
        <w:tc>
          <w:tcPr>
            <w:tcW w:w="1843" w:type="dxa"/>
            <w:vAlign w:val="center"/>
          </w:tcPr>
          <w:p w14:paraId="15160367">
            <w:pPr>
              <w:jc w:val="center"/>
              <w:rPr>
                <w:rFonts w:hint="eastAsia" w:ascii="新宋体" w:hAnsi="新宋体" w:eastAsia="新宋体" w:cs="新宋体"/>
                <w:color w:val="auto"/>
                <w:sz w:val="22"/>
                <w:szCs w:val="22"/>
                <w:highlight w:val="none"/>
              </w:rPr>
            </w:pPr>
          </w:p>
        </w:tc>
      </w:tr>
      <w:tr w14:paraId="76444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03E4F8B4">
            <w:pPr>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444216F7">
            <w:pPr>
              <w:jc w:val="center"/>
              <w:rPr>
                <w:rFonts w:hint="eastAsia" w:ascii="新宋体" w:hAnsi="新宋体" w:eastAsia="新宋体" w:cs="新宋体"/>
                <w:color w:val="auto"/>
                <w:sz w:val="22"/>
                <w:szCs w:val="22"/>
                <w:highlight w:val="none"/>
              </w:rPr>
            </w:pPr>
          </w:p>
        </w:tc>
        <w:tc>
          <w:tcPr>
            <w:tcW w:w="3402" w:type="dxa"/>
            <w:vAlign w:val="center"/>
          </w:tcPr>
          <w:p w14:paraId="292D0C3D">
            <w:pPr>
              <w:jc w:val="center"/>
              <w:rPr>
                <w:rFonts w:hint="eastAsia" w:ascii="新宋体" w:hAnsi="新宋体" w:eastAsia="新宋体" w:cs="新宋体"/>
                <w:color w:val="auto"/>
                <w:sz w:val="22"/>
                <w:szCs w:val="22"/>
                <w:highlight w:val="none"/>
              </w:rPr>
            </w:pPr>
          </w:p>
        </w:tc>
        <w:tc>
          <w:tcPr>
            <w:tcW w:w="1843" w:type="dxa"/>
            <w:vAlign w:val="center"/>
          </w:tcPr>
          <w:p w14:paraId="051B503D">
            <w:pPr>
              <w:jc w:val="center"/>
              <w:rPr>
                <w:rFonts w:hint="eastAsia" w:ascii="新宋体" w:hAnsi="新宋体" w:eastAsia="新宋体" w:cs="新宋体"/>
                <w:color w:val="auto"/>
                <w:sz w:val="22"/>
                <w:szCs w:val="22"/>
                <w:highlight w:val="none"/>
              </w:rPr>
            </w:pPr>
          </w:p>
        </w:tc>
      </w:tr>
      <w:tr w14:paraId="2FE98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03C28A51">
            <w:pPr>
              <w:jc w:val="center"/>
              <w:rPr>
                <w:rFonts w:hint="eastAsia" w:ascii="新宋体" w:hAnsi="新宋体" w:eastAsia="新宋体" w:cs="新宋体"/>
                <w:color w:val="auto"/>
                <w:sz w:val="22"/>
                <w:szCs w:val="22"/>
                <w:highlight w:val="none"/>
              </w:rPr>
            </w:pPr>
          </w:p>
        </w:tc>
        <w:tc>
          <w:tcPr>
            <w:tcW w:w="3544" w:type="dxa"/>
            <w:vAlign w:val="center"/>
          </w:tcPr>
          <w:p w14:paraId="471C2F30">
            <w:pPr>
              <w:jc w:val="center"/>
              <w:rPr>
                <w:rFonts w:hint="eastAsia" w:ascii="新宋体" w:hAnsi="新宋体" w:eastAsia="新宋体" w:cs="新宋体"/>
                <w:color w:val="auto"/>
                <w:sz w:val="22"/>
                <w:szCs w:val="22"/>
                <w:highlight w:val="none"/>
              </w:rPr>
            </w:pPr>
          </w:p>
        </w:tc>
        <w:tc>
          <w:tcPr>
            <w:tcW w:w="3402" w:type="dxa"/>
            <w:vAlign w:val="center"/>
          </w:tcPr>
          <w:p w14:paraId="37CF27A3">
            <w:pPr>
              <w:jc w:val="center"/>
              <w:rPr>
                <w:rFonts w:hint="eastAsia" w:ascii="新宋体" w:hAnsi="新宋体" w:eastAsia="新宋体" w:cs="新宋体"/>
                <w:color w:val="auto"/>
                <w:sz w:val="22"/>
                <w:szCs w:val="22"/>
                <w:highlight w:val="none"/>
              </w:rPr>
            </w:pPr>
          </w:p>
        </w:tc>
        <w:tc>
          <w:tcPr>
            <w:tcW w:w="1843" w:type="dxa"/>
            <w:vAlign w:val="center"/>
          </w:tcPr>
          <w:p w14:paraId="785894C0">
            <w:pPr>
              <w:jc w:val="center"/>
              <w:rPr>
                <w:rFonts w:hint="eastAsia" w:ascii="新宋体" w:hAnsi="新宋体" w:eastAsia="新宋体" w:cs="新宋体"/>
                <w:color w:val="auto"/>
                <w:sz w:val="22"/>
                <w:szCs w:val="22"/>
                <w:highlight w:val="none"/>
              </w:rPr>
            </w:pPr>
          </w:p>
        </w:tc>
      </w:tr>
      <w:tr w14:paraId="5041E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205346F4">
            <w:pPr>
              <w:jc w:val="center"/>
              <w:rPr>
                <w:rFonts w:hint="eastAsia" w:ascii="新宋体" w:hAnsi="新宋体" w:eastAsia="新宋体" w:cs="新宋体"/>
                <w:color w:val="auto"/>
                <w:sz w:val="22"/>
                <w:szCs w:val="22"/>
                <w:highlight w:val="none"/>
              </w:rPr>
            </w:pPr>
          </w:p>
        </w:tc>
        <w:tc>
          <w:tcPr>
            <w:tcW w:w="3544" w:type="dxa"/>
            <w:vAlign w:val="center"/>
          </w:tcPr>
          <w:p w14:paraId="5D181BB0">
            <w:pPr>
              <w:jc w:val="center"/>
              <w:rPr>
                <w:rFonts w:hint="eastAsia" w:ascii="新宋体" w:hAnsi="新宋体" w:eastAsia="新宋体" w:cs="新宋体"/>
                <w:color w:val="auto"/>
                <w:sz w:val="22"/>
                <w:szCs w:val="22"/>
                <w:highlight w:val="none"/>
              </w:rPr>
            </w:pPr>
          </w:p>
        </w:tc>
        <w:tc>
          <w:tcPr>
            <w:tcW w:w="3402" w:type="dxa"/>
            <w:vAlign w:val="center"/>
          </w:tcPr>
          <w:p w14:paraId="739B0906">
            <w:pPr>
              <w:jc w:val="center"/>
              <w:rPr>
                <w:rFonts w:hint="eastAsia" w:ascii="新宋体" w:hAnsi="新宋体" w:eastAsia="新宋体" w:cs="新宋体"/>
                <w:color w:val="auto"/>
                <w:sz w:val="22"/>
                <w:szCs w:val="22"/>
                <w:highlight w:val="none"/>
              </w:rPr>
            </w:pPr>
          </w:p>
        </w:tc>
        <w:tc>
          <w:tcPr>
            <w:tcW w:w="1843" w:type="dxa"/>
            <w:vAlign w:val="center"/>
          </w:tcPr>
          <w:p w14:paraId="4A73C161">
            <w:pPr>
              <w:jc w:val="center"/>
              <w:rPr>
                <w:rFonts w:hint="eastAsia" w:ascii="新宋体" w:hAnsi="新宋体" w:eastAsia="新宋体" w:cs="新宋体"/>
                <w:color w:val="auto"/>
                <w:sz w:val="22"/>
                <w:szCs w:val="22"/>
                <w:highlight w:val="none"/>
              </w:rPr>
            </w:pPr>
          </w:p>
        </w:tc>
      </w:tr>
      <w:tr w14:paraId="5CB75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24DCBDAC">
            <w:pPr>
              <w:jc w:val="center"/>
              <w:rPr>
                <w:rFonts w:hint="eastAsia" w:ascii="新宋体" w:hAnsi="新宋体" w:eastAsia="新宋体" w:cs="新宋体"/>
                <w:color w:val="auto"/>
                <w:sz w:val="22"/>
                <w:szCs w:val="22"/>
                <w:highlight w:val="none"/>
              </w:rPr>
            </w:pPr>
          </w:p>
        </w:tc>
        <w:tc>
          <w:tcPr>
            <w:tcW w:w="3544" w:type="dxa"/>
            <w:vAlign w:val="center"/>
          </w:tcPr>
          <w:p w14:paraId="42318EDA">
            <w:pPr>
              <w:jc w:val="center"/>
              <w:rPr>
                <w:rFonts w:hint="eastAsia" w:ascii="新宋体" w:hAnsi="新宋体" w:eastAsia="新宋体" w:cs="新宋体"/>
                <w:color w:val="auto"/>
                <w:sz w:val="22"/>
                <w:szCs w:val="22"/>
                <w:highlight w:val="none"/>
              </w:rPr>
            </w:pPr>
          </w:p>
        </w:tc>
        <w:tc>
          <w:tcPr>
            <w:tcW w:w="3402" w:type="dxa"/>
            <w:vAlign w:val="center"/>
          </w:tcPr>
          <w:p w14:paraId="38596763">
            <w:pPr>
              <w:jc w:val="center"/>
              <w:rPr>
                <w:rFonts w:hint="eastAsia" w:ascii="新宋体" w:hAnsi="新宋体" w:eastAsia="新宋体" w:cs="新宋体"/>
                <w:color w:val="auto"/>
                <w:sz w:val="22"/>
                <w:szCs w:val="22"/>
                <w:highlight w:val="none"/>
              </w:rPr>
            </w:pPr>
          </w:p>
        </w:tc>
        <w:tc>
          <w:tcPr>
            <w:tcW w:w="1843" w:type="dxa"/>
            <w:vAlign w:val="center"/>
          </w:tcPr>
          <w:p w14:paraId="09EA604A">
            <w:pPr>
              <w:jc w:val="center"/>
              <w:rPr>
                <w:rFonts w:hint="eastAsia" w:ascii="新宋体" w:hAnsi="新宋体" w:eastAsia="新宋体" w:cs="新宋体"/>
                <w:color w:val="auto"/>
                <w:sz w:val="22"/>
                <w:szCs w:val="22"/>
                <w:highlight w:val="none"/>
              </w:rPr>
            </w:pPr>
          </w:p>
        </w:tc>
      </w:tr>
      <w:tr w14:paraId="0FE63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20353C6D">
            <w:pPr>
              <w:jc w:val="center"/>
              <w:rPr>
                <w:rFonts w:hint="eastAsia" w:ascii="新宋体" w:hAnsi="新宋体" w:eastAsia="新宋体" w:cs="新宋体"/>
                <w:color w:val="auto"/>
                <w:sz w:val="22"/>
                <w:szCs w:val="22"/>
                <w:highlight w:val="none"/>
              </w:rPr>
            </w:pPr>
          </w:p>
        </w:tc>
        <w:tc>
          <w:tcPr>
            <w:tcW w:w="3544" w:type="dxa"/>
            <w:vAlign w:val="center"/>
          </w:tcPr>
          <w:p w14:paraId="4B758838">
            <w:pPr>
              <w:jc w:val="center"/>
              <w:rPr>
                <w:rFonts w:hint="eastAsia" w:ascii="新宋体" w:hAnsi="新宋体" w:eastAsia="新宋体" w:cs="新宋体"/>
                <w:color w:val="auto"/>
                <w:sz w:val="22"/>
                <w:szCs w:val="22"/>
                <w:highlight w:val="none"/>
              </w:rPr>
            </w:pPr>
          </w:p>
        </w:tc>
        <w:tc>
          <w:tcPr>
            <w:tcW w:w="3402" w:type="dxa"/>
            <w:vAlign w:val="center"/>
          </w:tcPr>
          <w:p w14:paraId="0454C21F">
            <w:pPr>
              <w:jc w:val="center"/>
              <w:rPr>
                <w:rFonts w:hint="eastAsia" w:ascii="新宋体" w:hAnsi="新宋体" w:eastAsia="新宋体" w:cs="新宋体"/>
                <w:color w:val="auto"/>
                <w:sz w:val="22"/>
                <w:szCs w:val="22"/>
                <w:highlight w:val="none"/>
              </w:rPr>
            </w:pPr>
          </w:p>
        </w:tc>
        <w:tc>
          <w:tcPr>
            <w:tcW w:w="1843" w:type="dxa"/>
            <w:vAlign w:val="center"/>
          </w:tcPr>
          <w:p w14:paraId="526ADB7B">
            <w:pPr>
              <w:jc w:val="center"/>
              <w:rPr>
                <w:rFonts w:hint="eastAsia" w:ascii="新宋体" w:hAnsi="新宋体" w:eastAsia="新宋体" w:cs="新宋体"/>
                <w:color w:val="auto"/>
                <w:sz w:val="22"/>
                <w:szCs w:val="22"/>
                <w:highlight w:val="none"/>
              </w:rPr>
            </w:pPr>
          </w:p>
        </w:tc>
      </w:tr>
    </w:tbl>
    <w:p w14:paraId="04983D46">
      <w:pPr>
        <w:pStyle w:val="31"/>
        <w:spacing w:line="400" w:lineRule="atLeast"/>
        <w:ind w:left="537" w:hanging="537" w:hangingChars="243"/>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注：如有偏离，必须在偏离表中进行详细对比说明并注明正偏离（负偏离），如不说明偏离情况，视为完全响应招标文件要求无偏离。</w:t>
      </w:r>
    </w:p>
    <w:p w14:paraId="3A1759E8">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1A4C52E">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BCF98C9">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日   期：</w:t>
      </w:r>
    </w:p>
    <w:p w14:paraId="596FB2BC">
      <w:pPr>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br w:type="page"/>
      </w:r>
    </w:p>
    <w:p w14:paraId="3B2D9FA5">
      <w:pPr>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6</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en-US" w:eastAsia="zh-CN"/>
        </w:rPr>
        <w:t>其他必要提供的资料</w:t>
      </w:r>
    </w:p>
    <w:p w14:paraId="69B9E7A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46E07B3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02DDF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vAlign w:val="top"/>
          </w:tcPr>
          <w:p w14:paraId="710E7B70">
            <w:pPr>
              <w:pStyle w:val="313"/>
              <w:spacing w:after="0"/>
              <w:jc w:val="center"/>
              <w:rPr>
                <w:rFonts w:hint="eastAsia" w:ascii="新宋体" w:hAnsi="新宋体" w:eastAsia="新宋体" w:cs="新宋体"/>
                <w:color w:val="auto"/>
                <w:highlight w:val="none"/>
              </w:rPr>
            </w:pPr>
            <w:r>
              <w:rPr>
                <w:rFonts w:hint="eastAsia" w:ascii="新宋体" w:hAnsi="新宋体" w:eastAsia="新宋体" w:cs="新宋体"/>
                <w:b/>
                <w:bCs/>
                <w:color w:val="auto"/>
                <w:sz w:val="22"/>
                <w:szCs w:val="22"/>
                <w:highlight w:val="none"/>
                <w:u w:val="single"/>
                <w:lang w:val="en-US" w:eastAsia="zh-CN"/>
              </w:rPr>
              <w:t>根据</w:t>
            </w:r>
            <w:r>
              <w:rPr>
                <w:rFonts w:hint="eastAsia" w:ascii="新宋体" w:hAnsi="新宋体" w:eastAsia="新宋体" w:cs="新宋体"/>
                <w:b/>
                <w:bCs/>
                <w:color w:val="auto"/>
                <w:sz w:val="22"/>
                <w:szCs w:val="22"/>
                <w:highlight w:val="none"/>
                <w:u w:val="single"/>
              </w:rPr>
              <w:t>评标标准</w:t>
            </w:r>
            <w:r>
              <w:rPr>
                <w:rFonts w:hint="eastAsia" w:ascii="新宋体" w:hAnsi="新宋体" w:eastAsia="新宋体" w:cs="新宋体"/>
                <w:b/>
                <w:bCs/>
                <w:color w:val="auto"/>
                <w:sz w:val="22"/>
                <w:szCs w:val="22"/>
                <w:highlight w:val="none"/>
                <w:u w:val="single"/>
                <w:lang w:val="en-US" w:eastAsia="zh-CN"/>
              </w:rPr>
              <w:t>自行提供</w:t>
            </w:r>
          </w:p>
        </w:tc>
      </w:tr>
    </w:tbl>
    <w:p w14:paraId="1B945FA6">
      <w:pPr>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8"/>
          <w:highlight w:val="none"/>
        </w:rPr>
        <w:t xml:space="preserve">  </w:t>
      </w:r>
    </w:p>
    <w:p w14:paraId="2960CB7D">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366C48B1">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8AA7AEF">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日   期：</w:t>
      </w:r>
    </w:p>
    <w:p w14:paraId="61F9A9C6">
      <w:pPr>
        <w:pStyle w:val="9"/>
        <w:ind w:left="0" w:leftChars="0" w:firstLine="0" w:firstLineChars="0"/>
        <w:rPr>
          <w:rFonts w:hint="eastAsia" w:ascii="新宋体" w:hAnsi="新宋体" w:eastAsia="新宋体" w:cs="新宋体"/>
          <w:color w:val="auto"/>
          <w:highlight w:val="none"/>
        </w:rPr>
      </w:pPr>
    </w:p>
    <w:p w14:paraId="606CAAEE">
      <w:pPr>
        <w:rPr>
          <w:rFonts w:hint="eastAsia" w:ascii="新宋体" w:hAnsi="新宋体" w:eastAsia="新宋体" w:cs="新宋体"/>
          <w:color w:val="auto"/>
          <w:highlight w:val="none"/>
        </w:rPr>
      </w:pPr>
    </w:p>
    <w:p w14:paraId="611FB33C">
      <w:pPr>
        <w:pStyle w:val="24"/>
        <w:spacing w:line="460" w:lineRule="exact"/>
        <w:ind w:left="0" w:leftChars="0"/>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30" w:name="_Toc16037"/>
      <w:r>
        <w:rPr>
          <w:rFonts w:hint="eastAsia" w:ascii="新宋体" w:hAnsi="新宋体" w:eastAsia="新宋体" w:cs="新宋体"/>
          <w:b/>
          <w:color w:val="auto"/>
          <w:sz w:val="30"/>
          <w:highlight w:val="none"/>
        </w:rPr>
        <w:t>第四部分   项目技术规范和服务要求</w:t>
      </w:r>
      <w:bookmarkEnd w:id="30"/>
    </w:p>
    <w:tbl>
      <w:tblPr>
        <w:tblStyle w:val="53"/>
        <w:tblW w:w="9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60"/>
        <w:gridCol w:w="1635"/>
        <w:gridCol w:w="2025"/>
        <w:gridCol w:w="2199"/>
      </w:tblGrid>
      <w:tr w14:paraId="21009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3760" w:type="dxa"/>
            <w:tcBorders>
              <w:top w:val="single" w:color="auto" w:sz="4" w:space="0"/>
              <w:left w:val="single" w:color="auto" w:sz="4" w:space="0"/>
              <w:bottom w:val="single" w:color="auto" w:sz="4" w:space="0"/>
              <w:right w:val="single" w:color="auto" w:sz="4" w:space="0"/>
            </w:tcBorders>
            <w:vAlign w:val="center"/>
          </w:tcPr>
          <w:p w14:paraId="6528252B">
            <w:pPr>
              <w:keepNext w:val="0"/>
              <w:keepLines w:val="0"/>
              <w:pageBreakBefore w:val="0"/>
              <w:widowControl/>
              <w:kinsoku/>
              <w:wordWrap/>
              <w:overflowPunct/>
              <w:topLinePunct w:val="0"/>
              <w:autoSpaceDE/>
              <w:autoSpaceDN/>
              <w:bidi w:val="0"/>
              <w:adjustRightInd/>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项目内容</w:t>
            </w:r>
          </w:p>
        </w:tc>
        <w:tc>
          <w:tcPr>
            <w:tcW w:w="1635" w:type="dxa"/>
            <w:tcBorders>
              <w:top w:val="single" w:color="auto" w:sz="4" w:space="0"/>
              <w:left w:val="single" w:color="auto" w:sz="4" w:space="0"/>
              <w:bottom w:val="single" w:color="auto" w:sz="4" w:space="0"/>
              <w:right w:val="single" w:color="auto" w:sz="4" w:space="0"/>
            </w:tcBorders>
            <w:vAlign w:val="center"/>
          </w:tcPr>
          <w:p w14:paraId="401225D3">
            <w:pPr>
              <w:keepNext w:val="0"/>
              <w:keepLines w:val="0"/>
              <w:pageBreakBefore w:val="0"/>
              <w:widowControl/>
              <w:kinsoku/>
              <w:wordWrap/>
              <w:overflowPunct/>
              <w:topLinePunct w:val="0"/>
              <w:autoSpaceDE/>
              <w:autoSpaceDN/>
              <w:bidi w:val="0"/>
              <w:adjustRightInd/>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数量</w:t>
            </w:r>
          </w:p>
        </w:tc>
        <w:tc>
          <w:tcPr>
            <w:tcW w:w="2025" w:type="dxa"/>
            <w:tcBorders>
              <w:top w:val="single" w:color="auto" w:sz="4" w:space="0"/>
              <w:left w:val="single" w:color="auto" w:sz="4" w:space="0"/>
              <w:bottom w:val="single" w:color="auto" w:sz="4" w:space="0"/>
              <w:right w:val="single" w:color="auto" w:sz="4" w:space="0"/>
            </w:tcBorders>
            <w:vAlign w:val="center"/>
          </w:tcPr>
          <w:p w14:paraId="7E5E9AB4">
            <w:pPr>
              <w:keepNext w:val="0"/>
              <w:keepLines w:val="0"/>
              <w:pageBreakBefore w:val="0"/>
              <w:widowControl/>
              <w:kinsoku/>
              <w:wordWrap/>
              <w:overflowPunct/>
              <w:topLinePunct w:val="0"/>
              <w:autoSpaceDE/>
              <w:autoSpaceDN/>
              <w:bidi w:val="0"/>
              <w:adjustRightInd/>
              <w:snapToGrid w:val="0"/>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kern w:val="0"/>
                <w:sz w:val="22"/>
                <w:szCs w:val="22"/>
                <w:highlight w:val="none"/>
              </w:rPr>
              <w:t>预算金额</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lang w:val="en-US" w:eastAsia="zh-CN"/>
              </w:rPr>
              <w:t>元</w:t>
            </w:r>
            <w:r>
              <w:rPr>
                <w:rFonts w:hint="eastAsia" w:ascii="新宋体" w:hAnsi="新宋体" w:eastAsia="新宋体" w:cs="新宋体"/>
                <w:color w:val="auto"/>
                <w:kern w:val="0"/>
                <w:sz w:val="22"/>
                <w:szCs w:val="22"/>
                <w:highlight w:val="none"/>
                <w:lang w:eastAsia="zh-CN"/>
              </w:rPr>
              <w:t>）</w:t>
            </w:r>
          </w:p>
        </w:tc>
        <w:tc>
          <w:tcPr>
            <w:tcW w:w="2199" w:type="dxa"/>
            <w:tcBorders>
              <w:top w:val="single" w:color="auto" w:sz="4" w:space="0"/>
              <w:left w:val="single" w:color="auto" w:sz="4" w:space="0"/>
              <w:bottom w:val="single" w:color="auto" w:sz="4" w:space="0"/>
              <w:right w:val="single" w:color="auto" w:sz="4" w:space="0"/>
            </w:tcBorders>
            <w:vAlign w:val="center"/>
          </w:tcPr>
          <w:p w14:paraId="5CB6C3EE">
            <w:pPr>
              <w:keepNext w:val="0"/>
              <w:keepLines w:val="0"/>
              <w:pageBreakBefore w:val="0"/>
              <w:widowControl/>
              <w:kinsoku/>
              <w:wordWrap/>
              <w:overflowPunct/>
              <w:topLinePunct w:val="0"/>
              <w:autoSpaceDE/>
              <w:autoSpaceDN/>
              <w:bidi w:val="0"/>
              <w:adjustRightInd/>
              <w:snapToGrid w:val="0"/>
              <w:spacing w:line="46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w:t>
            </w:r>
          </w:p>
        </w:tc>
      </w:tr>
      <w:tr w14:paraId="5ADE5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3760" w:type="dxa"/>
            <w:tcBorders>
              <w:top w:val="single" w:color="auto" w:sz="4" w:space="0"/>
              <w:left w:val="single" w:color="auto" w:sz="4" w:space="0"/>
              <w:right w:val="single" w:color="auto" w:sz="4" w:space="0"/>
            </w:tcBorders>
            <w:vAlign w:val="center"/>
          </w:tcPr>
          <w:p w14:paraId="619014AB">
            <w:pPr>
              <w:keepNext w:val="0"/>
              <w:keepLines w:val="0"/>
              <w:pageBreakBefore w:val="0"/>
              <w:widowControl/>
              <w:kinsoku/>
              <w:wordWrap/>
              <w:overflowPunct/>
              <w:topLinePunct w:val="0"/>
              <w:autoSpaceDE/>
              <w:autoSpaceDN/>
              <w:bidi w:val="0"/>
              <w:adjustRightInd/>
              <w:snapToGrid w:val="0"/>
              <w:spacing w:line="460" w:lineRule="exact"/>
              <w:jc w:val="cente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常规检验外送</w:t>
            </w:r>
          </w:p>
        </w:tc>
        <w:tc>
          <w:tcPr>
            <w:tcW w:w="1635" w:type="dxa"/>
            <w:tcBorders>
              <w:top w:val="single" w:color="auto" w:sz="4" w:space="0"/>
              <w:left w:val="single" w:color="auto" w:sz="4" w:space="0"/>
              <w:right w:val="single" w:color="auto" w:sz="4" w:space="0"/>
            </w:tcBorders>
            <w:vAlign w:val="center"/>
          </w:tcPr>
          <w:p w14:paraId="001292D2">
            <w:pPr>
              <w:keepNext w:val="0"/>
              <w:keepLines w:val="0"/>
              <w:pageBreakBefore w:val="0"/>
              <w:widowControl/>
              <w:kinsoku/>
              <w:wordWrap/>
              <w:overflowPunct/>
              <w:topLinePunct w:val="0"/>
              <w:autoSpaceDE/>
              <w:autoSpaceDN/>
              <w:bidi w:val="0"/>
              <w:adjustRightInd/>
              <w:snapToGrid w:val="0"/>
              <w:spacing w:line="46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1项</w:t>
            </w:r>
          </w:p>
        </w:tc>
        <w:tc>
          <w:tcPr>
            <w:tcW w:w="2025" w:type="dxa"/>
            <w:tcBorders>
              <w:top w:val="single" w:color="auto" w:sz="4" w:space="0"/>
              <w:left w:val="single" w:color="auto" w:sz="4" w:space="0"/>
              <w:right w:val="single" w:color="auto" w:sz="4" w:space="0"/>
            </w:tcBorders>
            <w:vAlign w:val="center"/>
          </w:tcPr>
          <w:p w14:paraId="4A2C4871">
            <w:pPr>
              <w:keepNext w:val="0"/>
              <w:keepLines w:val="0"/>
              <w:pageBreakBefore w:val="0"/>
              <w:widowControl/>
              <w:kinsoku/>
              <w:wordWrap/>
              <w:overflowPunct/>
              <w:topLinePunct w:val="0"/>
              <w:autoSpaceDE/>
              <w:autoSpaceDN/>
              <w:bidi w:val="0"/>
              <w:adjustRightInd/>
              <w:snapToGrid w:val="0"/>
              <w:spacing w:line="46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150000.00</w:t>
            </w:r>
          </w:p>
        </w:tc>
        <w:tc>
          <w:tcPr>
            <w:tcW w:w="2199" w:type="dxa"/>
            <w:tcBorders>
              <w:left w:val="single" w:color="auto" w:sz="4" w:space="0"/>
              <w:right w:val="single" w:color="auto" w:sz="4" w:space="0"/>
            </w:tcBorders>
          </w:tcPr>
          <w:p w14:paraId="6A707816">
            <w:pPr>
              <w:keepNext w:val="0"/>
              <w:keepLines w:val="0"/>
              <w:pageBreakBefore w:val="0"/>
              <w:widowControl/>
              <w:kinsoku/>
              <w:wordWrap/>
              <w:overflowPunct/>
              <w:topLinePunct w:val="0"/>
              <w:autoSpaceDE/>
              <w:autoSpaceDN/>
              <w:bidi w:val="0"/>
              <w:adjustRightInd/>
              <w:snapToGrid w:val="0"/>
              <w:spacing w:line="460" w:lineRule="exact"/>
              <w:jc w:val="center"/>
              <w:rPr>
                <w:rFonts w:hint="eastAsia" w:ascii="新宋体" w:hAnsi="新宋体" w:eastAsia="新宋体" w:cs="新宋体"/>
                <w:color w:val="auto"/>
                <w:kern w:val="0"/>
                <w:sz w:val="22"/>
                <w:szCs w:val="22"/>
                <w:highlight w:val="none"/>
              </w:rPr>
            </w:pPr>
          </w:p>
        </w:tc>
      </w:tr>
    </w:tbl>
    <w:p w14:paraId="002B9064">
      <w:pPr>
        <w:keepNext w:val="0"/>
        <w:keepLines w:val="0"/>
        <w:pageBreakBefore w:val="0"/>
        <w:kinsoku/>
        <w:wordWrap/>
        <w:overflowPunct/>
        <w:topLinePunct w:val="0"/>
        <w:autoSpaceDE/>
        <w:autoSpaceDN/>
        <w:bidi w:val="0"/>
        <w:adjustRightInd/>
        <w:spacing w:line="460" w:lineRule="exact"/>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bCs/>
          <w:color w:val="auto"/>
          <w:kern w:val="0"/>
          <w:sz w:val="22"/>
          <w:szCs w:val="22"/>
          <w:highlight w:val="none"/>
          <w:u w:val="single"/>
        </w:rPr>
        <w:t>合同签订后</w:t>
      </w:r>
      <w:r>
        <w:rPr>
          <w:rFonts w:hint="eastAsia" w:ascii="新宋体" w:hAnsi="新宋体" w:eastAsia="新宋体" w:cs="新宋体"/>
          <w:b/>
          <w:bCs/>
          <w:color w:val="auto"/>
          <w:kern w:val="0"/>
          <w:sz w:val="22"/>
          <w:szCs w:val="22"/>
          <w:highlight w:val="none"/>
          <w:u w:val="single"/>
          <w:lang w:eastAsia="zh-CN"/>
        </w:rPr>
        <w:t>合作期满</w:t>
      </w:r>
      <w:r>
        <w:rPr>
          <w:rFonts w:hint="eastAsia" w:ascii="新宋体" w:hAnsi="新宋体" w:eastAsia="新宋体" w:cs="新宋体"/>
          <w:b/>
          <w:bCs/>
          <w:color w:val="auto"/>
          <w:kern w:val="0"/>
          <w:sz w:val="22"/>
          <w:szCs w:val="22"/>
          <w:highlight w:val="none"/>
          <w:u w:val="single"/>
        </w:rPr>
        <w:t>1年或</w:t>
      </w:r>
      <w:r>
        <w:rPr>
          <w:rFonts w:hint="eastAsia" w:ascii="新宋体" w:hAnsi="新宋体" w:eastAsia="新宋体" w:cs="新宋体"/>
          <w:b/>
          <w:bCs/>
          <w:color w:val="auto"/>
          <w:kern w:val="0"/>
          <w:sz w:val="22"/>
          <w:szCs w:val="22"/>
          <w:highlight w:val="none"/>
          <w:u w:val="single"/>
          <w:lang w:eastAsia="zh-CN"/>
        </w:rPr>
        <w:t>实际检测服务金额</w:t>
      </w:r>
      <w:r>
        <w:rPr>
          <w:rFonts w:hint="eastAsia" w:ascii="新宋体" w:hAnsi="新宋体" w:eastAsia="新宋体" w:cs="新宋体"/>
          <w:b/>
          <w:bCs/>
          <w:color w:val="auto"/>
          <w:kern w:val="0"/>
          <w:sz w:val="22"/>
          <w:szCs w:val="22"/>
          <w:highlight w:val="none"/>
          <w:u w:val="single"/>
        </w:rPr>
        <w:t>达到</w:t>
      </w:r>
      <w:r>
        <w:rPr>
          <w:rFonts w:hint="eastAsia" w:ascii="新宋体" w:hAnsi="新宋体" w:eastAsia="新宋体" w:cs="新宋体"/>
          <w:b/>
          <w:bCs/>
          <w:color w:val="auto"/>
          <w:kern w:val="0"/>
          <w:sz w:val="22"/>
          <w:szCs w:val="22"/>
          <w:highlight w:val="none"/>
          <w:u w:val="single"/>
          <w:lang w:val="en-US" w:eastAsia="zh-CN"/>
        </w:rPr>
        <w:t>15万</w:t>
      </w:r>
      <w:r>
        <w:rPr>
          <w:rFonts w:hint="eastAsia" w:ascii="新宋体" w:hAnsi="新宋体" w:eastAsia="新宋体" w:cs="新宋体"/>
          <w:b/>
          <w:bCs/>
          <w:color w:val="auto"/>
          <w:kern w:val="0"/>
          <w:sz w:val="22"/>
          <w:szCs w:val="22"/>
          <w:highlight w:val="none"/>
          <w:u w:val="single"/>
        </w:rPr>
        <w:t>元，任一条件达到即视为合同期结束。合同期内如遇政策性原因，导致合同无法履行，则合同自行终止。</w:t>
      </w:r>
    </w:p>
    <w:p w14:paraId="3FBAA8F6">
      <w:pPr>
        <w:keepNext w:val="0"/>
        <w:keepLines w:val="0"/>
        <w:pageBreakBefore w:val="0"/>
        <w:widowControl w:val="0"/>
        <w:numPr>
          <w:ilvl w:val="0"/>
          <w:numId w:val="0"/>
        </w:numPr>
        <w:tabs>
          <w:tab w:val="left" w:pos="-945"/>
          <w:tab w:val="left" w:pos="0"/>
        </w:tabs>
        <w:kinsoku/>
        <w:wordWrap/>
        <w:overflowPunct/>
        <w:topLinePunct w:val="0"/>
        <w:autoSpaceDE/>
        <w:autoSpaceDN/>
        <w:bidi w:val="0"/>
        <w:adjustRightInd/>
        <w:snapToGrid/>
        <w:spacing w:before="0" w:after="0" w:line="460" w:lineRule="exact"/>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一、服务要求</w:t>
      </w:r>
    </w:p>
    <w:tbl>
      <w:tblPr>
        <w:tblStyle w:val="54"/>
        <w:tblW w:w="9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8700"/>
      </w:tblGrid>
      <w:tr w14:paraId="436A1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 w:type="dxa"/>
            <w:noWrap/>
            <w:vAlign w:val="center"/>
          </w:tcPr>
          <w:p w14:paraId="4A92DCE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序号</w:t>
            </w:r>
          </w:p>
        </w:tc>
        <w:tc>
          <w:tcPr>
            <w:tcW w:w="8700" w:type="dxa"/>
            <w:noWrap/>
            <w:vAlign w:val="center"/>
          </w:tcPr>
          <w:p w14:paraId="172526A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招标要求</w:t>
            </w:r>
          </w:p>
        </w:tc>
      </w:tr>
      <w:tr w14:paraId="38194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 w:type="dxa"/>
            <w:noWrap/>
            <w:vAlign w:val="center"/>
          </w:tcPr>
          <w:p w14:paraId="7147056C">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1</w:t>
            </w:r>
          </w:p>
        </w:tc>
        <w:tc>
          <w:tcPr>
            <w:tcW w:w="8700" w:type="dxa"/>
            <w:noWrap/>
            <w:vAlign w:val="center"/>
          </w:tcPr>
          <w:p w14:paraId="1E6B82C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采购内容：本次采购内容为</w:t>
            </w:r>
            <w:r>
              <w:rPr>
                <w:rFonts w:hint="eastAsia" w:ascii="新宋体" w:hAnsi="新宋体" w:eastAsia="新宋体" w:cs="新宋体"/>
                <w:color w:val="auto"/>
                <w:kern w:val="0"/>
                <w:sz w:val="22"/>
                <w:szCs w:val="22"/>
                <w:highlight w:val="none"/>
                <w:lang w:eastAsia="zh-CN"/>
              </w:rPr>
              <w:t>温州市第七人民医院常规检验外送</w:t>
            </w:r>
            <w:r>
              <w:rPr>
                <w:rFonts w:hint="eastAsia" w:ascii="新宋体" w:hAnsi="新宋体" w:eastAsia="新宋体" w:cs="新宋体"/>
                <w:color w:val="auto"/>
                <w:kern w:val="0"/>
                <w:sz w:val="22"/>
                <w:szCs w:val="22"/>
                <w:highlight w:val="none"/>
              </w:rPr>
              <w:t>服务项目（检测项目见《委托外送检验物价明细表》），包括但不限于提供外送标本接收、运输、化验、报告送检（到医院）、售后以及相关附加服务。</w:t>
            </w:r>
          </w:p>
        </w:tc>
      </w:tr>
      <w:tr w14:paraId="2389F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 w:type="dxa"/>
            <w:noWrap/>
            <w:vAlign w:val="center"/>
          </w:tcPr>
          <w:p w14:paraId="01EBD6D2">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2</w:t>
            </w:r>
          </w:p>
        </w:tc>
        <w:tc>
          <w:tcPr>
            <w:tcW w:w="8700" w:type="dxa"/>
            <w:noWrap/>
            <w:vAlign w:val="center"/>
          </w:tcPr>
          <w:p w14:paraId="500040B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样本检测服务要求：</w:t>
            </w:r>
          </w:p>
        </w:tc>
      </w:tr>
      <w:tr w14:paraId="7A1DB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 w:type="dxa"/>
            <w:noWrap/>
            <w:vAlign w:val="center"/>
          </w:tcPr>
          <w:p w14:paraId="00C4FE4D">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2</w:t>
            </w:r>
            <w:r>
              <w:rPr>
                <w:rFonts w:hint="eastAsia" w:ascii="新宋体" w:hAnsi="新宋体" w:eastAsia="新宋体" w:cs="新宋体"/>
                <w:color w:val="auto"/>
                <w:kern w:val="0"/>
                <w:sz w:val="22"/>
                <w:szCs w:val="22"/>
                <w:highlight w:val="none"/>
              </w:rPr>
              <w:t>.1</w:t>
            </w:r>
          </w:p>
        </w:tc>
        <w:tc>
          <w:tcPr>
            <w:tcW w:w="8700" w:type="dxa"/>
            <w:noWrap/>
            <w:vAlign w:val="center"/>
          </w:tcPr>
          <w:p w14:paraId="3D8781C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投标人提供医院收集样本所需的所有耗材。</w:t>
            </w:r>
          </w:p>
        </w:tc>
      </w:tr>
      <w:tr w14:paraId="56CB7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 w:type="dxa"/>
            <w:noWrap/>
            <w:vAlign w:val="center"/>
          </w:tcPr>
          <w:p w14:paraId="16A0C34B">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2</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2</w:t>
            </w:r>
          </w:p>
        </w:tc>
        <w:tc>
          <w:tcPr>
            <w:tcW w:w="8700" w:type="dxa"/>
            <w:noWrap/>
            <w:vAlign w:val="center"/>
          </w:tcPr>
          <w:p w14:paraId="5EDE837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b/>
                <w:bCs/>
                <w:color w:val="auto"/>
                <w:kern w:val="0"/>
                <w:sz w:val="22"/>
                <w:szCs w:val="22"/>
                <w:highlight w:val="none"/>
                <w:lang w:eastAsia="zh-CN"/>
              </w:rPr>
              <w:t>标本收取及报告</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投标人根据医院的要求安排上门收取标本，报告单可在网上查询，并与医院LIS系统相连接，接口费用由投标人承担。</w:t>
            </w:r>
            <w:r>
              <w:rPr>
                <w:rFonts w:hint="eastAsia" w:ascii="新宋体" w:hAnsi="新宋体" w:eastAsia="新宋体" w:cs="新宋体"/>
                <w:b/>
                <w:color w:val="auto"/>
                <w:kern w:val="0"/>
                <w:sz w:val="22"/>
                <w:szCs w:val="22"/>
                <w:highlight w:val="none"/>
              </w:rPr>
              <w:t>（投标时提供检测报告与医院网络系统对接的实施方案）</w:t>
            </w:r>
            <w:r>
              <w:rPr>
                <w:rFonts w:hint="eastAsia" w:ascii="新宋体" w:hAnsi="新宋体" w:eastAsia="新宋体" w:cs="新宋体"/>
                <w:b/>
                <w:color w:val="auto"/>
                <w:kern w:val="0"/>
                <w:sz w:val="22"/>
                <w:szCs w:val="22"/>
                <w:highlight w:val="none"/>
                <w:lang w:eastAsia="zh-CN"/>
              </w:rPr>
              <w:t>。</w:t>
            </w:r>
          </w:p>
        </w:tc>
      </w:tr>
      <w:tr w14:paraId="71246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 w:type="dxa"/>
            <w:noWrap/>
            <w:vAlign w:val="center"/>
          </w:tcPr>
          <w:p w14:paraId="7A5A93F6">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2</w:t>
            </w:r>
            <w:r>
              <w:rPr>
                <w:rFonts w:hint="eastAsia" w:ascii="新宋体" w:hAnsi="新宋体" w:eastAsia="新宋体" w:cs="新宋体"/>
                <w:color w:val="auto"/>
                <w:kern w:val="0"/>
                <w:sz w:val="22"/>
                <w:szCs w:val="22"/>
                <w:highlight w:val="none"/>
              </w:rPr>
              <w:t>.3</w:t>
            </w:r>
          </w:p>
        </w:tc>
        <w:tc>
          <w:tcPr>
            <w:tcW w:w="8700" w:type="dxa"/>
            <w:noWrap/>
            <w:vAlign w:val="center"/>
          </w:tcPr>
          <w:p w14:paraId="1E4A2D59">
            <w:pPr>
              <w:keepNext w:val="0"/>
              <w:keepLines w:val="0"/>
              <w:pageBreakBefore w:val="0"/>
              <w:widowControl w:val="0"/>
              <w:numPr>
                <w:ilvl w:val="0"/>
                <w:numId w:val="0"/>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b/>
                <w:color w:val="auto"/>
                <w:sz w:val="22"/>
                <w:szCs w:val="22"/>
                <w:highlight w:val="none"/>
              </w:rPr>
              <w:t>运输冷链系统要求</w:t>
            </w:r>
            <w:r>
              <w:rPr>
                <w:rFonts w:hint="eastAsia" w:ascii="新宋体" w:hAnsi="新宋体" w:eastAsia="新宋体" w:cs="新宋体"/>
                <w:b/>
                <w:color w:val="auto"/>
                <w:sz w:val="22"/>
                <w:szCs w:val="22"/>
                <w:highlight w:val="none"/>
                <w:lang w:eastAsia="zh-CN"/>
              </w:rPr>
              <w:t>：</w:t>
            </w:r>
          </w:p>
        </w:tc>
      </w:tr>
      <w:tr w14:paraId="2CC05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 w:type="dxa"/>
            <w:noWrap/>
            <w:vAlign w:val="center"/>
          </w:tcPr>
          <w:p w14:paraId="571C5A5E">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kern w:val="0"/>
                <w:sz w:val="22"/>
                <w:szCs w:val="22"/>
                <w:highlight w:val="none"/>
                <w:lang w:val="en-US"/>
              </w:rPr>
            </w:pPr>
            <w:r>
              <w:rPr>
                <w:rFonts w:hint="eastAsia" w:ascii="新宋体" w:hAnsi="新宋体" w:eastAsia="新宋体" w:cs="新宋体"/>
                <w:color w:val="auto"/>
                <w:kern w:val="0"/>
                <w:sz w:val="22"/>
                <w:szCs w:val="22"/>
                <w:highlight w:val="none"/>
                <w:lang w:val="en-US" w:eastAsia="zh-CN"/>
              </w:rPr>
              <w:t>2.3.1</w:t>
            </w:r>
          </w:p>
        </w:tc>
        <w:tc>
          <w:tcPr>
            <w:tcW w:w="8700" w:type="dxa"/>
            <w:noWrap/>
            <w:vAlign w:val="center"/>
          </w:tcPr>
          <w:p w14:paraId="498577B2">
            <w:pPr>
              <w:keepNext w:val="0"/>
              <w:keepLines w:val="0"/>
              <w:pageBreakBefore w:val="0"/>
              <w:widowControl w:val="0"/>
              <w:numPr>
                <w:ilvl w:val="0"/>
                <w:numId w:val="0"/>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所有样本的运送必须符合样本温度的管理要求，采用相应的冷链运送技术，特殊标本运输过程中需干冰冻存。</w:t>
            </w:r>
          </w:p>
        </w:tc>
      </w:tr>
      <w:tr w14:paraId="74C86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 w:type="dxa"/>
            <w:noWrap/>
            <w:vAlign w:val="center"/>
          </w:tcPr>
          <w:p w14:paraId="4E1768EB">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2.3.2</w:t>
            </w:r>
          </w:p>
        </w:tc>
        <w:tc>
          <w:tcPr>
            <w:tcW w:w="8700" w:type="dxa"/>
            <w:noWrap/>
            <w:vAlign w:val="center"/>
          </w:tcPr>
          <w:p w14:paraId="6770AC85">
            <w:pPr>
              <w:keepNext w:val="0"/>
              <w:keepLines w:val="0"/>
              <w:pageBreakBefore w:val="0"/>
              <w:widowControl w:val="0"/>
              <w:numPr>
                <w:ilvl w:val="0"/>
                <w:numId w:val="0"/>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rPr>
              <w:t>所有样本运送必须采用符合相关标准的冷链物流车或转送车辆及冷链物流箱，冷链物流车或转送车辆及冷链物流箱配备数量满足标本转送要求。</w:t>
            </w:r>
          </w:p>
        </w:tc>
      </w:tr>
      <w:tr w14:paraId="29831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 w:type="dxa"/>
            <w:noWrap/>
            <w:vAlign w:val="center"/>
          </w:tcPr>
          <w:p w14:paraId="6E0DB736">
            <w:pPr>
              <w:keepNext w:val="0"/>
              <w:keepLines w:val="0"/>
              <w:pageBreakBefore w:val="0"/>
              <w:widowControl w:val="0"/>
              <w:numPr>
                <w:ilvl w:val="0"/>
                <w:numId w:val="0"/>
              </w:numPr>
              <w:kinsoku/>
              <w:wordWrap/>
              <w:overflowPunct/>
              <w:topLinePunct w:val="0"/>
              <w:autoSpaceDE/>
              <w:autoSpaceDN/>
              <w:bidi w:val="0"/>
              <w:adjustRightInd/>
              <w:snapToGrid w:val="0"/>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2.3.3</w:t>
            </w:r>
          </w:p>
        </w:tc>
        <w:tc>
          <w:tcPr>
            <w:tcW w:w="8700" w:type="dxa"/>
            <w:noWrap/>
            <w:vAlign w:val="center"/>
          </w:tcPr>
          <w:p w14:paraId="0BB625D6">
            <w:pPr>
              <w:keepNext w:val="0"/>
              <w:keepLines w:val="0"/>
              <w:pageBreakBefore w:val="0"/>
              <w:widowControl w:val="0"/>
              <w:numPr>
                <w:ilvl w:val="0"/>
                <w:numId w:val="0"/>
              </w:numPr>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提供可实时监控物流各个环节的温度的系统和终端设备，能够对物流的全程进行温度监控、报警及记录，能够对整个过程进行溯源管理，并能够提交相关记录的纸质文档，以留档备查。一年3次以上无法进行运送温度溯源，招标人有权终止合同，并追究相关损失。</w:t>
            </w:r>
          </w:p>
        </w:tc>
      </w:tr>
      <w:tr w14:paraId="55F9A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 w:type="dxa"/>
            <w:noWrap/>
            <w:vAlign w:val="center"/>
          </w:tcPr>
          <w:p w14:paraId="3B9CD2B3">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2.4</w:t>
            </w:r>
          </w:p>
        </w:tc>
        <w:tc>
          <w:tcPr>
            <w:tcW w:w="8700" w:type="dxa"/>
            <w:noWrap/>
            <w:vAlign w:val="center"/>
          </w:tcPr>
          <w:p w14:paraId="351AF2C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b/>
                <w:bCs/>
                <w:color w:val="auto"/>
                <w:kern w:val="0"/>
                <w:sz w:val="22"/>
                <w:szCs w:val="22"/>
                <w:highlight w:val="none"/>
              </w:rPr>
              <w:t>标本安全管理</w:t>
            </w:r>
            <w:r>
              <w:rPr>
                <w:rFonts w:hint="eastAsia" w:ascii="新宋体" w:hAnsi="新宋体" w:eastAsia="新宋体" w:cs="新宋体"/>
                <w:color w:val="auto"/>
                <w:kern w:val="0"/>
                <w:sz w:val="22"/>
                <w:szCs w:val="22"/>
                <w:highlight w:val="none"/>
              </w:rPr>
              <w:t>：样本交接及运送过程必须符合样本的安全管理要求，符合《病原微生物实验室生物安全管理条例》、《可感染人类的高致病性病原微生物菌（毒）种或样本运输管理规定》、《浙江省病原微生物实验室生物安全管理办法（试行）》等相关法律法规规章涉及的生物安全规定。</w:t>
            </w:r>
          </w:p>
        </w:tc>
      </w:tr>
      <w:tr w14:paraId="66DB4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 w:type="dxa"/>
            <w:noWrap/>
            <w:vAlign w:val="center"/>
          </w:tcPr>
          <w:p w14:paraId="2B790CE0">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2.5</w:t>
            </w:r>
          </w:p>
        </w:tc>
        <w:tc>
          <w:tcPr>
            <w:tcW w:w="8700" w:type="dxa"/>
            <w:noWrap/>
            <w:vAlign w:val="center"/>
          </w:tcPr>
          <w:p w14:paraId="09F0F2C9">
            <w:pPr>
              <w:keepNext w:val="0"/>
              <w:keepLines w:val="0"/>
              <w:pageBreakBefore w:val="0"/>
              <w:widowControl w:val="0"/>
              <w:kinsoku/>
              <w:wordWrap/>
              <w:overflowPunct/>
              <w:topLinePunct w:val="0"/>
              <w:autoSpaceDE/>
              <w:autoSpaceDN/>
              <w:bidi w:val="0"/>
              <w:adjustRightInd/>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标本运输要求：</w:t>
            </w:r>
            <w:r>
              <w:rPr>
                <w:rFonts w:hint="eastAsia" w:ascii="新宋体" w:hAnsi="新宋体" w:eastAsia="新宋体" w:cs="新宋体"/>
                <w:color w:val="auto"/>
                <w:sz w:val="22"/>
                <w:szCs w:val="22"/>
                <w:highlight w:val="none"/>
              </w:rPr>
              <w:t>运输车辆拥有运输标本专业设备如生物安全转运箱，并装有处置生物安全应急事件的应急箱及消毒用喷壶,可以应对突发生物安全事件的现场处置。</w:t>
            </w:r>
          </w:p>
        </w:tc>
      </w:tr>
      <w:tr w14:paraId="01559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2" w:type="dxa"/>
            <w:noWrap/>
            <w:vAlign w:val="center"/>
          </w:tcPr>
          <w:p w14:paraId="6D2D1D22">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2.6</w:t>
            </w:r>
          </w:p>
        </w:tc>
        <w:tc>
          <w:tcPr>
            <w:tcW w:w="8700" w:type="dxa"/>
            <w:noWrap/>
            <w:vAlign w:val="center"/>
          </w:tcPr>
          <w:p w14:paraId="26A5D6F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b/>
                <w:bCs/>
                <w:color w:val="auto"/>
                <w:kern w:val="0"/>
                <w:sz w:val="22"/>
                <w:szCs w:val="22"/>
                <w:highlight w:val="none"/>
              </w:rPr>
              <w:t>标本转运制度</w:t>
            </w:r>
            <w:r>
              <w:rPr>
                <w:rFonts w:hint="eastAsia" w:ascii="新宋体" w:hAnsi="新宋体" w:eastAsia="新宋体" w:cs="新宋体"/>
                <w:color w:val="auto"/>
                <w:kern w:val="0"/>
                <w:sz w:val="22"/>
                <w:szCs w:val="22"/>
                <w:highlight w:val="none"/>
              </w:rPr>
              <w:t>：标本转运物流流程规章制度（包括标本运输紧急预案）及工作各环节操作说明书。</w:t>
            </w:r>
          </w:p>
        </w:tc>
      </w:tr>
      <w:tr w14:paraId="132B6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 w:type="dxa"/>
            <w:noWrap/>
            <w:vAlign w:val="center"/>
          </w:tcPr>
          <w:p w14:paraId="7E0C93BA">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2</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7</w:t>
            </w:r>
          </w:p>
        </w:tc>
        <w:tc>
          <w:tcPr>
            <w:tcW w:w="8700" w:type="dxa"/>
            <w:noWrap/>
            <w:vAlign w:val="center"/>
          </w:tcPr>
          <w:p w14:paraId="77BDBA3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对检验后的标本进行妥善保存，以便检验结果有疑义时进行免费复查或再委托第三方检验，这种情况所发生的费用，由投标人承担。</w:t>
            </w:r>
          </w:p>
        </w:tc>
      </w:tr>
      <w:tr w14:paraId="7B401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 w:type="dxa"/>
            <w:noWrap/>
            <w:vAlign w:val="center"/>
          </w:tcPr>
          <w:p w14:paraId="6310ABC3">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2</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8</w:t>
            </w:r>
          </w:p>
        </w:tc>
        <w:tc>
          <w:tcPr>
            <w:tcW w:w="8700" w:type="dxa"/>
            <w:noWrap/>
            <w:vAlign w:val="center"/>
          </w:tcPr>
          <w:p w14:paraId="3C5EAA7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提供实验室的认证相关资料；以及本项目检查相关的主要仪器设备和试剂的品牌型号清单。</w:t>
            </w:r>
          </w:p>
        </w:tc>
      </w:tr>
      <w:tr w14:paraId="264D2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942" w:type="dxa"/>
            <w:noWrap/>
            <w:vAlign w:val="center"/>
          </w:tcPr>
          <w:p w14:paraId="700E5A29">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2.9</w:t>
            </w:r>
          </w:p>
        </w:tc>
        <w:tc>
          <w:tcPr>
            <w:tcW w:w="8700" w:type="dxa"/>
            <w:noWrap/>
            <w:vAlign w:val="top"/>
          </w:tcPr>
          <w:p w14:paraId="6DD2016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投标人具有完善的质控系统按照检验质控要求，定期提供所有外送项目的室内质控、室间质控报告、检验仪器设备性能验证报告；</w:t>
            </w:r>
          </w:p>
        </w:tc>
      </w:tr>
      <w:tr w14:paraId="04F18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942" w:type="dxa"/>
            <w:noWrap/>
            <w:vAlign w:val="center"/>
          </w:tcPr>
          <w:p w14:paraId="549F4854">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2.10</w:t>
            </w:r>
          </w:p>
        </w:tc>
        <w:tc>
          <w:tcPr>
            <w:tcW w:w="8700" w:type="dxa"/>
            <w:noWrap/>
            <w:vAlign w:val="top"/>
          </w:tcPr>
          <w:p w14:paraId="2F18E6F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检验报告中出现危急值，在检验报告打出后按照拟定的应急要求向招标人报备并说明情况，在投标文件提供遇到危急值的反馈及处理预案；</w:t>
            </w:r>
          </w:p>
        </w:tc>
      </w:tr>
      <w:tr w14:paraId="26C6B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 w:type="dxa"/>
            <w:noWrap/>
            <w:vAlign w:val="center"/>
          </w:tcPr>
          <w:p w14:paraId="01EAA0CE">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2"/>
                <w:sz w:val="22"/>
                <w:szCs w:val="22"/>
                <w:highlight w:val="none"/>
                <w:lang w:val="en-US" w:eastAsia="zh-CN"/>
              </w:rPr>
              <w:t>▲2</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11</w:t>
            </w:r>
          </w:p>
        </w:tc>
        <w:tc>
          <w:tcPr>
            <w:tcW w:w="8700" w:type="dxa"/>
            <w:noWrap/>
            <w:vAlign w:val="center"/>
          </w:tcPr>
          <w:p w14:paraId="0D125D7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结果的准确性：投标人对检验结果负责，因标本丢失、未在规定时间内出具报告或检验项目检测结果不准确等造成的医疗事故（医疗事件）或医疗纠纷，投标人承担全部经济及法律责任，所有费用完全由投标人赔偿。对结果明显有差异的，要求复查或再委托第三方检验</w:t>
            </w:r>
            <w:r>
              <w:rPr>
                <w:rFonts w:hint="eastAsia" w:ascii="新宋体" w:hAnsi="新宋体" w:eastAsia="新宋体" w:cs="新宋体"/>
                <w:color w:val="auto"/>
                <w:kern w:val="0"/>
                <w:sz w:val="22"/>
                <w:szCs w:val="22"/>
                <w:highlight w:val="none"/>
                <w:lang w:val="en-US" w:eastAsia="zh-CN"/>
              </w:rPr>
              <w:t>,</w:t>
            </w:r>
            <w:r>
              <w:rPr>
                <w:rFonts w:hint="eastAsia" w:ascii="新宋体" w:hAnsi="新宋体" w:eastAsia="新宋体" w:cs="新宋体"/>
                <w:color w:val="auto"/>
                <w:kern w:val="0"/>
                <w:sz w:val="22"/>
                <w:szCs w:val="22"/>
                <w:highlight w:val="none"/>
              </w:rPr>
              <w:t>所发生的费用，由责任方承担。</w:t>
            </w:r>
          </w:p>
        </w:tc>
      </w:tr>
      <w:tr w14:paraId="64C8A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 w:type="dxa"/>
            <w:noWrap/>
            <w:vAlign w:val="center"/>
          </w:tcPr>
          <w:p w14:paraId="44BF44DF">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2"/>
                <w:sz w:val="22"/>
                <w:szCs w:val="22"/>
                <w:highlight w:val="none"/>
                <w:lang w:val="en-US" w:eastAsia="zh-CN"/>
              </w:rPr>
              <w:t>▲2</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12</w:t>
            </w:r>
          </w:p>
        </w:tc>
        <w:tc>
          <w:tcPr>
            <w:tcW w:w="8700" w:type="dxa"/>
            <w:noWrap/>
            <w:vAlign w:val="center"/>
          </w:tcPr>
          <w:p w14:paraId="69F0C11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委托外送检验项目若医院认为有必要可不对外委托。</w:t>
            </w:r>
          </w:p>
        </w:tc>
      </w:tr>
    </w:tbl>
    <w:p w14:paraId="4C388A2D">
      <w:pPr>
        <w:keepNext w:val="0"/>
        <w:keepLines w:val="0"/>
        <w:pageBreakBefore w:val="0"/>
        <w:widowControl w:val="0"/>
        <w:numPr>
          <w:ilvl w:val="0"/>
          <w:numId w:val="0"/>
        </w:numPr>
        <w:tabs>
          <w:tab w:val="left" w:pos="-945"/>
          <w:tab w:val="left" w:pos="0"/>
        </w:tabs>
        <w:kinsoku/>
        <w:wordWrap/>
        <w:overflowPunct/>
        <w:topLinePunct w:val="0"/>
        <w:autoSpaceDE/>
        <w:autoSpaceDN/>
        <w:bidi w:val="0"/>
        <w:adjustRightInd/>
        <w:snapToGrid/>
        <w:spacing w:before="0" w:after="0" w:line="460" w:lineRule="exact"/>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二、商务要求</w:t>
      </w:r>
    </w:p>
    <w:tbl>
      <w:tblPr>
        <w:tblStyle w:val="53"/>
        <w:tblW w:w="96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3"/>
        <w:gridCol w:w="8740"/>
      </w:tblGrid>
      <w:tr w14:paraId="1780B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953" w:type="dxa"/>
            <w:tcBorders>
              <w:tl2br w:val="nil"/>
              <w:tr2bl w:val="nil"/>
            </w:tcBorders>
            <w:noWrap/>
            <w:vAlign w:val="center"/>
          </w:tcPr>
          <w:p w14:paraId="72B5898F">
            <w:pPr>
              <w:keepNext w:val="0"/>
              <w:keepLines w:val="0"/>
              <w:pageBreakBefore w:val="0"/>
              <w:widowControl w:val="0"/>
              <w:kinsoku/>
              <w:wordWrap/>
              <w:overflowPunct/>
              <w:topLinePunct w:val="0"/>
              <w:autoSpaceDE/>
              <w:autoSpaceDN/>
              <w:bidi w:val="0"/>
              <w:adjustRightInd/>
              <w:snapToGrid/>
              <w:spacing w:line="460" w:lineRule="exact"/>
              <w:ind w:right="-21" w:rightChars="-10"/>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8740" w:type="dxa"/>
            <w:tcBorders>
              <w:tl2br w:val="nil"/>
              <w:tr2bl w:val="nil"/>
            </w:tcBorders>
            <w:noWrap/>
            <w:vAlign w:val="top"/>
          </w:tcPr>
          <w:p w14:paraId="72596445">
            <w:pPr>
              <w:keepNext w:val="0"/>
              <w:keepLines w:val="0"/>
              <w:pageBreakBefore w:val="0"/>
              <w:widowControl w:val="0"/>
              <w:kinsoku/>
              <w:wordWrap/>
              <w:overflowPunct/>
              <w:topLinePunct w:val="0"/>
              <w:autoSpaceDE/>
              <w:autoSpaceDN/>
              <w:bidi w:val="0"/>
              <w:adjustRightInd/>
              <w:snapToGrid/>
              <w:spacing w:line="460" w:lineRule="exact"/>
              <w:ind w:right="-21" w:rightChars="-10"/>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招标要求</w:t>
            </w:r>
          </w:p>
        </w:tc>
      </w:tr>
      <w:tr w14:paraId="4E959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3" w:type="dxa"/>
            <w:tcBorders>
              <w:tl2br w:val="nil"/>
              <w:tr2bl w:val="nil"/>
            </w:tcBorders>
            <w:noWrap/>
            <w:vAlign w:val="center"/>
          </w:tcPr>
          <w:p w14:paraId="6FF1D2AC">
            <w:pPr>
              <w:keepNext w:val="0"/>
              <w:keepLines w:val="0"/>
              <w:pageBreakBefore w:val="0"/>
              <w:widowControl w:val="0"/>
              <w:kinsoku/>
              <w:wordWrap/>
              <w:overflowPunct/>
              <w:topLinePunct w:val="0"/>
              <w:autoSpaceDE/>
              <w:autoSpaceDN/>
              <w:bidi w:val="0"/>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8740" w:type="dxa"/>
            <w:tcBorders>
              <w:tl2br w:val="nil"/>
              <w:tr2bl w:val="nil"/>
            </w:tcBorders>
            <w:noWrap/>
            <w:vAlign w:val="top"/>
          </w:tcPr>
          <w:p w14:paraId="711C7F4D">
            <w:pPr>
              <w:keepNext w:val="0"/>
              <w:keepLines w:val="0"/>
              <w:pageBreakBefore w:val="0"/>
              <w:widowControl w:val="0"/>
              <w:kinsoku/>
              <w:wordWrap/>
              <w:overflowPunct/>
              <w:topLinePunct w:val="0"/>
              <w:autoSpaceDE/>
              <w:autoSpaceDN/>
              <w:bidi w:val="0"/>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投标及合同货币：人民币。</w:t>
            </w:r>
          </w:p>
        </w:tc>
      </w:tr>
      <w:tr w14:paraId="02115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3" w:type="dxa"/>
            <w:tcBorders>
              <w:tl2br w:val="nil"/>
              <w:tr2bl w:val="nil"/>
            </w:tcBorders>
            <w:noWrap/>
            <w:vAlign w:val="center"/>
          </w:tcPr>
          <w:p w14:paraId="4C045641">
            <w:pPr>
              <w:keepNext w:val="0"/>
              <w:keepLines w:val="0"/>
              <w:pageBreakBefore w:val="0"/>
              <w:widowControl w:val="0"/>
              <w:kinsoku/>
              <w:wordWrap/>
              <w:overflowPunct/>
              <w:topLinePunct w:val="0"/>
              <w:autoSpaceDE/>
              <w:autoSpaceDN/>
              <w:bidi w:val="0"/>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8740" w:type="dxa"/>
            <w:tcBorders>
              <w:tl2br w:val="nil"/>
              <w:tr2bl w:val="nil"/>
            </w:tcBorders>
            <w:noWrap/>
            <w:vAlign w:val="top"/>
          </w:tcPr>
          <w:p w14:paraId="0092D28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投标报价外送检测服务所有产生的费用。</w:t>
            </w:r>
            <w:r>
              <w:rPr>
                <w:rFonts w:hint="eastAsia" w:ascii="新宋体" w:hAnsi="新宋体" w:eastAsia="新宋体" w:cs="新宋体"/>
                <w:color w:val="auto"/>
                <w:kern w:val="0"/>
                <w:sz w:val="22"/>
                <w:szCs w:val="22"/>
                <w:highlight w:val="none"/>
              </w:rPr>
              <w:t>本项目费用包括但不限于提供运输服务，配套车辆设备，配备服务人员，设备维护保养，微生物消毒，外送标本检验等及其涉及的运费、油费、保险费、工资、水电费、设备折旧费、税费等全部费用。</w:t>
            </w:r>
          </w:p>
        </w:tc>
      </w:tr>
      <w:tr w14:paraId="27A30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953" w:type="dxa"/>
            <w:tcBorders>
              <w:tl2br w:val="nil"/>
              <w:tr2bl w:val="nil"/>
            </w:tcBorders>
            <w:noWrap/>
            <w:vAlign w:val="center"/>
          </w:tcPr>
          <w:p w14:paraId="370F70A8">
            <w:pPr>
              <w:keepNext w:val="0"/>
              <w:keepLines w:val="0"/>
              <w:pageBreakBefore w:val="0"/>
              <w:widowControl w:val="0"/>
              <w:kinsoku/>
              <w:wordWrap/>
              <w:overflowPunct/>
              <w:topLinePunct w:val="0"/>
              <w:autoSpaceDE/>
              <w:autoSpaceDN/>
              <w:bidi w:val="0"/>
              <w:adjustRightInd/>
              <w:snapToGrid/>
              <w:spacing w:line="460" w:lineRule="exact"/>
              <w:ind w:right="-21" w:rightChars="-1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8740" w:type="dxa"/>
            <w:tcBorders>
              <w:tl2br w:val="nil"/>
              <w:tr2bl w:val="nil"/>
            </w:tcBorders>
            <w:noWrap/>
            <w:vAlign w:val="top"/>
          </w:tcPr>
          <w:p w14:paraId="520DC4E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kern w:val="0"/>
                <w:sz w:val="22"/>
                <w:szCs w:val="22"/>
                <w:highlight w:val="none"/>
                <w:u w:val="single"/>
              </w:rPr>
              <w:t>合同签订后</w:t>
            </w:r>
            <w:r>
              <w:rPr>
                <w:rFonts w:hint="eastAsia" w:ascii="新宋体" w:hAnsi="新宋体" w:eastAsia="新宋体" w:cs="新宋体"/>
                <w:b/>
                <w:bCs/>
                <w:color w:val="auto"/>
                <w:kern w:val="0"/>
                <w:sz w:val="22"/>
                <w:szCs w:val="22"/>
                <w:highlight w:val="none"/>
                <w:u w:val="single"/>
                <w:lang w:eastAsia="zh-CN"/>
              </w:rPr>
              <w:t>合作期满</w:t>
            </w:r>
            <w:r>
              <w:rPr>
                <w:rFonts w:hint="eastAsia" w:ascii="新宋体" w:hAnsi="新宋体" w:eastAsia="新宋体" w:cs="新宋体"/>
                <w:b/>
                <w:bCs/>
                <w:color w:val="auto"/>
                <w:kern w:val="0"/>
                <w:sz w:val="22"/>
                <w:szCs w:val="22"/>
                <w:highlight w:val="none"/>
                <w:u w:val="single"/>
              </w:rPr>
              <w:t>1年或</w:t>
            </w:r>
            <w:r>
              <w:rPr>
                <w:rFonts w:hint="eastAsia" w:ascii="新宋体" w:hAnsi="新宋体" w:eastAsia="新宋体" w:cs="新宋体"/>
                <w:b/>
                <w:bCs/>
                <w:color w:val="auto"/>
                <w:kern w:val="0"/>
                <w:sz w:val="22"/>
                <w:szCs w:val="22"/>
                <w:highlight w:val="none"/>
                <w:u w:val="single"/>
                <w:lang w:eastAsia="zh-CN"/>
              </w:rPr>
              <w:t>实际检测服务金额</w:t>
            </w:r>
            <w:r>
              <w:rPr>
                <w:rFonts w:hint="eastAsia" w:ascii="新宋体" w:hAnsi="新宋体" w:eastAsia="新宋体" w:cs="新宋体"/>
                <w:b/>
                <w:bCs/>
                <w:color w:val="auto"/>
                <w:kern w:val="0"/>
                <w:sz w:val="22"/>
                <w:szCs w:val="22"/>
                <w:highlight w:val="none"/>
                <w:u w:val="single"/>
              </w:rPr>
              <w:t>达到</w:t>
            </w:r>
            <w:r>
              <w:rPr>
                <w:rFonts w:hint="eastAsia" w:ascii="新宋体" w:hAnsi="新宋体" w:eastAsia="新宋体" w:cs="新宋体"/>
                <w:b/>
                <w:bCs/>
                <w:color w:val="auto"/>
                <w:kern w:val="0"/>
                <w:sz w:val="22"/>
                <w:szCs w:val="22"/>
                <w:highlight w:val="none"/>
                <w:u w:val="single"/>
                <w:lang w:val="en-US" w:eastAsia="zh-CN"/>
              </w:rPr>
              <w:t>15万</w:t>
            </w:r>
            <w:r>
              <w:rPr>
                <w:rFonts w:hint="eastAsia" w:ascii="新宋体" w:hAnsi="新宋体" w:eastAsia="新宋体" w:cs="新宋体"/>
                <w:b/>
                <w:bCs/>
                <w:color w:val="auto"/>
                <w:kern w:val="0"/>
                <w:sz w:val="22"/>
                <w:szCs w:val="22"/>
                <w:highlight w:val="none"/>
                <w:u w:val="single"/>
              </w:rPr>
              <w:t>元</w:t>
            </w:r>
            <w:r>
              <w:rPr>
                <w:rFonts w:hint="eastAsia" w:ascii="新宋体" w:hAnsi="新宋体" w:eastAsia="新宋体" w:cs="新宋体"/>
                <w:color w:val="auto"/>
                <w:kern w:val="0"/>
                <w:sz w:val="22"/>
                <w:szCs w:val="22"/>
                <w:highlight w:val="none"/>
              </w:rPr>
              <w:t>，任一条件达到即视为合同期结束。合同期内如遇政策性原因，导致合同无法履行，则合同自行终止。</w:t>
            </w:r>
          </w:p>
        </w:tc>
      </w:tr>
      <w:tr w14:paraId="3BB50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953" w:type="dxa"/>
            <w:tcBorders>
              <w:tl2br w:val="nil"/>
              <w:tr2bl w:val="nil"/>
            </w:tcBorders>
            <w:noWrap/>
            <w:vAlign w:val="center"/>
          </w:tcPr>
          <w:p w14:paraId="48871FDB">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b w:val="0"/>
                <w:bCs w:val="0"/>
                <w:color w:val="auto"/>
                <w:kern w:val="0"/>
                <w:sz w:val="22"/>
                <w:szCs w:val="22"/>
                <w:highlight w:val="none"/>
              </w:rPr>
            </w:pPr>
            <w:r>
              <w:rPr>
                <w:rFonts w:hint="eastAsia" w:ascii="新宋体" w:hAnsi="新宋体" w:eastAsia="新宋体" w:cs="新宋体"/>
                <w:b w:val="0"/>
                <w:bCs w:val="0"/>
                <w:color w:val="auto"/>
                <w:kern w:val="0"/>
                <w:sz w:val="22"/>
                <w:szCs w:val="22"/>
                <w:highlight w:val="none"/>
                <w:lang w:val="en-US" w:eastAsia="zh-CN"/>
              </w:rPr>
              <w:t>▲</w:t>
            </w:r>
            <w:r>
              <w:rPr>
                <w:rFonts w:hint="eastAsia" w:ascii="新宋体" w:hAnsi="新宋体" w:eastAsia="新宋体" w:cs="新宋体"/>
                <w:b w:val="0"/>
                <w:bCs w:val="0"/>
                <w:color w:val="auto"/>
                <w:kern w:val="0"/>
                <w:sz w:val="22"/>
                <w:szCs w:val="22"/>
                <w:highlight w:val="none"/>
              </w:rPr>
              <w:t>4</w:t>
            </w:r>
          </w:p>
        </w:tc>
        <w:tc>
          <w:tcPr>
            <w:tcW w:w="8740" w:type="dxa"/>
            <w:tcBorders>
              <w:tl2br w:val="nil"/>
              <w:tr2bl w:val="nil"/>
            </w:tcBorders>
            <w:noWrap/>
            <w:vAlign w:val="top"/>
          </w:tcPr>
          <w:p w14:paraId="787559A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kern w:val="0"/>
                <w:sz w:val="22"/>
                <w:szCs w:val="22"/>
                <w:highlight w:val="none"/>
              </w:rPr>
            </w:pPr>
            <w:r>
              <w:rPr>
                <w:rFonts w:hint="eastAsia" w:ascii="新宋体" w:hAnsi="新宋体" w:eastAsia="新宋体" w:cs="新宋体"/>
                <w:b w:val="0"/>
                <w:bCs w:val="0"/>
                <w:color w:val="auto"/>
                <w:kern w:val="0"/>
                <w:sz w:val="22"/>
                <w:szCs w:val="22"/>
                <w:highlight w:val="none"/>
              </w:rPr>
              <w:t>投标报价及费用：</w:t>
            </w:r>
          </w:p>
          <w:p w14:paraId="54810DE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kern w:val="0"/>
                <w:sz w:val="22"/>
                <w:szCs w:val="22"/>
                <w:highlight w:val="none"/>
              </w:rPr>
            </w:pPr>
            <w:r>
              <w:rPr>
                <w:rFonts w:hint="eastAsia" w:ascii="新宋体" w:hAnsi="新宋体" w:eastAsia="新宋体" w:cs="新宋体"/>
                <w:b w:val="0"/>
                <w:bCs w:val="0"/>
                <w:color w:val="auto"/>
                <w:kern w:val="0"/>
                <w:sz w:val="22"/>
                <w:szCs w:val="22"/>
                <w:highlight w:val="none"/>
              </w:rPr>
              <w:t>1、本项目投标</w:t>
            </w:r>
            <w:r>
              <w:rPr>
                <w:rFonts w:hint="eastAsia" w:ascii="新宋体" w:hAnsi="新宋体" w:eastAsia="新宋体" w:cs="新宋体"/>
                <w:color w:val="auto"/>
                <w:sz w:val="22"/>
                <w:szCs w:val="22"/>
                <w:highlight w:val="none"/>
                <w:lang w:val="en-US" w:eastAsia="zh-CN"/>
              </w:rPr>
              <w:t>以</w:t>
            </w:r>
            <w:r>
              <w:rPr>
                <w:rFonts w:hint="eastAsia" w:ascii="新宋体" w:hAnsi="新宋体" w:eastAsia="新宋体" w:cs="新宋体"/>
                <w:color w:val="auto"/>
                <w:sz w:val="22"/>
                <w:szCs w:val="22"/>
                <w:highlight w:val="none"/>
                <w:lang w:eastAsia="zh-CN"/>
              </w:rPr>
              <w:t>《温州市公立医院医疗服务价格项目表》对应服务项目的收费标准为基准价</w:t>
            </w:r>
            <w:r>
              <w:rPr>
                <w:rFonts w:hint="eastAsia" w:ascii="新宋体" w:hAnsi="新宋体" w:eastAsia="新宋体" w:cs="新宋体"/>
                <w:b w:val="0"/>
                <w:bCs w:val="0"/>
                <w:color w:val="auto"/>
                <w:kern w:val="0"/>
                <w:sz w:val="22"/>
                <w:szCs w:val="22"/>
                <w:highlight w:val="none"/>
              </w:rPr>
              <w:t>，投标单位考虑自身综合实力与本项目风险等情况，进行投标</w:t>
            </w:r>
            <w:r>
              <w:rPr>
                <w:rFonts w:hint="eastAsia" w:ascii="新宋体" w:hAnsi="新宋体" w:eastAsia="新宋体" w:cs="新宋体"/>
                <w:b w:val="0"/>
                <w:bCs w:val="0"/>
                <w:color w:val="auto"/>
                <w:kern w:val="0"/>
                <w:sz w:val="22"/>
                <w:szCs w:val="22"/>
                <w:highlight w:val="none"/>
                <w:lang w:val="en-US" w:eastAsia="zh-CN"/>
              </w:rPr>
              <w:t>折扣</w:t>
            </w:r>
            <w:r>
              <w:rPr>
                <w:rFonts w:hint="eastAsia" w:ascii="新宋体" w:hAnsi="新宋体" w:eastAsia="新宋体" w:cs="新宋体"/>
                <w:b w:val="0"/>
                <w:bCs w:val="0"/>
                <w:color w:val="auto"/>
                <w:kern w:val="0"/>
                <w:sz w:val="22"/>
                <w:szCs w:val="22"/>
                <w:highlight w:val="none"/>
              </w:rPr>
              <w:t>率报价。报统一</w:t>
            </w:r>
            <w:r>
              <w:rPr>
                <w:rFonts w:hint="eastAsia" w:ascii="新宋体" w:hAnsi="新宋体" w:eastAsia="新宋体" w:cs="新宋体"/>
                <w:b w:val="0"/>
                <w:bCs w:val="0"/>
                <w:color w:val="auto"/>
                <w:kern w:val="0"/>
                <w:sz w:val="22"/>
                <w:szCs w:val="22"/>
                <w:highlight w:val="none"/>
                <w:lang w:val="en-US" w:eastAsia="zh-CN"/>
              </w:rPr>
              <w:t>折</w:t>
            </w:r>
            <w:r>
              <w:rPr>
                <w:rFonts w:hint="eastAsia" w:ascii="新宋体" w:hAnsi="新宋体" w:eastAsia="新宋体" w:cs="新宋体"/>
                <w:b w:val="0"/>
                <w:bCs w:val="0"/>
                <w:color w:val="auto"/>
                <w:kern w:val="0"/>
                <w:sz w:val="22"/>
                <w:szCs w:val="22"/>
                <w:highlight w:val="none"/>
              </w:rPr>
              <w:t>扣率，即投标人拟收取的费用为：收费标准×</w:t>
            </w:r>
            <w:r>
              <w:rPr>
                <w:rFonts w:hint="eastAsia" w:ascii="新宋体" w:hAnsi="新宋体" w:eastAsia="新宋体" w:cs="新宋体"/>
                <w:b w:val="0"/>
                <w:bCs w:val="0"/>
                <w:color w:val="auto"/>
                <w:kern w:val="0"/>
                <w:sz w:val="22"/>
                <w:szCs w:val="22"/>
                <w:highlight w:val="none"/>
                <w:lang w:val="en-US" w:eastAsia="zh-CN"/>
              </w:rPr>
              <w:t>折</w:t>
            </w:r>
            <w:r>
              <w:rPr>
                <w:rFonts w:hint="eastAsia" w:ascii="新宋体" w:hAnsi="新宋体" w:eastAsia="新宋体" w:cs="新宋体"/>
                <w:b w:val="0"/>
                <w:bCs w:val="0"/>
                <w:color w:val="auto"/>
                <w:kern w:val="0"/>
                <w:sz w:val="22"/>
                <w:szCs w:val="22"/>
                <w:highlight w:val="none"/>
              </w:rPr>
              <w:t>扣率。（例：如投标人报50%的</w:t>
            </w:r>
            <w:r>
              <w:rPr>
                <w:rFonts w:hint="eastAsia" w:ascii="新宋体" w:hAnsi="新宋体" w:eastAsia="新宋体" w:cs="新宋体"/>
                <w:b w:val="0"/>
                <w:bCs w:val="0"/>
                <w:color w:val="auto"/>
                <w:kern w:val="0"/>
                <w:sz w:val="22"/>
                <w:szCs w:val="22"/>
                <w:highlight w:val="none"/>
                <w:lang w:eastAsia="zh-CN"/>
              </w:rPr>
              <w:t>折扣率</w:t>
            </w:r>
            <w:r>
              <w:rPr>
                <w:rFonts w:hint="eastAsia" w:ascii="新宋体" w:hAnsi="新宋体" w:eastAsia="新宋体" w:cs="新宋体"/>
                <w:b w:val="0"/>
                <w:bCs w:val="0"/>
                <w:color w:val="auto"/>
                <w:kern w:val="0"/>
                <w:sz w:val="22"/>
                <w:szCs w:val="22"/>
                <w:highlight w:val="none"/>
              </w:rPr>
              <w:t>，法定收费标准为100元，则投标人做一例该项测试收取的费用为50元）。</w:t>
            </w:r>
            <w:r>
              <w:rPr>
                <w:rFonts w:hint="eastAsia" w:ascii="新宋体" w:hAnsi="新宋体" w:eastAsia="新宋体" w:cs="新宋体"/>
                <w:b w:val="0"/>
                <w:bCs w:val="0"/>
                <w:color w:val="auto"/>
                <w:kern w:val="0"/>
                <w:sz w:val="22"/>
                <w:szCs w:val="22"/>
                <w:highlight w:val="none"/>
                <w:lang w:val="en-US" w:eastAsia="zh-CN"/>
              </w:rPr>
              <w:t>折</w:t>
            </w:r>
            <w:r>
              <w:rPr>
                <w:rFonts w:hint="eastAsia" w:ascii="新宋体" w:hAnsi="新宋体" w:eastAsia="新宋体" w:cs="新宋体"/>
                <w:b w:val="0"/>
                <w:bCs w:val="0"/>
                <w:color w:val="auto"/>
                <w:kern w:val="0"/>
                <w:sz w:val="22"/>
                <w:szCs w:val="22"/>
                <w:highlight w:val="none"/>
              </w:rPr>
              <w:t>扣率最多保留一位小数。</w:t>
            </w:r>
          </w:p>
          <w:p w14:paraId="0E6637E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kern w:val="0"/>
                <w:sz w:val="22"/>
                <w:szCs w:val="22"/>
                <w:highlight w:val="none"/>
              </w:rPr>
            </w:pPr>
            <w:r>
              <w:rPr>
                <w:rFonts w:hint="eastAsia" w:ascii="新宋体" w:hAnsi="新宋体" w:eastAsia="新宋体" w:cs="新宋体"/>
                <w:b w:val="0"/>
                <w:bCs w:val="0"/>
                <w:color w:val="auto"/>
                <w:kern w:val="0"/>
                <w:sz w:val="22"/>
                <w:szCs w:val="22"/>
                <w:highlight w:val="none"/>
              </w:rPr>
              <w:t>2、如遇政策性收费价格下调，外送检验价格按下调后医院收费价格与中标</w:t>
            </w:r>
            <w:r>
              <w:rPr>
                <w:rFonts w:hint="eastAsia" w:ascii="新宋体" w:hAnsi="新宋体" w:eastAsia="新宋体" w:cs="新宋体"/>
                <w:b w:val="0"/>
                <w:bCs w:val="0"/>
                <w:color w:val="auto"/>
                <w:kern w:val="0"/>
                <w:sz w:val="22"/>
                <w:szCs w:val="22"/>
                <w:highlight w:val="none"/>
                <w:lang w:eastAsia="zh-CN"/>
              </w:rPr>
              <w:t>折扣率</w:t>
            </w:r>
            <w:r>
              <w:rPr>
                <w:rFonts w:hint="eastAsia" w:ascii="新宋体" w:hAnsi="新宋体" w:eastAsia="新宋体" w:cs="新宋体"/>
                <w:b w:val="0"/>
                <w:bCs w:val="0"/>
                <w:color w:val="auto"/>
                <w:kern w:val="0"/>
                <w:sz w:val="22"/>
                <w:szCs w:val="22"/>
                <w:highlight w:val="none"/>
              </w:rPr>
              <w:t>的乘积计算。如遇政策性收费价格上调，外送检验价格不做调整。</w:t>
            </w:r>
          </w:p>
          <w:p w14:paraId="715D9D4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kern w:val="0"/>
                <w:sz w:val="22"/>
                <w:szCs w:val="22"/>
                <w:highlight w:val="none"/>
              </w:rPr>
            </w:pPr>
            <w:r>
              <w:rPr>
                <w:rFonts w:hint="eastAsia" w:ascii="新宋体" w:hAnsi="新宋体" w:eastAsia="新宋体" w:cs="新宋体"/>
                <w:b w:val="0"/>
                <w:bCs w:val="0"/>
                <w:color w:val="auto"/>
                <w:kern w:val="0"/>
                <w:sz w:val="22"/>
                <w:szCs w:val="22"/>
                <w:highlight w:val="none"/>
              </w:rPr>
              <w:t>3、投标人的投标报价（</w:t>
            </w:r>
            <w:r>
              <w:rPr>
                <w:rFonts w:hint="eastAsia" w:ascii="新宋体" w:hAnsi="新宋体" w:eastAsia="新宋体" w:cs="新宋体"/>
                <w:b w:val="0"/>
                <w:bCs w:val="0"/>
                <w:color w:val="auto"/>
                <w:kern w:val="0"/>
                <w:sz w:val="22"/>
                <w:szCs w:val="22"/>
                <w:highlight w:val="none"/>
                <w:lang w:val="en-US" w:eastAsia="zh-CN"/>
              </w:rPr>
              <w:t>折</w:t>
            </w:r>
            <w:r>
              <w:rPr>
                <w:rFonts w:hint="eastAsia" w:ascii="新宋体" w:hAnsi="新宋体" w:eastAsia="新宋体" w:cs="新宋体"/>
                <w:b w:val="0"/>
                <w:bCs w:val="0"/>
                <w:color w:val="auto"/>
                <w:kern w:val="0"/>
                <w:sz w:val="22"/>
                <w:szCs w:val="22"/>
                <w:highlight w:val="none"/>
              </w:rPr>
              <w:t>扣率）上限为</w:t>
            </w:r>
            <w:r>
              <w:rPr>
                <w:rFonts w:hint="eastAsia" w:ascii="新宋体" w:hAnsi="新宋体" w:eastAsia="新宋体" w:cs="新宋体"/>
                <w:b w:val="0"/>
                <w:bCs w:val="0"/>
                <w:color w:val="auto"/>
                <w:kern w:val="0"/>
                <w:sz w:val="22"/>
                <w:szCs w:val="22"/>
                <w:highlight w:val="none"/>
                <w:lang w:val="en-US" w:eastAsia="zh-CN"/>
              </w:rPr>
              <w:t>5</w:t>
            </w:r>
            <w:r>
              <w:rPr>
                <w:rFonts w:hint="eastAsia" w:ascii="新宋体" w:hAnsi="新宋体" w:eastAsia="新宋体" w:cs="新宋体"/>
                <w:b w:val="0"/>
                <w:bCs w:val="0"/>
                <w:color w:val="auto"/>
                <w:kern w:val="0"/>
                <w:sz w:val="22"/>
                <w:szCs w:val="22"/>
                <w:highlight w:val="none"/>
              </w:rPr>
              <w:t>0%，超出上限</w:t>
            </w:r>
            <w:r>
              <w:rPr>
                <w:rFonts w:hint="eastAsia" w:ascii="新宋体" w:hAnsi="新宋体" w:eastAsia="新宋体" w:cs="新宋体"/>
                <w:b w:val="0"/>
                <w:bCs w:val="0"/>
                <w:color w:val="auto"/>
                <w:kern w:val="0"/>
                <w:sz w:val="22"/>
                <w:szCs w:val="22"/>
                <w:highlight w:val="none"/>
                <w:lang w:eastAsia="zh-CN"/>
              </w:rPr>
              <w:t>折扣率</w:t>
            </w:r>
            <w:r>
              <w:rPr>
                <w:rFonts w:hint="eastAsia" w:ascii="新宋体" w:hAnsi="新宋体" w:eastAsia="新宋体" w:cs="新宋体"/>
                <w:b w:val="0"/>
                <w:bCs w:val="0"/>
                <w:color w:val="auto"/>
                <w:kern w:val="0"/>
                <w:sz w:val="22"/>
                <w:szCs w:val="22"/>
                <w:highlight w:val="none"/>
              </w:rPr>
              <w:t>按无效处理。</w:t>
            </w:r>
          </w:p>
        </w:tc>
      </w:tr>
      <w:tr w14:paraId="77947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3" w:type="dxa"/>
            <w:tcBorders>
              <w:tl2br w:val="nil"/>
              <w:tr2bl w:val="nil"/>
            </w:tcBorders>
            <w:noWrap/>
            <w:vAlign w:val="center"/>
          </w:tcPr>
          <w:p w14:paraId="089A0DA6">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8740" w:type="dxa"/>
            <w:tcBorders>
              <w:tl2br w:val="nil"/>
              <w:tr2bl w:val="nil"/>
            </w:tcBorders>
            <w:noWrap/>
            <w:vAlign w:val="top"/>
          </w:tcPr>
          <w:p w14:paraId="330CCE4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付款方式：每季度结算一次，业务量的结算以结算周期内项目检测清单或外送标本登记的签收记录为准，按中标的投标报价（折扣率）与业务量及收费标准的乘积作为该季度外送检验费用。每个季度结束后的次月首日起 10个工作日内完成前一季度结算和付款。</w:t>
            </w:r>
          </w:p>
        </w:tc>
      </w:tr>
      <w:tr w14:paraId="41E8E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953" w:type="dxa"/>
            <w:tcBorders>
              <w:tl2br w:val="nil"/>
              <w:tr2bl w:val="nil"/>
            </w:tcBorders>
            <w:noWrap/>
            <w:vAlign w:val="center"/>
          </w:tcPr>
          <w:p w14:paraId="4F2D6B58">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w:t>
            </w:r>
          </w:p>
        </w:tc>
        <w:tc>
          <w:tcPr>
            <w:tcW w:w="8740" w:type="dxa"/>
            <w:tcBorders>
              <w:tl2br w:val="nil"/>
              <w:tr2bl w:val="nil"/>
            </w:tcBorders>
            <w:noWrap/>
            <w:vAlign w:val="top"/>
          </w:tcPr>
          <w:p w14:paraId="1F4F3F8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保密：招投标及合同中凡涉及买方项目的有关信息，不得透露给第三方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kern w:val="0"/>
                <w:sz w:val="22"/>
                <w:szCs w:val="22"/>
                <w:highlight w:val="none"/>
              </w:rPr>
              <w:t>如有传染病阳性的报告，应负责及时报告给送检单位。</w:t>
            </w:r>
          </w:p>
        </w:tc>
      </w:tr>
      <w:tr w14:paraId="0D613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53" w:type="dxa"/>
            <w:tcBorders>
              <w:tl2br w:val="nil"/>
              <w:tr2bl w:val="nil"/>
            </w:tcBorders>
            <w:noWrap/>
            <w:vAlign w:val="center"/>
          </w:tcPr>
          <w:p w14:paraId="27BD4730">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7</w:t>
            </w:r>
          </w:p>
        </w:tc>
        <w:tc>
          <w:tcPr>
            <w:tcW w:w="8740" w:type="dxa"/>
            <w:tcBorders>
              <w:tl2br w:val="nil"/>
              <w:tr2bl w:val="nil"/>
            </w:tcBorders>
            <w:noWrap/>
            <w:vAlign w:val="top"/>
          </w:tcPr>
          <w:p w14:paraId="2A8DCC8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如投标人因各种规范性问题被行政监督部门惩罚，所产生的一切后果及损失，由投标人承担，对招标人造成的影响及损失，投标人需进行相应的赔偿。</w:t>
            </w:r>
          </w:p>
        </w:tc>
      </w:tr>
      <w:tr w14:paraId="7FC53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953" w:type="dxa"/>
            <w:tcBorders>
              <w:tl2br w:val="nil"/>
              <w:tr2bl w:val="nil"/>
            </w:tcBorders>
            <w:noWrap/>
            <w:vAlign w:val="center"/>
          </w:tcPr>
          <w:p w14:paraId="0B60FBEB">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8</w:t>
            </w:r>
          </w:p>
        </w:tc>
        <w:tc>
          <w:tcPr>
            <w:tcW w:w="8740" w:type="dxa"/>
            <w:tcBorders>
              <w:tl2br w:val="nil"/>
              <w:tr2bl w:val="nil"/>
            </w:tcBorders>
            <w:noWrap/>
            <w:vAlign w:val="top"/>
          </w:tcPr>
          <w:p w14:paraId="5ED94BE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未经采购人书面许可，投标人不得将所产生实验数据用于科研项目、论文等研究工作，否则将承担由此造成的一切损失。</w:t>
            </w:r>
          </w:p>
        </w:tc>
      </w:tr>
      <w:tr w14:paraId="07944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3" w:type="dxa"/>
            <w:tcBorders>
              <w:tl2br w:val="nil"/>
              <w:tr2bl w:val="nil"/>
            </w:tcBorders>
            <w:noWrap/>
            <w:vAlign w:val="center"/>
          </w:tcPr>
          <w:p w14:paraId="5BBBCDC7">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9</w:t>
            </w:r>
          </w:p>
        </w:tc>
        <w:tc>
          <w:tcPr>
            <w:tcW w:w="8740" w:type="dxa"/>
            <w:tcBorders>
              <w:tl2br w:val="nil"/>
              <w:tr2bl w:val="nil"/>
            </w:tcBorders>
            <w:noWrap/>
            <w:vAlign w:val="top"/>
          </w:tcPr>
          <w:p w14:paraId="30C7C2B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中标人合同签订后不得对医院订货数量提出任何要求。</w:t>
            </w:r>
          </w:p>
        </w:tc>
      </w:tr>
    </w:tbl>
    <w:p w14:paraId="2905C774">
      <w:pPr>
        <w:keepNext w:val="0"/>
        <w:keepLines w:val="0"/>
        <w:pageBreakBefore w:val="0"/>
        <w:kinsoku/>
        <w:wordWrap/>
        <w:overflowPunct/>
        <w:topLinePunct w:val="0"/>
        <w:autoSpaceDE/>
        <w:autoSpaceDN/>
        <w:bidi w:val="0"/>
        <w:adjustRightInd/>
        <w:snapToGrid/>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三、委托外送检验物价明细表</w:t>
      </w:r>
    </w:p>
    <w:tbl>
      <w:tblPr>
        <w:tblStyle w:val="53"/>
        <w:tblW w:w="9641"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5673"/>
        <w:gridCol w:w="1118"/>
        <w:gridCol w:w="2073"/>
      </w:tblGrid>
      <w:tr w14:paraId="62E47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301CCD5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序号</w:t>
            </w:r>
          </w:p>
        </w:tc>
        <w:tc>
          <w:tcPr>
            <w:tcW w:w="5673" w:type="dxa"/>
            <w:noWrap/>
            <w:vAlign w:val="center"/>
          </w:tcPr>
          <w:p w14:paraId="518BAAC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测试名称</w:t>
            </w:r>
          </w:p>
        </w:tc>
        <w:tc>
          <w:tcPr>
            <w:tcW w:w="1118" w:type="dxa"/>
            <w:noWrap/>
            <w:vAlign w:val="center"/>
          </w:tcPr>
          <w:p w14:paraId="61CB10F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i w:val="0"/>
                <w:iCs w:val="0"/>
                <w:color w:val="auto"/>
                <w:kern w:val="0"/>
                <w:sz w:val="22"/>
                <w:szCs w:val="22"/>
                <w:highlight w:val="none"/>
                <w:u w:val="none"/>
                <w:lang w:val="en-US" w:eastAsia="zh-CN" w:bidi="ar"/>
              </w:rPr>
            </w:pPr>
            <w:r>
              <w:rPr>
                <w:rFonts w:hint="eastAsia" w:ascii="新宋体" w:hAnsi="新宋体" w:eastAsia="新宋体" w:cs="新宋体"/>
                <w:color w:val="auto"/>
                <w:sz w:val="22"/>
                <w:szCs w:val="22"/>
                <w:highlight w:val="none"/>
              </w:rPr>
              <w:t>计价单位</w:t>
            </w:r>
          </w:p>
        </w:tc>
        <w:tc>
          <w:tcPr>
            <w:tcW w:w="2073" w:type="dxa"/>
            <w:noWrap/>
            <w:vAlign w:val="center"/>
          </w:tcPr>
          <w:p w14:paraId="0E90C6F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i w:val="0"/>
                <w:iCs w:val="0"/>
                <w:color w:val="auto"/>
                <w:kern w:val="0"/>
                <w:sz w:val="22"/>
                <w:szCs w:val="22"/>
                <w:highlight w:val="none"/>
                <w:u w:val="none"/>
                <w:lang w:val="en-US" w:eastAsia="zh-CN" w:bidi="ar"/>
              </w:rPr>
            </w:pPr>
            <w:r>
              <w:rPr>
                <w:rFonts w:hint="eastAsia" w:ascii="新宋体" w:hAnsi="新宋体" w:eastAsia="新宋体" w:cs="新宋体"/>
                <w:color w:val="auto"/>
                <w:sz w:val="22"/>
                <w:szCs w:val="22"/>
                <w:highlight w:val="none"/>
              </w:rPr>
              <w:t>项目收费参考价格（元）</w:t>
            </w:r>
          </w:p>
        </w:tc>
      </w:tr>
      <w:tr w14:paraId="3C76E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5954267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1</w:t>
            </w:r>
          </w:p>
        </w:tc>
        <w:tc>
          <w:tcPr>
            <w:tcW w:w="5673" w:type="dxa"/>
            <w:noWrap/>
            <w:vAlign w:val="center"/>
          </w:tcPr>
          <w:p w14:paraId="606EF7E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游离前列腺特异性抗原测定(FPSA)</w:t>
            </w:r>
          </w:p>
        </w:tc>
        <w:tc>
          <w:tcPr>
            <w:tcW w:w="3191" w:type="dxa"/>
            <w:gridSpan w:val="2"/>
            <w:vMerge w:val="restart"/>
            <w:noWrap/>
            <w:vAlign w:val="center"/>
          </w:tcPr>
          <w:p w14:paraId="4106576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kern w:val="0"/>
                <w:sz w:val="22"/>
                <w:szCs w:val="22"/>
                <w:highlight w:val="none"/>
                <w:u w:val="none"/>
                <w:lang w:val="en-US" w:eastAsia="zh-CN" w:bidi="ar"/>
              </w:rPr>
            </w:pPr>
            <w:r>
              <w:rPr>
                <w:rFonts w:hint="eastAsia" w:ascii="新宋体" w:hAnsi="新宋体" w:eastAsia="新宋体" w:cs="新宋体"/>
                <w:color w:val="auto"/>
                <w:sz w:val="22"/>
                <w:szCs w:val="22"/>
                <w:highlight w:val="none"/>
                <w:lang w:val="en-US" w:eastAsia="zh-CN"/>
              </w:rPr>
              <w:t>以</w:t>
            </w:r>
            <w:r>
              <w:rPr>
                <w:rFonts w:hint="eastAsia" w:ascii="新宋体" w:hAnsi="新宋体" w:eastAsia="新宋体" w:cs="新宋体"/>
                <w:color w:val="auto"/>
                <w:sz w:val="22"/>
                <w:szCs w:val="22"/>
                <w:highlight w:val="none"/>
                <w:lang w:eastAsia="zh-CN"/>
              </w:rPr>
              <w:t>《温州市公立医院医疗服务价格项目表》对应服务项目的收费标准为基准价</w:t>
            </w:r>
          </w:p>
        </w:tc>
      </w:tr>
      <w:tr w14:paraId="35003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5C4429E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2</w:t>
            </w:r>
          </w:p>
        </w:tc>
        <w:tc>
          <w:tcPr>
            <w:tcW w:w="5673" w:type="dxa"/>
            <w:noWrap/>
            <w:vAlign w:val="center"/>
          </w:tcPr>
          <w:p w14:paraId="070196C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总前列腺特异性抗原测定（TPSA)</w:t>
            </w:r>
          </w:p>
        </w:tc>
        <w:tc>
          <w:tcPr>
            <w:tcW w:w="3191" w:type="dxa"/>
            <w:gridSpan w:val="2"/>
            <w:vMerge w:val="continue"/>
            <w:noWrap/>
            <w:vAlign w:val="center"/>
          </w:tcPr>
          <w:p w14:paraId="3A37FF7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3E567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608E2E7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3</w:t>
            </w:r>
          </w:p>
        </w:tc>
        <w:tc>
          <w:tcPr>
            <w:tcW w:w="5673" w:type="dxa"/>
            <w:noWrap/>
            <w:vAlign w:val="center"/>
          </w:tcPr>
          <w:p w14:paraId="06F442C7">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血绒毛膜促性腺激素（血HCG)</w:t>
            </w:r>
          </w:p>
        </w:tc>
        <w:tc>
          <w:tcPr>
            <w:tcW w:w="3191" w:type="dxa"/>
            <w:gridSpan w:val="2"/>
            <w:vMerge w:val="continue"/>
            <w:noWrap/>
            <w:vAlign w:val="center"/>
          </w:tcPr>
          <w:p w14:paraId="60344C7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71EE9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016B60C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4</w:t>
            </w:r>
          </w:p>
        </w:tc>
        <w:tc>
          <w:tcPr>
            <w:tcW w:w="5673" w:type="dxa"/>
            <w:noWrap/>
            <w:vAlign w:val="center"/>
          </w:tcPr>
          <w:p w14:paraId="688F9EA6">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 xml:space="preserve">神经元特异性烯醇化酶（NSE）  </w:t>
            </w:r>
          </w:p>
        </w:tc>
        <w:tc>
          <w:tcPr>
            <w:tcW w:w="3191" w:type="dxa"/>
            <w:gridSpan w:val="2"/>
            <w:vMerge w:val="continue"/>
            <w:noWrap/>
            <w:vAlign w:val="center"/>
          </w:tcPr>
          <w:p w14:paraId="45C39FB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31416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3F09EBF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5</w:t>
            </w:r>
          </w:p>
        </w:tc>
        <w:tc>
          <w:tcPr>
            <w:tcW w:w="5673" w:type="dxa"/>
            <w:noWrap/>
            <w:vAlign w:val="center"/>
          </w:tcPr>
          <w:p w14:paraId="4DCA403E">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细胞角蛋白19片段测定(CYFRA21-1)</w:t>
            </w:r>
          </w:p>
        </w:tc>
        <w:tc>
          <w:tcPr>
            <w:tcW w:w="3191" w:type="dxa"/>
            <w:gridSpan w:val="2"/>
            <w:vMerge w:val="continue"/>
            <w:noWrap/>
            <w:vAlign w:val="center"/>
          </w:tcPr>
          <w:p w14:paraId="1FB7160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1782D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7A03E4F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6</w:t>
            </w:r>
          </w:p>
        </w:tc>
        <w:tc>
          <w:tcPr>
            <w:tcW w:w="5673" w:type="dxa"/>
            <w:noWrap/>
            <w:vAlign w:val="center"/>
          </w:tcPr>
          <w:p w14:paraId="3888D07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糖类抗原CA72-4测定</w:t>
            </w:r>
          </w:p>
        </w:tc>
        <w:tc>
          <w:tcPr>
            <w:tcW w:w="3191" w:type="dxa"/>
            <w:gridSpan w:val="2"/>
            <w:vMerge w:val="continue"/>
            <w:noWrap/>
            <w:vAlign w:val="center"/>
          </w:tcPr>
          <w:p w14:paraId="0F33E30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36482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2F0C41D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7</w:t>
            </w:r>
          </w:p>
        </w:tc>
        <w:tc>
          <w:tcPr>
            <w:tcW w:w="5673" w:type="dxa"/>
            <w:noWrap/>
            <w:vAlign w:val="center"/>
          </w:tcPr>
          <w:p w14:paraId="7AAA8427">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胃功能三项（PG-Ⅰ,PG-Ⅱ,GP-17,PG-Ⅰ/PG-Ⅱ)</w:t>
            </w:r>
          </w:p>
        </w:tc>
        <w:tc>
          <w:tcPr>
            <w:tcW w:w="3191" w:type="dxa"/>
            <w:gridSpan w:val="2"/>
            <w:vMerge w:val="continue"/>
            <w:noWrap/>
            <w:vAlign w:val="center"/>
          </w:tcPr>
          <w:p w14:paraId="673619F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16E59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1E2F619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8</w:t>
            </w:r>
          </w:p>
        </w:tc>
        <w:tc>
          <w:tcPr>
            <w:tcW w:w="5673" w:type="dxa"/>
            <w:noWrap/>
            <w:vAlign w:val="center"/>
          </w:tcPr>
          <w:p w14:paraId="2FEFBDE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血清C肽测定(C-P)</w:t>
            </w:r>
          </w:p>
        </w:tc>
        <w:tc>
          <w:tcPr>
            <w:tcW w:w="3191" w:type="dxa"/>
            <w:gridSpan w:val="2"/>
            <w:vMerge w:val="continue"/>
            <w:noWrap/>
            <w:vAlign w:val="center"/>
          </w:tcPr>
          <w:p w14:paraId="792C87E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32837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29818F6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9</w:t>
            </w:r>
          </w:p>
        </w:tc>
        <w:tc>
          <w:tcPr>
            <w:tcW w:w="5673" w:type="dxa"/>
            <w:noWrap/>
            <w:vAlign w:val="center"/>
          </w:tcPr>
          <w:p w14:paraId="0D4DC717">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血清胰岛素(INS)</w:t>
            </w:r>
          </w:p>
        </w:tc>
        <w:tc>
          <w:tcPr>
            <w:tcW w:w="3191" w:type="dxa"/>
            <w:gridSpan w:val="2"/>
            <w:vMerge w:val="continue"/>
            <w:noWrap/>
            <w:vAlign w:val="center"/>
          </w:tcPr>
          <w:p w14:paraId="612128D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2BB58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778C20E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10</w:t>
            </w:r>
          </w:p>
        </w:tc>
        <w:tc>
          <w:tcPr>
            <w:tcW w:w="5673" w:type="dxa"/>
            <w:noWrap/>
            <w:vAlign w:val="center"/>
          </w:tcPr>
          <w:p w14:paraId="462A3D4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果糖胺</w:t>
            </w:r>
          </w:p>
        </w:tc>
        <w:tc>
          <w:tcPr>
            <w:tcW w:w="3191" w:type="dxa"/>
            <w:gridSpan w:val="2"/>
            <w:vMerge w:val="continue"/>
            <w:noWrap/>
            <w:vAlign w:val="center"/>
          </w:tcPr>
          <w:p w14:paraId="4746674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001FF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03CED8A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11</w:t>
            </w:r>
          </w:p>
        </w:tc>
        <w:tc>
          <w:tcPr>
            <w:tcW w:w="5673" w:type="dxa"/>
            <w:noWrap/>
            <w:vAlign w:val="center"/>
          </w:tcPr>
          <w:p w14:paraId="1A307C2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糖化白蛋白三项（糖化白蛋白、白蛋白、计算值）</w:t>
            </w:r>
          </w:p>
        </w:tc>
        <w:tc>
          <w:tcPr>
            <w:tcW w:w="3191" w:type="dxa"/>
            <w:gridSpan w:val="2"/>
            <w:vMerge w:val="continue"/>
            <w:noWrap/>
            <w:vAlign w:val="center"/>
          </w:tcPr>
          <w:p w14:paraId="3A24C69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159E8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1D4220B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12</w:t>
            </w:r>
          </w:p>
        </w:tc>
        <w:tc>
          <w:tcPr>
            <w:tcW w:w="5673" w:type="dxa"/>
            <w:noWrap/>
            <w:vAlign w:val="center"/>
          </w:tcPr>
          <w:p w14:paraId="2532A44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血清生长激素(GH)</w:t>
            </w:r>
          </w:p>
        </w:tc>
        <w:tc>
          <w:tcPr>
            <w:tcW w:w="3191" w:type="dxa"/>
            <w:gridSpan w:val="2"/>
            <w:vMerge w:val="continue"/>
            <w:noWrap/>
            <w:vAlign w:val="center"/>
          </w:tcPr>
          <w:p w14:paraId="20B3AAD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68E88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01FAB06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13</w:t>
            </w:r>
          </w:p>
        </w:tc>
        <w:tc>
          <w:tcPr>
            <w:tcW w:w="5673" w:type="dxa"/>
            <w:noWrap/>
            <w:vAlign w:val="center"/>
          </w:tcPr>
          <w:p w14:paraId="4B5F5FF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类胰岛素样生长因子-1（IGF-1)</w:t>
            </w:r>
          </w:p>
        </w:tc>
        <w:tc>
          <w:tcPr>
            <w:tcW w:w="3191" w:type="dxa"/>
            <w:gridSpan w:val="2"/>
            <w:vMerge w:val="continue"/>
            <w:noWrap/>
            <w:vAlign w:val="center"/>
          </w:tcPr>
          <w:p w14:paraId="775FB7D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09080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2AE168E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14</w:t>
            </w:r>
          </w:p>
        </w:tc>
        <w:tc>
          <w:tcPr>
            <w:tcW w:w="5673" w:type="dxa"/>
            <w:noWrap/>
            <w:vAlign w:val="center"/>
          </w:tcPr>
          <w:p w14:paraId="4FDBB4A7">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类胰岛素样生长因子结合蛋白-3测定</w:t>
            </w:r>
          </w:p>
        </w:tc>
        <w:tc>
          <w:tcPr>
            <w:tcW w:w="3191" w:type="dxa"/>
            <w:gridSpan w:val="2"/>
            <w:vMerge w:val="continue"/>
            <w:noWrap/>
            <w:vAlign w:val="center"/>
          </w:tcPr>
          <w:p w14:paraId="33C5777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57BD8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569DAE0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15</w:t>
            </w:r>
          </w:p>
        </w:tc>
        <w:tc>
          <w:tcPr>
            <w:tcW w:w="5673" w:type="dxa"/>
            <w:noWrap/>
            <w:vAlign w:val="center"/>
          </w:tcPr>
          <w:p w14:paraId="250B9B0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促肾上腺皮质激素(ACTH)</w:t>
            </w:r>
          </w:p>
        </w:tc>
        <w:tc>
          <w:tcPr>
            <w:tcW w:w="3191" w:type="dxa"/>
            <w:gridSpan w:val="2"/>
            <w:vMerge w:val="continue"/>
            <w:noWrap/>
            <w:vAlign w:val="center"/>
          </w:tcPr>
          <w:p w14:paraId="1508CBD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3946F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571CD44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16</w:t>
            </w:r>
          </w:p>
        </w:tc>
        <w:tc>
          <w:tcPr>
            <w:tcW w:w="5673" w:type="dxa"/>
            <w:noWrap/>
            <w:vAlign w:val="center"/>
          </w:tcPr>
          <w:p w14:paraId="7E76CB3E">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血皮质醇</w:t>
            </w:r>
          </w:p>
        </w:tc>
        <w:tc>
          <w:tcPr>
            <w:tcW w:w="3191" w:type="dxa"/>
            <w:gridSpan w:val="2"/>
            <w:vMerge w:val="continue"/>
            <w:noWrap/>
            <w:vAlign w:val="center"/>
          </w:tcPr>
          <w:p w14:paraId="238B601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5F18A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0BAF6D8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17</w:t>
            </w:r>
          </w:p>
        </w:tc>
        <w:tc>
          <w:tcPr>
            <w:tcW w:w="5673" w:type="dxa"/>
            <w:noWrap/>
            <w:vAlign w:val="center"/>
          </w:tcPr>
          <w:p w14:paraId="32D5E07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降钙素(CT)</w:t>
            </w:r>
          </w:p>
        </w:tc>
        <w:tc>
          <w:tcPr>
            <w:tcW w:w="3191" w:type="dxa"/>
            <w:gridSpan w:val="2"/>
            <w:vMerge w:val="continue"/>
            <w:noWrap/>
            <w:vAlign w:val="center"/>
          </w:tcPr>
          <w:p w14:paraId="6747726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464F0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4F1F26A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18</w:t>
            </w:r>
          </w:p>
        </w:tc>
        <w:tc>
          <w:tcPr>
            <w:tcW w:w="5673" w:type="dxa"/>
            <w:noWrap/>
            <w:vAlign w:val="center"/>
          </w:tcPr>
          <w:p w14:paraId="6A8AA8C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甲状腺球蛋白（TG）</w:t>
            </w:r>
          </w:p>
        </w:tc>
        <w:tc>
          <w:tcPr>
            <w:tcW w:w="3191" w:type="dxa"/>
            <w:gridSpan w:val="2"/>
            <w:vMerge w:val="continue"/>
            <w:noWrap/>
            <w:vAlign w:val="center"/>
          </w:tcPr>
          <w:p w14:paraId="04A5119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77FEA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36460ED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19</w:t>
            </w:r>
          </w:p>
        </w:tc>
        <w:tc>
          <w:tcPr>
            <w:tcW w:w="5673" w:type="dxa"/>
            <w:noWrap/>
            <w:vAlign w:val="center"/>
          </w:tcPr>
          <w:p w14:paraId="57D81262">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促甲状腺激素受体抗体（TRAb）</w:t>
            </w:r>
          </w:p>
        </w:tc>
        <w:tc>
          <w:tcPr>
            <w:tcW w:w="3191" w:type="dxa"/>
            <w:gridSpan w:val="2"/>
            <w:vMerge w:val="continue"/>
            <w:noWrap/>
            <w:vAlign w:val="center"/>
          </w:tcPr>
          <w:p w14:paraId="41AE7FF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41F28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762AA71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20</w:t>
            </w:r>
          </w:p>
        </w:tc>
        <w:tc>
          <w:tcPr>
            <w:tcW w:w="5673" w:type="dxa"/>
            <w:noWrap/>
            <w:vAlign w:val="center"/>
          </w:tcPr>
          <w:p w14:paraId="4D20E9E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反T3 (RT3）</w:t>
            </w:r>
          </w:p>
        </w:tc>
        <w:tc>
          <w:tcPr>
            <w:tcW w:w="3191" w:type="dxa"/>
            <w:gridSpan w:val="2"/>
            <w:vMerge w:val="continue"/>
            <w:noWrap/>
            <w:vAlign w:val="center"/>
          </w:tcPr>
          <w:p w14:paraId="51F098D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3691D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65F5B98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21</w:t>
            </w:r>
          </w:p>
        </w:tc>
        <w:tc>
          <w:tcPr>
            <w:tcW w:w="5673" w:type="dxa"/>
            <w:noWrap/>
            <w:vAlign w:val="center"/>
          </w:tcPr>
          <w:p w14:paraId="66CA05A6">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25羟维生素D</w:t>
            </w:r>
          </w:p>
        </w:tc>
        <w:tc>
          <w:tcPr>
            <w:tcW w:w="3191" w:type="dxa"/>
            <w:gridSpan w:val="2"/>
            <w:vMerge w:val="continue"/>
            <w:noWrap/>
            <w:vAlign w:val="center"/>
          </w:tcPr>
          <w:p w14:paraId="6F1D373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76C67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6823C23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22</w:t>
            </w:r>
          </w:p>
        </w:tc>
        <w:tc>
          <w:tcPr>
            <w:tcW w:w="5673" w:type="dxa"/>
            <w:noWrap/>
            <w:vAlign w:val="center"/>
          </w:tcPr>
          <w:p w14:paraId="2026671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骨钙素(OST)</w:t>
            </w:r>
          </w:p>
        </w:tc>
        <w:tc>
          <w:tcPr>
            <w:tcW w:w="3191" w:type="dxa"/>
            <w:gridSpan w:val="2"/>
            <w:vMerge w:val="continue"/>
            <w:noWrap/>
            <w:vAlign w:val="center"/>
          </w:tcPr>
          <w:p w14:paraId="57D3A46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1AA43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198C416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23</w:t>
            </w:r>
          </w:p>
        </w:tc>
        <w:tc>
          <w:tcPr>
            <w:tcW w:w="5673" w:type="dxa"/>
            <w:noWrap/>
            <w:vAlign w:val="center"/>
          </w:tcPr>
          <w:p w14:paraId="7A655C92">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甲状旁腺激素测定</w:t>
            </w:r>
          </w:p>
        </w:tc>
        <w:tc>
          <w:tcPr>
            <w:tcW w:w="3191" w:type="dxa"/>
            <w:gridSpan w:val="2"/>
            <w:vMerge w:val="continue"/>
            <w:noWrap/>
            <w:vAlign w:val="center"/>
          </w:tcPr>
          <w:p w14:paraId="7EC5C89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19FF2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2986849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24</w:t>
            </w:r>
          </w:p>
        </w:tc>
        <w:tc>
          <w:tcPr>
            <w:tcW w:w="5673" w:type="dxa"/>
            <w:noWrap/>
            <w:vAlign w:val="center"/>
          </w:tcPr>
          <w:p w14:paraId="6525F2B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总Ⅰ型胶原氨基端延长肽(P1NP)</w:t>
            </w:r>
          </w:p>
        </w:tc>
        <w:tc>
          <w:tcPr>
            <w:tcW w:w="3191" w:type="dxa"/>
            <w:gridSpan w:val="2"/>
            <w:vMerge w:val="continue"/>
            <w:noWrap/>
            <w:vAlign w:val="center"/>
          </w:tcPr>
          <w:p w14:paraId="11F8959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48F95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3A4D8B0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25</w:t>
            </w:r>
          </w:p>
        </w:tc>
        <w:tc>
          <w:tcPr>
            <w:tcW w:w="5673" w:type="dxa"/>
            <w:noWrap/>
            <w:vAlign w:val="center"/>
          </w:tcPr>
          <w:p w14:paraId="32B4F5A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β－胶原降解产物测定（β－CTX）</w:t>
            </w:r>
          </w:p>
        </w:tc>
        <w:tc>
          <w:tcPr>
            <w:tcW w:w="3191" w:type="dxa"/>
            <w:gridSpan w:val="2"/>
            <w:vMerge w:val="continue"/>
            <w:noWrap/>
            <w:vAlign w:val="center"/>
          </w:tcPr>
          <w:p w14:paraId="085B608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5214D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71462FD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26</w:t>
            </w:r>
          </w:p>
        </w:tc>
        <w:tc>
          <w:tcPr>
            <w:tcW w:w="5673" w:type="dxa"/>
            <w:noWrap/>
            <w:vAlign w:val="center"/>
          </w:tcPr>
          <w:p w14:paraId="4D77F97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醛固酮ALD</w:t>
            </w:r>
          </w:p>
        </w:tc>
        <w:tc>
          <w:tcPr>
            <w:tcW w:w="3191" w:type="dxa"/>
            <w:gridSpan w:val="2"/>
            <w:vMerge w:val="continue"/>
            <w:noWrap/>
            <w:vAlign w:val="center"/>
          </w:tcPr>
          <w:p w14:paraId="5EEDA54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38206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01C2149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27</w:t>
            </w:r>
          </w:p>
        </w:tc>
        <w:tc>
          <w:tcPr>
            <w:tcW w:w="5673" w:type="dxa"/>
            <w:noWrap/>
            <w:vAlign w:val="center"/>
          </w:tcPr>
          <w:p w14:paraId="7321670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血浆肾素活性测定</w:t>
            </w:r>
          </w:p>
        </w:tc>
        <w:tc>
          <w:tcPr>
            <w:tcW w:w="3191" w:type="dxa"/>
            <w:gridSpan w:val="2"/>
            <w:vMerge w:val="continue"/>
            <w:noWrap/>
            <w:vAlign w:val="center"/>
          </w:tcPr>
          <w:p w14:paraId="36D18B4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07A13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1C7C420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28</w:t>
            </w:r>
          </w:p>
        </w:tc>
        <w:tc>
          <w:tcPr>
            <w:tcW w:w="5673" w:type="dxa"/>
            <w:noWrap/>
            <w:vAlign w:val="center"/>
          </w:tcPr>
          <w:p w14:paraId="7A12DA3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血管紧张素Ⅰ测定</w:t>
            </w:r>
          </w:p>
        </w:tc>
        <w:tc>
          <w:tcPr>
            <w:tcW w:w="3191" w:type="dxa"/>
            <w:gridSpan w:val="2"/>
            <w:vMerge w:val="continue"/>
            <w:noWrap/>
            <w:vAlign w:val="center"/>
          </w:tcPr>
          <w:p w14:paraId="1651C3B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51E43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52556BD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29</w:t>
            </w:r>
          </w:p>
        </w:tc>
        <w:tc>
          <w:tcPr>
            <w:tcW w:w="5673" w:type="dxa"/>
            <w:noWrap/>
            <w:vAlign w:val="center"/>
          </w:tcPr>
          <w:p w14:paraId="6FC1A4A7">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血管紧张素Ⅱ测定</w:t>
            </w:r>
          </w:p>
        </w:tc>
        <w:tc>
          <w:tcPr>
            <w:tcW w:w="3191" w:type="dxa"/>
            <w:gridSpan w:val="2"/>
            <w:vMerge w:val="continue"/>
            <w:noWrap/>
            <w:vAlign w:val="center"/>
          </w:tcPr>
          <w:p w14:paraId="648B212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3C5FB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4922643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30</w:t>
            </w:r>
          </w:p>
        </w:tc>
        <w:tc>
          <w:tcPr>
            <w:tcW w:w="5673" w:type="dxa"/>
            <w:noWrap/>
            <w:vAlign w:val="center"/>
          </w:tcPr>
          <w:p w14:paraId="20A5524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血浆肾素浓度测定</w:t>
            </w:r>
          </w:p>
        </w:tc>
        <w:tc>
          <w:tcPr>
            <w:tcW w:w="3191" w:type="dxa"/>
            <w:gridSpan w:val="2"/>
            <w:vMerge w:val="continue"/>
            <w:noWrap/>
            <w:vAlign w:val="center"/>
          </w:tcPr>
          <w:p w14:paraId="6B8C52E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44FD9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7992850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31</w:t>
            </w:r>
          </w:p>
        </w:tc>
        <w:tc>
          <w:tcPr>
            <w:tcW w:w="5673" w:type="dxa"/>
            <w:noWrap/>
            <w:vAlign w:val="center"/>
          </w:tcPr>
          <w:p w14:paraId="2CE49D10">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肾上腺素</w:t>
            </w:r>
          </w:p>
        </w:tc>
        <w:tc>
          <w:tcPr>
            <w:tcW w:w="3191" w:type="dxa"/>
            <w:gridSpan w:val="2"/>
            <w:vMerge w:val="continue"/>
            <w:noWrap/>
            <w:vAlign w:val="center"/>
          </w:tcPr>
          <w:p w14:paraId="3BC040F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7AC15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5F5A508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32</w:t>
            </w:r>
          </w:p>
        </w:tc>
        <w:tc>
          <w:tcPr>
            <w:tcW w:w="5673" w:type="dxa"/>
            <w:noWrap/>
            <w:vAlign w:val="center"/>
          </w:tcPr>
          <w:p w14:paraId="0A3EBC16">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去甲肾上腺素</w:t>
            </w:r>
          </w:p>
        </w:tc>
        <w:tc>
          <w:tcPr>
            <w:tcW w:w="3191" w:type="dxa"/>
            <w:gridSpan w:val="2"/>
            <w:vMerge w:val="continue"/>
            <w:noWrap/>
            <w:vAlign w:val="center"/>
          </w:tcPr>
          <w:p w14:paraId="5EC39EF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04C4C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63BE8AC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33</w:t>
            </w:r>
          </w:p>
        </w:tc>
        <w:tc>
          <w:tcPr>
            <w:tcW w:w="5673" w:type="dxa"/>
            <w:noWrap/>
            <w:vAlign w:val="center"/>
          </w:tcPr>
          <w:p w14:paraId="62301B8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17α羟孕酮测定</w:t>
            </w:r>
          </w:p>
        </w:tc>
        <w:tc>
          <w:tcPr>
            <w:tcW w:w="3191" w:type="dxa"/>
            <w:gridSpan w:val="2"/>
            <w:vMerge w:val="continue"/>
            <w:noWrap/>
            <w:vAlign w:val="center"/>
          </w:tcPr>
          <w:p w14:paraId="1ED61C3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09F10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6CB8817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34</w:t>
            </w:r>
          </w:p>
        </w:tc>
        <w:tc>
          <w:tcPr>
            <w:tcW w:w="5673" w:type="dxa"/>
            <w:noWrap/>
            <w:vAlign w:val="center"/>
          </w:tcPr>
          <w:p w14:paraId="1EC19217">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睾酮</w:t>
            </w:r>
          </w:p>
        </w:tc>
        <w:tc>
          <w:tcPr>
            <w:tcW w:w="3191" w:type="dxa"/>
            <w:gridSpan w:val="2"/>
            <w:vMerge w:val="continue"/>
            <w:noWrap/>
            <w:vAlign w:val="center"/>
          </w:tcPr>
          <w:p w14:paraId="49389C0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2520B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26ECC9D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35</w:t>
            </w:r>
          </w:p>
        </w:tc>
        <w:tc>
          <w:tcPr>
            <w:tcW w:w="5673" w:type="dxa"/>
            <w:noWrap/>
            <w:vAlign w:val="center"/>
          </w:tcPr>
          <w:p w14:paraId="14C0D9DC">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去氢表雄酮</w:t>
            </w:r>
          </w:p>
        </w:tc>
        <w:tc>
          <w:tcPr>
            <w:tcW w:w="3191" w:type="dxa"/>
            <w:gridSpan w:val="2"/>
            <w:vMerge w:val="continue"/>
            <w:noWrap/>
            <w:vAlign w:val="center"/>
          </w:tcPr>
          <w:p w14:paraId="4BBC139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17149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4D72A9E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36</w:t>
            </w:r>
          </w:p>
        </w:tc>
        <w:tc>
          <w:tcPr>
            <w:tcW w:w="5673" w:type="dxa"/>
            <w:noWrap/>
            <w:vAlign w:val="center"/>
          </w:tcPr>
          <w:p w14:paraId="0F04E67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硫酸去氢表雄酮(DHEAS,DHAS)</w:t>
            </w:r>
          </w:p>
        </w:tc>
        <w:tc>
          <w:tcPr>
            <w:tcW w:w="3191" w:type="dxa"/>
            <w:gridSpan w:val="2"/>
            <w:vMerge w:val="continue"/>
            <w:noWrap/>
            <w:vAlign w:val="center"/>
          </w:tcPr>
          <w:p w14:paraId="30BD070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1D06B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16397FF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37</w:t>
            </w:r>
          </w:p>
        </w:tc>
        <w:tc>
          <w:tcPr>
            <w:tcW w:w="5673" w:type="dxa"/>
            <w:noWrap/>
            <w:vAlign w:val="center"/>
          </w:tcPr>
          <w:p w14:paraId="09DD4E37">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雄烯二酮（AD）</w:t>
            </w:r>
          </w:p>
        </w:tc>
        <w:tc>
          <w:tcPr>
            <w:tcW w:w="3191" w:type="dxa"/>
            <w:gridSpan w:val="2"/>
            <w:vMerge w:val="continue"/>
            <w:noWrap/>
            <w:vAlign w:val="center"/>
          </w:tcPr>
          <w:p w14:paraId="5A770D8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78D86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3DB6F42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38</w:t>
            </w:r>
          </w:p>
        </w:tc>
        <w:tc>
          <w:tcPr>
            <w:tcW w:w="5673" w:type="dxa"/>
            <w:noWrap/>
            <w:vAlign w:val="center"/>
          </w:tcPr>
          <w:p w14:paraId="6CED612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双氢睾酮（DHT）</w:t>
            </w:r>
          </w:p>
        </w:tc>
        <w:tc>
          <w:tcPr>
            <w:tcW w:w="3191" w:type="dxa"/>
            <w:gridSpan w:val="2"/>
            <w:vMerge w:val="continue"/>
            <w:noWrap/>
            <w:vAlign w:val="center"/>
          </w:tcPr>
          <w:p w14:paraId="5E1A520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33A9A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5044CD2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39</w:t>
            </w:r>
          </w:p>
        </w:tc>
        <w:tc>
          <w:tcPr>
            <w:tcW w:w="5673" w:type="dxa"/>
            <w:noWrap/>
            <w:vAlign w:val="center"/>
          </w:tcPr>
          <w:p w14:paraId="102F1BB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抗缪勒氏管激素（AMH）</w:t>
            </w:r>
          </w:p>
        </w:tc>
        <w:tc>
          <w:tcPr>
            <w:tcW w:w="3191" w:type="dxa"/>
            <w:gridSpan w:val="2"/>
            <w:vMerge w:val="continue"/>
            <w:noWrap/>
            <w:vAlign w:val="center"/>
          </w:tcPr>
          <w:p w14:paraId="46EE750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15D9E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78A3396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40</w:t>
            </w:r>
          </w:p>
        </w:tc>
        <w:tc>
          <w:tcPr>
            <w:tcW w:w="5673" w:type="dxa"/>
            <w:noWrap/>
            <w:vAlign w:val="center"/>
          </w:tcPr>
          <w:p w14:paraId="4A888276">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抑制素B</w:t>
            </w:r>
          </w:p>
        </w:tc>
        <w:tc>
          <w:tcPr>
            <w:tcW w:w="3191" w:type="dxa"/>
            <w:gridSpan w:val="2"/>
            <w:vMerge w:val="continue"/>
            <w:noWrap/>
            <w:vAlign w:val="center"/>
          </w:tcPr>
          <w:p w14:paraId="353CCB8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31DE7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58B2297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41</w:t>
            </w:r>
          </w:p>
        </w:tc>
        <w:tc>
          <w:tcPr>
            <w:tcW w:w="5673" w:type="dxa"/>
            <w:noWrap/>
            <w:vAlign w:val="center"/>
          </w:tcPr>
          <w:p w14:paraId="67F0CE7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性激素结合球蛋白SHBG</w:t>
            </w:r>
          </w:p>
        </w:tc>
        <w:tc>
          <w:tcPr>
            <w:tcW w:w="3191" w:type="dxa"/>
            <w:gridSpan w:val="2"/>
            <w:vMerge w:val="continue"/>
            <w:noWrap/>
            <w:vAlign w:val="center"/>
          </w:tcPr>
          <w:p w14:paraId="732B9A8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40604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3F0BA74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42</w:t>
            </w:r>
          </w:p>
        </w:tc>
        <w:tc>
          <w:tcPr>
            <w:tcW w:w="5673" w:type="dxa"/>
            <w:noWrap/>
            <w:vAlign w:val="center"/>
          </w:tcPr>
          <w:p w14:paraId="0881AFF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抗心磷脂抗体测定(IgA)</w:t>
            </w:r>
          </w:p>
        </w:tc>
        <w:tc>
          <w:tcPr>
            <w:tcW w:w="3191" w:type="dxa"/>
            <w:gridSpan w:val="2"/>
            <w:vMerge w:val="continue"/>
            <w:noWrap/>
            <w:vAlign w:val="center"/>
          </w:tcPr>
          <w:p w14:paraId="138234F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19023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0140740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43</w:t>
            </w:r>
          </w:p>
        </w:tc>
        <w:tc>
          <w:tcPr>
            <w:tcW w:w="5673" w:type="dxa"/>
            <w:noWrap/>
            <w:vAlign w:val="center"/>
          </w:tcPr>
          <w:p w14:paraId="52DDB30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抗心磷脂抗体测定(IgM)</w:t>
            </w:r>
          </w:p>
        </w:tc>
        <w:tc>
          <w:tcPr>
            <w:tcW w:w="3191" w:type="dxa"/>
            <w:gridSpan w:val="2"/>
            <w:vMerge w:val="continue"/>
            <w:noWrap/>
            <w:vAlign w:val="center"/>
          </w:tcPr>
          <w:p w14:paraId="5232398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3E5E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664338A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44</w:t>
            </w:r>
          </w:p>
        </w:tc>
        <w:tc>
          <w:tcPr>
            <w:tcW w:w="5673" w:type="dxa"/>
            <w:noWrap/>
            <w:vAlign w:val="center"/>
          </w:tcPr>
          <w:p w14:paraId="12C63BE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抗心磷脂抗体测定(IgG)</w:t>
            </w:r>
          </w:p>
        </w:tc>
        <w:tc>
          <w:tcPr>
            <w:tcW w:w="3191" w:type="dxa"/>
            <w:gridSpan w:val="2"/>
            <w:vMerge w:val="continue"/>
            <w:noWrap/>
            <w:vAlign w:val="center"/>
          </w:tcPr>
          <w:p w14:paraId="622B34A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2D7B3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58AAB63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45</w:t>
            </w:r>
          </w:p>
        </w:tc>
        <w:tc>
          <w:tcPr>
            <w:tcW w:w="5673" w:type="dxa"/>
            <w:noWrap/>
            <w:vAlign w:val="center"/>
          </w:tcPr>
          <w:p w14:paraId="48C2DEF7">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人类白细胞抗原B27测定(HLA-B27)</w:t>
            </w:r>
          </w:p>
        </w:tc>
        <w:tc>
          <w:tcPr>
            <w:tcW w:w="3191" w:type="dxa"/>
            <w:gridSpan w:val="2"/>
            <w:vMerge w:val="continue"/>
            <w:noWrap/>
            <w:vAlign w:val="center"/>
          </w:tcPr>
          <w:p w14:paraId="069ADBF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3F84C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299041F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46</w:t>
            </w:r>
          </w:p>
        </w:tc>
        <w:tc>
          <w:tcPr>
            <w:tcW w:w="5673" w:type="dxa"/>
            <w:noWrap/>
            <w:vAlign w:val="center"/>
          </w:tcPr>
          <w:p w14:paraId="4AEA5A3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抗平滑肌抗体（ASMA)</w:t>
            </w:r>
          </w:p>
        </w:tc>
        <w:tc>
          <w:tcPr>
            <w:tcW w:w="3191" w:type="dxa"/>
            <w:gridSpan w:val="2"/>
            <w:vMerge w:val="continue"/>
            <w:noWrap/>
            <w:vAlign w:val="center"/>
          </w:tcPr>
          <w:p w14:paraId="483D180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7E493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67659B7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47</w:t>
            </w:r>
          </w:p>
        </w:tc>
        <w:tc>
          <w:tcPr>
            <w:tcW w:w="5673" w:type="dxa"/>
            <w:noWrap/>
            <w:vAlign w:val="center"/>
          </w:tcPr>
          <w:p w14:paraId="64AA20C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抗可溶性肝抗原/肝胰抗原（SLA/LP)抗体定量</w:t>
            </w:r>
          </w:p>
        </w:tc>
        <w:tc>
          <w:tcPr>
            <w:tcW w:w="3191" w:type="dxa"/>
            <w:gridSpan w:val="2"/>
            <w:vMerge w:val="continue"/>
            <w:noWrap/>
            <w:vAlign w:val="center"/>
          </w:tcPr>
          <w:p w14:paraId="062D8F9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7B1D7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10C33C1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48</w:t>
            </w:r>
          </w:p>
        </w:tc>
        <w:tc>
          <w:tcPr>
            <w:tcW w:w="5673" w:type="dxa"/>
            <w:noWrap/>
            <w:vAlign w:val="center"/>
          </w:tcPr>
          <w:p w14:paraId="7B807E1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抗线粒体抗体测定(AMA)</w:t>
            </w:r>
          </w:p>
        </w:tc>
        <w:tc>
          <w:tcPr>
            <w:tcW w:w="3191" w:type="dxa"/>
            <w:gridSpan w:val="2"/>
            <w:vMerge w:val="continue"/>
            <w:noWrap/>
            <w:vAlign w:val="center"/>
          </w:tcPr>
          <w:p w14:paraId="7BEFB09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4624C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439C28C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49</w:t>
            </w:r>
          </w:p>
        </w:tc>
        <w:tc>
          <w:tcPr>
            <w:tcW w:w="5673" w:type="dxa"/>
            <w:noWrap/>
            <w:vAlign w:val="center"/>
          </w:tcPr>
          <w:p w14:paraId="30F7E7E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类风湿因子</w:t>
            </w:r>
          </w:p>
        </w:tc>
        <w:tc>
          <w:tcPr>
            <w:tcW w:w="3191" w:type="dxa"/>
            <w:gridSpan w:val="2"/>
            <w:vMerge w:val="continue"/>
            <w:noWrap/>
            <w:vAlign w:val="center"/>
          </w:tcPr>
          <w:p w14:paraId="75E7111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4C5D6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3351472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50</w:t>
            </w:r>
          </w:p>
        </w:tc>
        <w:tc>
          <w:tcPr>
            <w:tcW w:w="5673" w:type="dxa"/>
            <w:noWrap/>
            <w:vAlign w:val="center"/>
          </w:tcPr>
          <w:p w14:paraId="13928070">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抗链球菌溶血素“0”</w:t>
            </w:r>
          </w:p>
        </w:tc>
        <w:tc>
          <w:tcPr>
            <w:tcW w:w="3191" w:type="dxa"/>
            <w:gridSpan w:val="2"/>
            <w:vMerge w:val="continue"/>
            <w:noWrap/>
            <w:vAlign w:val="center"/>
          </w:tcPr>
          <w:p w14:paraId="4337DFC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63EAE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20F0175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51</w:t>
            </w:r>
          </w:p>
        </w:tc>
        <w:tc>
          <w:tcPr>
            <w:tcW w:w="5673" w:type="dxa"/>
            <w:noWrap/>
            <w:vAlign w:val="center"/>
          </w:tcPr>
          <w:p w14:paraId="2926BE4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抗CCP(抗环瓜氨酸肽抗体)</w:t>
            </w:r>
          </w:p>
        </w:tc>
        <w:tc>
          <w:tcPr>
            <w:tcW w:w="3191" w:type="dxa"/>
            <w:gridSpan w:val="2"/>
            <w:vMerge w:val="continue"/>
            <w:noWrap/>
            <w:vAlign w:val="center"/>
          </w:tcPr>
          <w:p w14:paraId="594A2F3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5CF3C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74CAC3D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52</w:t>
            </w:r>
          </w:p>
        </w:tc>
        <w:tc>
          <w:tcPr>
            <w:tcW w:w="5673" w:type="dxa"/>
            <w:noWrap/>
            <w:vAlign w:val="center"/>
          </w:tcPr>
          <w:p w14:paraId="7B74A8F7">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抗中性粒细胞胞浆抗体MPO-ANCA抗体测定</w:t>
            </w:r>
          </w:p>
        </w:tc>
        <w:tc>
          <w:tcPr>
            <w:tcW w:w="3191" w:type="dxa"/>
            <w:gridSpan w:val="2"/>
            <w:vMerge w:val="continue"/>
            <w:noWrap/>
            <w:vAlign w:val="center"/>
          </w:tcPr>
          <w:p w14:paraId="3AC9C7E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38A6C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5ED373D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53</w:t>
            </w:r>
          </w:p>
        </w:tc>
        <w:tc>
          <w:tcPr>
            <w:tcW w:w="5673" w:type="dxa"/>
            <w:noWrap/>
            <w:vAlign w:val="center"/>
          </w:tcPr>
          <w:p w14:paraId="7D74551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抗中性粒细胞胞浆抗体PR3-ANCA抗体测定</w:t>
            </w:r>
          </w:p>
        </w:tc>
        <w:tc>
          <w:tcPr>
            <w:tcW w:w="3191" w:type="dxa"/>
            <w:gridSpan w:val="2"/>
            <w:vMerge w:val="continue"/>
            <w:noWrap/>
            <w:vAlign w:val="center"/>
          </w:tcPr>
          <w:p w14:paraId="201F2C7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6CB85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0B45A81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54</w:t>
            </w:r>
          </w:p>
        </w:tc>
        <w:tc>
          <w:tcPr>
            <w:tcW w:w="5673" w:type="dxa"/>
            <w:noWrap/>
            <w:vAlign w:val="center"/>
          </w:tcPr>
          <w:p w14:paraId="1C4DD1F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免疫固定电泳</w:t>
            </w:r>
          </w:p>
        </w:tc>
        <w:tc>
          <w:tcPr>
            <w:tcW w:w="3191" w:type="dxa"/>
            <w:gridSpan w:val="2"/>
            <w:vMerge w:val="continue"/>
            <w:noWrap/>
            <w:vAlign w:val="center"/>
          </w:tcPr>
          <w:p w14:paraId="650DF69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7690D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44893A3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55</w:t>
            </w:r>
          </w:p>
        </w:tc>
        <w:tc>
          <w:tcPr>
            <w:tcW w:w="5673" w:type="dxa"/>
            <w:noWrap/>
            <w:vAlign w:val="center"/>
          </w:tcPr>
          <w:p w14:paraId="553E1CC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免疫球蛋白IgG定量测定</w:t>
            </w:r>
          </w:p>
        </w:tc>
        <w:tc>
          <w:tcPr>
            <w:tcW w:w="3191" w:type="dxa"/>
            <w:gridSpan w:val="2"/>
            <w:vMerge w:val="continue"/>
            <w:noWrap/>
            <w:vAlign w:val="center"/>
          </w:tcPr>
          <w:p w14:paraId="0F05CAB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16E14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5597441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56</w:t>
            </w:r>
          </w:p>
        </w:tc>
        <w:tc>
          <w:tcPr>
            <w:tcW w:w="5673" w:type="dxa"/>
            <w:noWrap/>
            <w:vAlign w:val="center"/>
          </w:tcPr>
          <w:p w14:paraId="051E9CC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尿转铁蛋白(TRF）</w:t>
            </w:r>
          </w:p>
        </w:tc>
        <w:tc>
          <w:tcPr>
            <w:tcW w:w="3191" w:type="dxa"/>
            <w:gridSpan w:val="2"/>
            <w:vMerge w:val="continue"/>
            <w:noWrap/>
            <w:vAlign w:val="center"/>
          </w:tcPr>
          <w:p w14:paraId="060AA20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1F136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00845D1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57</w:t>
            </w:r>
          </w:p>
        </w:tc>
        <w:tc>
          <w:tcPr>
            <w:tcW w:w="5673" w:type="dxa"/>
            <w:noWrap/>
            <w:vAlign w:val="center"/>
          </w:tcPr>
          <w:p w14:paraId="09DD09EC">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尿微量白蛋白</w:t>
            </w:r>
          </w:p>
        </w:tc>
        <w:tc>
          <w:tcPr>
            <w:tcW w:w="3191" w:type="dxa"/>
            <w:gridSpan w:val="2"/>
            <w:vMerge w:val="continue"/>
            <w:noWrap/>
            <w:vAlign w:val="center"/>
          </w:tcPr>
          <w:p w14:paraId="010D148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0E8E0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792D524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58</w:t>
            </w:r>
          </w:p>
        </w:tc>
        <w:tc>
          <w:tcPr>
            <w:tcW w:w="5673" w:type="dxa"/>
            <w:noWrap/>
            <w:vAlign w:val="center"/>
          </w:tcPr>
          <w:p w14:paraId="18D267F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尿α1-微球蛋白</w:t>
            </w:r>
          </w:p>
        </w:tc>
        <w:tc>
          <w:tcPr>
            <w:tcW w:w="3191" w:type="dxa"/>
            <w:gridSpan w:val="2"/>
            <w:vMerge w:val="continue"/>
            <w:noWrap/>
            <w:vAlign w:val="center"/>
          </w:tcPr>
          <w:p w14:paraId="4E0C790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6FCD9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37D823B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59</w:t>
            </w:r>
          </w:p>
        </w:tc>
        <w:tc>
          <w:tcPr>
            <w:tcW w:w="5673" w:type="dxa"/>
            <w:noWrap/>
            <w:vAlign w:val="center"/>
          </w:tcPr>
          <w:p w14:paraId="7859977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尿蛋白定量</w:t>
            </w:r>
          </w:p>
        </w:tc>
        <w:tc>
          <w:tcPr>
            <w:tcW w:w="3191" w:type="dxa"/>
            <w:gridSpan w:val="2"/>
            <w:vMerge w:val="continue"/>
            <w:noWrap/>
            <w:vAlign w:val="center"/>
          </w:tcPr>
          <w:p w14:paraId="4359DD8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139FD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123D42A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60</w:t>
            </w:r>
          </w:p>
        </w:tc>
        <w:tc>
          <w:tcPr>
            <w:tcW w:w="5673" w:type="dxa"/>
            <w:noWrap/>
            <w:vAlign w:val="center"/>
          </w:tcPr>
          <w:p w14:paraId="6B8871F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肌酐测定</w:t>
            </w:r>
          </w:p>
        </w:tc>
        <w:tc>
          <w:tcPr>
            <w:tcW w:w="3191" w:type="dxa"/>
            <w:gridSpan w:val="2"/>
            <w:vMerge w:val="continue"/>
            <w:noWrap/>
            <w:vAlign w:val="center"/>
          </w:tcPr>
          <w:p w14:paraId="4AFECF1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2822D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294EE66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61</w:t>
            </w:r>
          </w:p>
        </w:tc>
        <w:tc>
          <w:tcPr>
            <w:tcW w:w="5673" w:type="dxa"/>
            <w:noWrap/>
            <w:vAlign w:val="center"/>
          </w:tcPr>
          <w:p w14:paraId="13B9EF7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尿N-酰-β-D-氨基葡萄糖苷酶测定</w:t>
            </w:r>
          </w:p>
        </w:tc>
        <w:tc>
          <w:tcPr>
            <w:tcW w:w="3191" w:type="dxa"/>
            <w:gridSpan w:val="2"/>
            <w:vMerge w:val="continue"/>
            <w:noWrap/>
            <w:vAlign w:val="center"/>
          </w:tcPr>
          <w:p w14:paraId="4030101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32965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4592DD8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62</w:t>
            </w:r>
          </w:p>
        </w:tc>
        <w:tc>
          <w:tcPr>
            <w:tcW w:w="5673" w:type="dxa"/>
            <w:noWrap/>
            <w:vAlign w:val="center"/>
          </w:tcPr>
          <w:p w14:paraId="3D14F19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尿微量白蛋白/肌酐</w:t>
            </w:r>
          </w:p>
        </w:tc>
        <w:tc>
          <w:tcPr>
            <w:tcW w:w="3191" w:type="dxa"/>
            <w:gridSpan w:val="2"/>
            <w:vMerge w:val="continue"/>
            <w:noWrap/>
            <w:vAlign w:val="center"/>
          </w:tcPr>
          <w:p w14:paraId="72FCBC5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59FCA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5A6B043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63</w:t>
            </w:r>
          </w:p>
        </w:tc>
        <w:tc>
          <w:tcPr>
            <w:tcW w:w="5673" w:type="dxa"/>
            <w:noWrap/>
            <w:vAlign w:val="center"/>
          </w:tcPr>
          <w:p w14:paraId="7237720C">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维生素B1(VB1)</w:t>
            </w:r>
          </w:p>
        </w:tc>
        <w:tc>
          <w:tcPr>
            <w:tcW w:w="3191" w:type="dxa"/>
            <w:gridSpan w:val="2"/>
            <w:vMerge w:val="continue"/>
            <w:noWrap/>
            <w:vAlign w:val="center"/>
          </w:tcPr>
          <w:p w14:paraId="176A5E3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0A2E1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20123A6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64</w:t>
            </w:r>
          </w:p>
        </w:tc>
        <w:tc>
          <w:tcPr>
            <w:tcW w:w="5673" w:type="dxa"/>
            <w:noWrap/>
            <w:vAlign w:val="center"/>
          </w:tcPr>
          <w:p w14:paraId="34CFBBD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血清维生素B12(VB12)</w:t>
            </w:r>
          </w:p>
        </w:tc>
        <w:tc>
          <w:tcPr>
            <w:tcW w:w="3191" w:type="dxa"/>
            <w:gridSpan w:val="2"/>
            <w:vMerge w:val="continue"/>
            <w:noWrap/>
            <w:vAlign w:val="center"/>
          </w:tcPr>
          <w:p w14:paraId="02F2D66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0D0D5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1F89FF6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65</w:t>
            </w:r>
          </w:p>
        </w:tc>
        <w:tc>
          <w:tcPr>
            <w:tcW w:w="5673" w:type="dxa"/>
            <w:noWrap/>
            <w:vAlign w:val="center"/>
          </w:tcPr>
          <w:p w14:paraId="634E806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维生素B9</w:t>
            </w:r>
          </w:p>
        </w:tc>
        <w:tc>
          <w:tcPr>
            <w:tcW w:w="3191" w:type="dxa"/>
            <w:gridSpan w:val="2"/>
            <w:vMerge w:val="continue"/>
            <w:noWrap/>
            <w:vAlign w:val="center"/>
          </w:tcPr>
          <w:p w14:paraId="0041576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21112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4CA5C1C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66</w:t>
            </w:r>
          </w:p>
        </w:tc>
        <w:tc>
          <w:tcPr>
            <w:tcW w:w="5673" w:type="dxa"/>
            <w:noWrap/>
            <w:vAlign w:val="center"/>
          </w:tcPr>
          <w:p w14:paraId="4D50714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维生素B2</w:t>
            </w:r>
          </w:p>
        </w:tc>
        <w:tc>
          <w:tcPr>
            <w:tcW w:w="3191" w:type="dxa"/>
            <w:gridSpan w:val="2"/>
            <w:vMerge w:val="continue"/>
            <w:noWrap/>
            <w:vAlign w:val="center"/>
          </w:tcPr>
          <w:p w14:paraId="3722A57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2D989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738130C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67</w:t>
            </w:r>
          </w:p>
        </w:tc>
        <w:tc>
          <w:tcPr>
            <w:tcW w:w="5673" w:type="dxa"/>
            <w:noWrap/>
            <w:vAlign w:val="center"/>
          </w:tcPr>
          <w:p w14:paraId="2D598BD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维生素K</w:t>
            </w:r>
          </w:p>
        </w:tc>
        <w:tc>
          <w:tcPr>
            <w:tcW w:w="3191" w:type="dxa"/>
            <w:gridSpan w:val="2"/>
            <w:vMerge w:val="continue"/>
            <w:noWrap/>
            <w:vAlign w:val="center"/>
          </w:tcPr>
          <w:p w14:paraId="73FD9DD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37F91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251C980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68</w:t>
            </w:r>
          </w:p>
        </w:tc>
        <w:tc>
          <w:tcPr>
            <w:tcW w:w="5673" w:type="dxa"/>
            <w:noWrap/>
            <w:vAlign w:val="center"/>
          </w:tcPr>
          <w:p w14:paraId="7843313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铅</w:t>
            </w:r>
          </w:p>
        </w:tc>
        <w:tc>
          <w:tcPr>
            <w:tcW w:w="3191" w:type="dxa"/>
            <w:gridSpan w:val="2"/>
            <w:vMerge w:val="continue"/>
            <w:noWrap/>
            <w:vAlign w:val="center"/>
          </w:tcPr>
          <w:p w14:paraId="02075C3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4CB00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66E30C1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69</w:t>
            </w:r>
          </w:p>
        </w:tc>
        <w:tc>
          <w:tcPr>
            <w:tcW w:w="5673" w:type="dxa"/>
            <w:noWrap/>
            <w:vAlign w:val="center"/>
          </w:tcPr>
          <w:p w14:paraId="259AA92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锰</w:t>
            </w:r>
          </w:p>
        </w:tc>
        <w:tc>
          <w:tcPr>
            <w:tcW w:w="3191" w:type="dxa"/>
            <w:gridSpan w:val="2"/>
            <w:vMerge w:val="continue"/>
            <w:noWrap/>
            <w:vAlign w:val="center"/>
          </w:tcPr>
          <w:p w14:paraId="51FBD1A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55B14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153C3E5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70</w:t>
            </w:r>
          </w:p>
        </w:tc>
        <w:tc>
          <w:tcPr>
            <w:tcW w:w="5673" w:type="dxa"/>
            <w:noWrap/>
            <w:vAlign w:val="center"/>
          </w:tcPr>
          <w:p w14:paraId="039609F2">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锌</w:t>
            </w:r>
          </w:p>
        </w:tc>
        <w:tc>
          <w:tcPr>
            <w:tcW w:w="3191" w:type="dxa"/>
            <w:gridSpan w:val="2"/>
            <w:vMerge w:val="continue"/>
            <w:noWrap/>
            <w:vAlign w:val="center"/>
          </w:tcPr>
          <w:p w14:paraId="5F12A7E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51BE7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4AAFF3F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71</w:t>
            </w:r>
          </w:p>
        </w:tc>
        <w:tc>
          <w:tcPr>
            <w:tcW w:w="5673" w:type="dxa"/>
            <w:noWrap/>
            <w:vAlign w:val="center"/>
          </w:tcPr>
          <w:p w14:paraId="750DBD1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铜</w:t>
            </w:r>
          </w:p>
        </w:tc>
        <w:tc>
          <w:tcPr>
            <w:tcW w:w="3191" w:type="dxa"/>
            <w:gridSpan w:val="2"/>
            <w:vMerge w:val="continue"/>
            <w:noWrap/>
            <w:vAlign w:val="center"/>
          </w:tcPr>
          <w:p w14:paraId="294EF37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57774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7" w:type="dxa"/>
            <w:noWrap/>
            <w:vAlign w:val="center"/>
          </w:tcPr>
          <w:p w14:paraId="5B4F4C0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72</w:t>
            </w:r>
          </w:p>
        </w:tc>
        <w:tc>
          <w:tcPr>
            <w:tcW w:w="5673" w:type="dxa"/>
            <w:noWrap/>
            <w:vAlign w:val="center"/>
          </w:tcPr>
          <w:p w14:paraId="5DB5D00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镁</w:t>
            </w:r>
          </w:p>
        </w:tc>
        <w:tc>
          <w:tcPr>
            <w:tcW w:w="3191" w:type="dxa"/>
            <w:gridSpan w:val="2"/>
            <w:vMerge w:val="continue"/>
            <w:noWrap/>
            <w:vAlign w:val="center"/>
          </w:tcPr>
          <w:p w14:paraId="7A6C9D6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Style w:val="367"/>
                <w:rFonts w:hint="eastAsia" w:ascii="新宋体" w:hAnsi="新宋体" w:eastAsia="新宋体" w:cs="新宋体"/>
                <w:color w:val="auto"/>
                <w:sz w:val="22"/>
                <w:szCs w:val="22"/>
                <w:highlight w:val="none"/>
                <w:lang w:val="en-US" w:eastAsia="zh-CN" w:bidi="ar"/>
              </w:rPr>
            </w:pPr>
          </w:p>
        </w:tc>
      </w:tr>
      <w:tr w14:paraId="62BD7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20B1311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73</w:t>
            </w:r>
          </w:p>
        </w:tc>
        <w:tc>
          <w:tcPr>
            <w:tcW w:w="5673" w:type="dxa"/>
            <w:noWrap/>
            <w:vAlign w:val="center"/>
          </w:tcPr>
          <w:p w14:paraId="441417C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铁</w:t>
            </w:r>
          </w:p>
        </w:tc>
        <w:tc>
          <w:tcPr>
            <w:tcW w:w="3191" w:type="dxa"/>
            <w:gridSpan w:val="2"/>
            <w:vMerge w:val="continue"/>
            <w:noWrap/>
            <w:vAlign w:val="center"/>
          </w:tcPr>
          <w:p w14:paraId="6462265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5A00A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10EFD5C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74</w:t>
            </w:r>
          </w:p>
        </w:tc>
        <w:tc>
          <w:tcPr>
            <w:tcW w:w="5673" w:type="dxa"/>
            <w:noWrap/>
            <w:vAlign w:val="center"/>
          </w:tcPr>
          <w:p w14:paraId="5CC6CA8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钙</w:t>
            </w:r>
          </w:p>
        </w:tc>
        <w:tc>
          <w:tcPr>
            <w:tcW w:w="3191" w:type="dxa"/>
            <w:gridSpan w:val="2"/>
            <w:vMerge w:val="continue"/>
            <w:noWrap/>
            <w:vAlign w:val="center"/>
          </w:tcPr>
          <w:p w14:paraId="5B5A078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7E873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4EA4554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75</w:t>
            </w:r>
          </w:p>
        </w:tc>
        <w:tc>
          <w:tcPr>
            <w:tcW w:w="5673" w:type="dxa"/>
            <w:noWrap/>
            <w:vAlign w:val="center"/>
          </w:tcPr>
          <w:p w14:paraId="510FC7C7">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血清镁</w:t>
            </w:r>
          </w:p>
        </w:tc>
        <w:tc>
          <w:tcPr>
            <w:tcW w:w="3191" w:type="dxa"/>
            <w:gridSpan w:val="2"/>
            <w:vMerge w:val="continue"/>
            <w:noWrap/>
            <w:vAlign w:val="center"/>
          </w:tcPr>
          <w:p w14:paraId="78804B3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686BA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4523E12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76</w:t>
            </w:r>
          </w:p>
        </w:tc>
        <w:tc>
          <w:tcPr>
            <w:tcW w:w="5673" w:type="dxa"/>
            <w:noWrap/>
            <w:vAlign w:val="center"/>
          </w:tcPr>
          <w:p w14:paraId="5C6CB10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肿瘤坏死因子测定</w:t>
            </w:r>
          </w:p>
        </w:tc>
        <w:tc>
          <w:tcPr>
            <w:tcW w:w="3191" w:type="dxa"/>
            <w:gridSpan w:val="2"/>
            <w:vMerge w:val="continue"/>
            <w:noWrap/>
            <w:vAlign w:val="center"/>
          </w:tcPr>
          <w:p w14:paraId="318D372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31617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5889654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77</w:t>
            </w:r>
          </w:p>
        </w:tc>
        <w:tc>
          <w:tcPr>
            <w:tcW w:w="5673" w:type="dxa"/>
            <w:noWrap/>
            <w:vAlign w:val="center"/>
          </w:tcPr>
          <w:p w14:paraId="5963C0C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白介素1β</w:t>
            </w:r>
          </w:p>
        </w:tc>
        <w:tc>
          <w:tcPr>
            <w:tcW w:w="3191" w:type="dxa"/>
            <w:gridSpan w:val="2"/>
            <w:vMerge w:val="continue"/>
            <w:noWrap/>
            <w:vAlign w:val="center"/>
          </w:tcPr>
          <w:p w14:paraId="4217FF7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36500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6C5E02A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78</w:t>
            </w:r>
          </w:p>
        </w:tc>
        <w:tc>
          <w:tcPr>
            <w:tcW w:w="5673" w:type="dxa"/>
            <w:noWrap/>
            <w:vAlign w:val="center"/>
          </w:tcPr>
          <w:p w14:paraId="1A4D4D30">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白介素6</w:t>
            </w:r>
          </w:p>
        </w:tc>
        <w:tc>
          <w:tcPr>
            <w:tcW w:w="3191" w:type="dxa"/>
            <w:gridSpan w:val="2"/>
            <w:vMerge w:val="continue"/>
            <w:noWrap/>
            <w:vAlign w:val="center"/>
          </w:tcPr>
          <w:p w14:paraId="49E0D39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1C7E9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27E0172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79</w:t>
            </w:r>
          </w:p>
        </w:tc>
        <w:tc>
          <w:tcPr>
            <w:tcW w:w="5673" w:type="dxa"/>
            <w:noWrap/>
            <w:vAlign w:val="center"/>
          </w:tcPr>
          <w:p w14:paraId="3A86E24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肺炎支原体抗体IgM</w:t>
            </w:r>
          </w:p>
        </w:tc>
        <w:tc>
          <w:tcPr>
            <w:tcW w:w="3191" w:type="dxa"/>
            <w:gridSpan w:val="2"/>
            <w:vMerge w:val="continue"/>
            <w:noWrap/>
            <w:vAlign w:val="center"/>
          </w:tcPr>
          <w:p w14:paraId="2BD2404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696DA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4FEED6A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80</w:t>
            </w:r>
          </w:p>
        </w:tc>
        <w:tc>
          <w:tcPr>
            <w:tcW w:w="5673" w:type="dxa"/>
            <w:noWrap/>
            <w:vAlign w:val="center"/>
          </w:tcPr>
          <w:p w14:paraId="7B1C622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肺炎支原体抗体IgG</w:t>
            </w:r>
          </w:p>
        </w:tc>
        <w:tc>
          <w:tcPr>
            <w:tcW w:w="3191" w:type="dxa"/>
            <w:gridSpan w:val="2"/>
            <w:vMerge w:val="continue"/>
            <w:noWrap/>
            <w:vAlign w:val="center"/>
          </w:tcPr>
          <w:p w14:paraId="078EC0B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59C83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2BF0E14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81</w:t>
            </w:r>
          </w:p>
        </w:tc>
        <w:tc>
          <w:tcPr>
            <w:tcW w:w="5673" w:type="dxa"/>
            <w:noWrap/>
            <w:vAlign w:val="center"/>
          </w:tcPr>
          <w:p w14:paraId="6F814310">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乙肝两对半定量(化学发光法）</w:t>
            </w:r>
          </w:p>
        </w:tc>
        <w:tc>
          <w:tcPr>
            <w:tcW w:w="3191" w:type="dxa"/>
            <w:gridSpan w:val="2"/>
            <w:vMerge w:val="continue"/>
            <w:noWrap/>
            <w:vAlign w:val="center"/>
          </w:tcPr>
          <w:p w14:paraId="735E86C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046EA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3906801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82</w:t>
            </w:r>
          </w:p>
        </w:tc>
        <w:tc>
          <w:tcPr>
            <w:tcW w:w="5673" w:type="dxa"/>
            <w:noWrap/>
            <w:vAlign w:val="center"/>
          </w:tcPr>
          <w:p w14:paraId="32863C1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乙型肝炎病毒脱氧核糖核酸扩增定量检测</w:t>
            </w:r>
          </w:p>
        </w:tc>
        <w:tc>
          <w:tcPr>
            <w:tcW w:w="3191" w:type="dxa"/>
            <w:gridSpan w:val="2"/>
            <w:vMerge w:val="continue"/>
            <w:noWrap/>
            <w:vAlign w:val="center"/>
          </w:tcPr>
          <w:p w14:paraId="6D10C3A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06C4D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027C84F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83</w:t>
            </w:r>
          </w:p>
        </w:tc>
        <w:tc>
          <w:tcPr>
            <w:tcW w:w="5673" w:type="dxa"/>
            <w:noWrap/>
            <w:vAlign w:val="center"/>
          </w:tcPr>
          <w:p w14:paraId="6703939E">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乙肝核心IgM抗体测定(Anti-HBcIgM)</w:t>
            </w:r>
          </w:p>
        </w:tc>
        <w:tc>
          <w:tcPr>
            <w:tcW w:w="3191" w:type="dxa"/>
            <w:gridSpan w:val="2"/>
            <w:vMerge w:val="continue"/>
            <w:noWrap/>
            <w:vAlign w:val="center"/>
          </w:tcPr>
          <w:p w14:paraId="4ED9B8E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19F29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7FDE828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84</w:t>
            </w:r>
          </w:p>
        </w:tc>
        <w:tc>
          <w:tcPr>
            <w:tcW w:w="5673" w:type="dxa"/>
            <w:noWrap/>
            <w:vAlign w:val="center"/>
          </w:tcPr>
          <w:p w14:paraId="4BDA273E">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丙型肝炎病毒(HCV-RNA)定量</w:t>
            </w:r>
          </w:p>
        </w:tc>
        <w:tc>
          <w:tcPr>
            <w:tcW w:w="3191" w:type="dxa"/>
            <w:gridSpan w:val="2"/>
            <w:vMerge w:val="continue"/>
            <w:noWrap/>
            <w:vAlign w:val="center"/>
          </w:tcPr>
          <w:p w14:paraId="0F6D662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1F53B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3765586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85</w:t>
            </w:r>
          </w:p>
        </w:tc>
        <w:tc>
          <w:tcPr>
            <w:tcW w:w="5673" w:type="dxa"/>
            <w:noWrap/>
            <w:vAlign w:val="center"/>
          </w:tcPr>
          <w:p w14:paraId="1299DCD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透明质酸HA</w:t>
            </w:r>
          </w:p>
        </w:tc>
        <w:tc>
          <w:tcPr>
            <w:tcW w:w="3191" w:type="dxa"/>
            <w:gridSpan w:val="2"/>
            <w:vMerge w:val="continue"/>
            <w:noWrap/>
            <w:vAlign w:val="center"/>
          </w:tcPr>
          <w:p w14:paraId="0557D61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70DC0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6A7E69D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86</w:t>
            </w:r>
          </w:p>
        </w:tc>
        <w:tc>
          <w:tcPr>
            <w:tcW w:w="5673" w:type="dxa"/>
            <w:noWrap/>
            <w:vAlign w:val="center"/>
          </w:tcPr>
          <w:p w14:paraId="62E3700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层粘连蛋白LN</w:t>
            </w:r>
          </w:p>
        </w:tc>
        <w:tc>
          <w:tcPr>
            <w:tcW w:w="3191" w:type="dxa"/>
            <w:gridSpan w:val="2"/>
            <w:vMerge w:val="continue"/>
            <w:noWrap/>
            <w:vAlign w:val="center"/>
          </w:tcPr>
          <w:p w14:paraId="171F3CD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745C9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52153A8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87</w:t>
            </w:r>
          </w:p>
        </w:tc>
        <w:tc>
          <w:tcPr>
            <w:tcW w:w="5673" w:type="dxa"/>
            <w:noWrap/>
            <w:vAlign w:val="center"/>
          </w:tcPr>
          <w:p w14:paraId="517567C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Ⅳ型胶原IV-C</w:t>
            </w:r>
          </w:p>
        </w:tc>
        <w:tc>
          <w:tcPr>
            <w:tcW w:w="3191" w:type="dxa"/>
            <w:gridSpan w:val="2"/>
            <w:vMerge w:val="continue"/>
            <w:noWrap/>
            <w:vAlign w:val="center"/>
          </w:tcPr>
          <w:p w14:paraId="5DB4010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45FB8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454EED4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88</w:t>
            </w:r>
          </w:p>
        </w:tc>
        <w:tc>
          <w:tcPr>
            <w:tcW w:w="5673" w:type="dxa"/>
            <w:noWrap/>
            <w:vAlign w:val="center"/>
          </w:tcPr>
          <w:p w14:paraId="3115BFA7">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前胶原肽定量测定</w:t>
            </w:r>
          </w:p>
        </w:tc>
        <w:tc>
          <w:tcPr>
            <w:tcW w:w="3191" w:type="dxa"/>
            <w:gridSpan w:val="2"/>
            <w:vMerge w:val="continue"/>
            <w:noWrap/>
            <w:vAlign w:val="center"/>
          </w:tcPr>
          <w:p w14:paraId="3796AC1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1942C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479177C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89</w:t>
            </w:r>
          </w:p>
        </w:tc>
        <w:tc>
          <w:tcPr>
            <w:tcW w:w="5673" w:type="dxa"/>
            <w:noWrap/>
            <w:vAlign w:val="center"/>
          </w:tcPr>
          <w:p w14:paraId="63F106D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尿电解质</w:t>
            </w:r>
          </w:p>
        </w:tc>
        <w:tc>
          <w:tcPr>
            <w:tcW w:w="3191" w:type="dxa"/>
            <w:gridSpan w:val="2"/>
            <w:vMerge w:val="continue"/>
            <w:noWrap/>
            <w:vAlign w:val="center"/>
          </w:tcPr>
          <w:p w14:paraId="280DB00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4ED3A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64AA95B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90</w:t>
            </w:r>
          </w:p>
        </w:tc>
        <w:tc>
          <w:tcPr>
            <w:tcW w:w="5673" w:type="dxa"/>
            <w:noWrap/>
            <w:vAlign w:val="center"/>
          </w:tcPr>
          <w:p w14:paraId="529A27D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尿淀粉酶</w:t>
            </w:r>
          </w:p>
        </w:tc>
        <w:tc>
          <w:tcPr>
            <w:tcW w:w="3191" w:type="dxa"/>
            <w:gridSpan w:val="2"/>
            <w:vMerge w:val="continue"/>
            <w:noWrap/>
            <w:vAlign w:val="center"/>
          </w:tcPr>
          <w:p w14:paraId="78C7722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7593B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4028B09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91</w:t>
            </w:r>
          </w:p>
        </w:tc>
        <w:tc>
          <w:tcPr>
            <w:tcW w:w="5673" w:type="dxa"/>
            <w:noWrap/>
            <w:vAlign w:val="center"/>
          </w:tcPr>
          <w:p w14:paraId="203E996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胸腹水常规</w:t>
            </w:r>
          </w:p>
        </w:tc>
        <w:tc>
          <w:tcPr>
            <w:tcW w:w="3191" w:type="dxa"/>
            <w:gridSpan w:val="2"/>
            <w:vMerge w:val="continue"/>
            <w:noWrap/>
            <w:vAlign w:val="center"/>
          </w:tcPr>
          <w:p w14:paraId="2E227F0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36FF6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5446A1B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92</w:t>
            </w:r>
          </w:p>
        </w:tc>
        <w:tc>
          <w:tcPr>
            <w:tcW w:w="5673" w:type="dxa"/>
            <w:noWrap/>
            <w:vAlign w:val="center"/>
          </w:tcPr>
          <w:p w14:paraId="38C8E7A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胸腹水生化</w:t>
            </w:r>
          </w:p>
        </w:tc>
        <w:tc>
          <w:tcPr>
            <w:tcW w:w="3191" w:type="dxa"/>
            <w:gridSpan w:val="2"/>
            <w:vMerge w:val="continue"/>
            <w:noWrap/>
            <w:vAlign w:val="center"/>
          </w:tcPr>
          <w:p w14:paraId="2CDC526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2A429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62E023F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93</w:t>
            </w:r>
          </w:p>
        </w:tc>
        <w:tc>
          <w:tcPr>
            <w:tcW w:w="5673" w:type="dxa"/>
            <w:noWrap/>
            <w:vAlign w:val="center"/>
          </w:tcPr>
          <w:p w14:paraId="4A55E20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利培酮</w:t>
            </w:r>
          </w:p>
        </w:tc>
        <w:tc>
          <w:tcPr>
            <w:tcW w:w="3191" w:type="dxa"/>
            <w:gridSpan w:val="2"/>
            <w:vMerge w:val="continue"/>
            <w:noWrap/>
            <w:vAlign w:val="center"/>
          </w:tcPr>
          <w:p w14:paraId="21B3762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2AD35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noWrap/>
            <w:vAlign w:val="center"/>
          </w:tcPr>
          <w:p w14:paraId="6524D9F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94</w:t>
            </w:r>
          </w:p>
        </w:tc>
        <w:tc>
          <w:tcPr>
            <w:tcW w:w="5673" w:type="dxa"/>
            <w:noWrap/>
            <w:vAlign w:val="center"/>
          </w:tcPr>
          <w:p w14:paraId="365049B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sz w:val="22"/>
                <w:szCs w:val="22"/>
                <w:highlight w:val="none"/>
                <w:u w:val="none"/>
              </w:rPr>
            </w:pPr>
            <w:r>
              <w:rPr>
                <w:rFonts w:hint="eastAsia" w:ascii="新宋体" w:hAnsi="新宋体" w:eastAsia="新宋体" w:cs="新宋体"/>
                <w:i w:val="0"/>
                <w:iCs w:val="0"/>
                <w:color w:val="auto"/>
                <w:kern w:val="0"/>
                <w:sz w:val="22"/>
                <w:szCs w:val="22"/>
                <w:highlight w:val="none"/>
                <w:u w:val="none"/>
                <w:lang w:val="en-US" w:eastAsia="zh-CN" w:bidi="ar"/>
              </w:rPr>
              <w:t>9-羟利培酮</w:t>
            </w:r>
          </w:p>
        </w:tc>
        <w:tc>
          <w:tcPr>
            <w:tcW w:w="3191" w:type="dxa"/>
            <w:gridSpan w:val="2"/>
            <w:vMerge w:val="continue"/>
            <w:noWrap/>
            <w:vAlign w:val="center"/>
          </w:tcPr>
          <w:p w14:paraId="7373700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64553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shd w:val="clear" w:color="auto" w:fill="auto"/>
            <w:noWrap/>
            <w:vAlign w:val="center"/>
          </w:tcPr>
          <w:p w14:paraId="4D954AC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r>
              <w:rPr>
                <w:rFonts w:hint="eastAsia" w:ascii="新宋体" w:hAnsi="新宋体" w:eastAsia="新宋体" w:cs="新宋体"/>
                <w:i w:val="0"/>
                <w:iCs w:val="0"/>
                <w:color w:val="auto"/>
                <w:kern w:val="0"/>
                <w:sz w:val="22"/>
                <w:szCs w:val="22"/>
                <w:highlight w:val="none"/>
                <w:u w:val="none"/>
                <w:lang w:val="en-US" w:eastAsia="zh-CN" w:bidi="ar"/>
              </w:rPr>
              <w:t>95</w:t>
            </w:r>
          </w:p>
        </w:tc>
        <w:tc>
          <w:tcPr>
            <w:tcW w:w="5673" w:type="dxa"/>
            <w:shd w:val="clear" w:color="auto" w:fill="auto"/>
            <w:noWrap/>
            <w:vAlign w:val="center"/>
          </w:tcPr>
          <w:p w14:paraId="1FFE5942">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kern w:val="0"/>
                <w:sz w:val="22"/>
                <w:szCs w:val="22"/>
                <w:highlight w:val="none"/>
                <w:u w:val="none"/>
                <w:lang w:val="en-US" w:eastAsia="zh-CN" w:bidi="ar"/>
              </w:rPr>
            </w:pPr>
            <w:r>
              <w:rPr>
                <w:rFonts w:hint="eastAsia" w:ascii="新宋体" w:hAnsi="新宋体" w:eastAsia="新宋体" w:cs="新宋体"/>
                <w:i w:val="0"/>
                <w:iCs w:val="0"/>
                <w:color w:val="auto"/>
                <w:kern w:val="0"/>
                <w:sz w:val="22"/>
                <w:szCs w:val="22"/>
                <w:highlight w:val="none"/>
                <w:u w:val="none"/>
                <w:lang w:val="en-US" w:eastAsia="zh-CN" w:bidi="ar"/>
              </w:rPr>
              <w:t>地高辛</w:t>
            </w:r>
          </w:p>
        </w:tc>
        <w:tc>
          <w:tcPr>
            <w:tcW w:w="3191" w:type="dxa"/>
            <w:gridSpan w:val="2"/>
            <w:vMerge w:val="continue"/>
            <w:shd w:val="clear" w:color="auto" w:fill="auto"/>
            <w:noWrap/>
            <w:vAlign w:val="center"/>
          </w:tcPr>
          <w:p w14:paraId="2938BE7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470B1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shd w:val="clear" w:color="auto" w:fill="auto"/>
            <w:noWrap/>
            <w:vAlign w:val="center"/>
          </w:tcPr>
          <w:p w14:paraId="78D9566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r>
              <w:rPr>
                <w:rFonts w:hint="eastAsia" w:ascii="新宋体" w:hAnsi="新宋体" w:eastAsia="新宋体" w:cs="新宋体"/>
                <w:i w:val="0"/>
                <w:iCs w:val="0"/>
                <w:color w:val="auto"/>
                <w:kern w:val="0"/>
                <w:sz w:val="22"/>
                <w:szCs w:val="22"/>
                <w:highlight w:val="none"/>
                <w:u w:val="none"/>
                <w:lang w:val="en-US" w:eastAsia="zh-CN" w:bidi="ar"/>
              </w:rPr>
              <w:t>96</w:t>
            </w:r>
          </w:p>
        </w:tc>
        <w:tc>
          <w:tcPr>
            <w:tcW w:w="5673" w:type="dxa"/>
            <w:shd w:val="clear" w:color="auto" w:fill="auto"/>
            <w:noWrap/>
            <w:vAlign w:val="center"/>
          </w:tcPr>
          <w:p w14:paraId="0C26AF50">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kern w:val="0"/>
                <w:sz w:val="22"/>
                <w:szCs w:val="22"/>
                <w:highlight w:val="none"/>
                <w:u w:val="none"/>
                <w:lang w:val="en-US" w:eastAsia="zh-CN" w:bidi="ar"/>
              </w:rPr>
            </w:pPr>
            <w:r>
              <w:rPr>
                <w:rFonts w:hint="eastAsia" w:ascii="新宋体" w:hAnsi="新宋体" w:eastAsia="新宋体" w:cs="新宋体"/>
                <w:i w:val="0"/>
                <w:iCs w:val="0"/>
                <w:color w:val="auto"/>
                <w:kern w:val="0"/>
                <w:sz w:val="22"/>
                <w:szCs w:val="22"/>
                <w:highlight w:val="none"/>
                <w:u w:val="none"/>
                <w:lang w:val="en-US" w:eastAsia="zh-CN" w:bidi="ar"/>
              </w:rPr>
              <w:t>卡马西平浓度</w:t>
            </w:r>
          </w:p>
        </w:tc>
        <w:tc>
          <w:tcPr>
            <w:tcW w:w="3191" w:type="dxa"/>
            <w:gridSpan w:val="2"/>
            <w:vMerge w:val="continue"/>
            <w:shd w:val="clear" w:color="auto" w:fill="auto"/>
            <w:noWrap/>
            <w:vAlign w:val="center"/>
          </w:tcPr>
          <w:p w14:paraId="55EBBBD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r w14:paraId="185D7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77" w:type="dxa"/>
            <w:shd w:val="clear" w:color="auto" w:fill="auto"/>
            <w:noWrap/>
            <w:vAlign w:val="center"/>
          </w:tcPr>
          <w:p w14:paraId="23DE43C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r>
              <w:rPr>
                <w:rFonts w:hint="eastAsia" w:ascii="新宋体" w:hAnsi="新宋体" w:eastAsia="新宋体" w:cs="新宋体"/>
                <w:i w:val="0"/>
                <w:iCs w:val="0"/>
                <w:color w:val="auto"/>
                <w:kern w:val="0"/>
                <w:sz w:val="22"/>
                <w:szCs w:val="22"/>
                <w:highlight w:val="none"/>
                <w:u w:val="none"/>
                <w:lang w:val="en-US" w:eastAsia="zh-CN" w:bidi="ar"/>
              </w:rPr>
              <w:t>97</w:t>
            </w:r>
          </w:p>
        </w:tc>
        <w:tc>
          <w:tcPr>
            <w:tcW w:w="5673" w:type="dxa"/>
            <w:shd w:val="clear" w:color="auto" w:fill="auto"/>
            <w:noWrap/>
            <w:vAlign w:val="center"/>
          </w:tcPr>
          <w:p w14:paraId="6B438F8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i w:val="0"/>
                <w:iCs w:val="0"/>
                <w:color w:val="auto"/>
                <w:kern w:val="0"/>
                <w:sz w:val="22"/>
                <w:szCs w:val="22"/>
                <w:highlight w:val="none"/>
                <w:u w:val="none"/>
                <w:lang w:val="en-US" w:eastAsia="zh-CN" w:bidi="ar"/>
              </w:rPr>
            </w:pPr>
            <w:r>
              <w:rPr>
                <w:rFonts w:hint="eastAsia" w:ascii="新宋体" w:hAnsi="新宋体" w:eastAsia="新宋体" w:cs="新宋体"/>
                <w:i w:val="0"/>
                <w:iCs w:val="0"/>
                <w:color w:val="auto"/>
                <w:kern w:val="0"/>
                <w:sz w:val="22"/>
                <w:szCs w:val="22"/>
                <w:highlight w:val="none"/>
                <w:u w:val="none"/>
                <w:lang w:val="en-US" w:eastAsia="zh-CN" w:bidi="ar"/>
              </w:rPr>
              <w:t>结核感染T细胞检测(TB-IGRA)</w:t>
            </w:r>
          </w:p>
        </w:tc>
        <w:tc>
          <w:tcPr>
            <w:tcW w:w="3191" w:type="dxa"/>
            <w:gridSpan w:val="2"/>
            <w:vMerge w:val="continue"/>
            <w:shd w:val="clear" w:color="auto" w:fill="auto"/>
            <w:noWrap/>
            <w:vAlign w:val="center"/>
          </w:tcPr>
          <w:p w14:paraId="7698ECC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i w:val="0"/>
                <w:iCs w:val="0"/>
                <w:color w:val="auto"/>
                <w:kern w:val="0"/>
                <w:sz w:val="22"/>
                <w:szCs w:val="22"/>
                <w:highlight w:val="none"/>
                <w:u w:val="none"/>
                <w:lang w:val="en-US" w:eastAsia="zh-CN" w:bidi="ar"/>
              </w:rPr>
            </w:pPr>
          </w:p>
        </w:tc>
      </w:tr>
    </w:tbl>
    <w:p w14:paraId="4BD7B4E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p>
    <w:p w14:paraId="071E8EC2">
      <w:pPr>
        <w:pStyle w:val="24"/>
        <w:keepNext w:val="0"/>
        <w:keepLines w:val="0"/>
        <w:pageBreakBefore w:val="0"/>
        <w:kinsoku/>
        <w:wordWrap/>
        <w:overflowPunct/>
        <w:topLinePunct w:val="0"/>
        <w:autoSpaceDE/>
        <w:autoSpaceDN/>
        <w:bidi w:val="0"/>
        <w:adjustRightInd/>
        <w:snapToGrid/>
        <w:spacing w:line="460" w:lineRule="exact"/>
        <w:ind w:left="0" w:leftChars="0"/>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22"/>
          <w:szCs w:val="22"/>
          <w:highlight w:val="none"/>
        </w:rPr>
        <w:br w:type="page"/>
      </w:r>
      <w:bookmarkStart w:id="31" w:name="_Toc10231"/>
      <w:r>
        <w:rPr>
          <w:rFonts w:hint="eastAsia" w:ascii="新宋体" w:hAnsi="新宋体" w:eastAsia="新宋体" w:cs="新宋体"/>
          <w:b/>
          <w:color w:val="auto"/>
          <w:sz w:val="30"/>
          <w:highlight w:val="none"/>
        </w:rPr>
        <w:t>第五部分   评标原则及方法</w:t>
      </w:r>
      <w:bookmarkEnd w:id="31"/>
    </w:p>
    <w:p w14:paraId="7351B727">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lang w:val="en-US" w:eastAsia="zh-CN"/>
        </w:rPr>
        <w:t>参</w:t>
      </w:r>
      <w:r>
        <w:rPr>
          <w:rFonts w:hint="eastAsia" w:ascii="新宋体" w:hAnsi="新宋体" w:eastAsia="新宋体" w:cs="新宋体"/>
          <w:b/>
          <w:color w:val="auto"/>
          <w:sz w:val="22"/>
          <w:szCs w:val="22"/>
          <w:highlight w:val="none"/>
        </w:rPr>
        <w:t>照《中华人民共和国政府采购法》、《政府采购货物和服务招标投标管理办法》、《中华人民共和国政府采购法实施条例》和《关于进一步规范政府采购活动的若干意见》等相关法规特制定以下评标办法。</w:t>
      </w:r>
    </w:p>
    <w:p w14:paraId="0700E470">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color w:val="auto"/>
          <w:sz w:val="22"/>
          <w:szCs w:val="22"/>
          <w:highlight w:val="none"/>
        </w:rPr>
      </w:pPr>
      <w:bookmarkStart w:id="32" w:name="_Toc11569"/>
      <w:r>
        <w:rPr>
          <w:rFonts w:hint="eastAsia" w:ascii="新宋体" w:hAnsi="新宋体" w:eastAsia="新宋体" w:cs="新宋体"/>
          <w:b/>
          <w:color w:val="auto"/>
          <w:sz w:val="22"/>
          <w:szCs w:val="22"/>
          <w:highlight w:val="none"/>
        </w:rPr>
        <w:t>一、总 则</w:t>
      </w:r>
      <w:bookmarkEnd w:id="32"/>
    </w:p>
    <w:p w14:paraId="6835053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14:paraId="4BEF2E6C">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color w:val="auto"/>
          <w:sz w:val="22"/>
          <w:szCs w:val="22"/>
          <w:highlight w:val="none"/>
        </w:rPr>
      </w:pPr>
      <w:bookmarkStart w:id="33" w:name="_Toc32037"/>
      <w:r>
        <w:rPr>
          <w:rFonts w:hint="eastAsia" w:ascii="新宋体" w:hAnsi="新宋体" w:eastAsia="新宋体" w:cs="新宋体"/>
          <w:b/>
          <w:color w:val="auto"/>
          <w:sz w:val="22"/>
          <w:szCs w:val="22"/>
          <w:highlight w:val="none"/>
        </w:rPr>
        <w:t>二、</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组织</w:t>
      </w:r>
      <w:bookmarkEnd w:id="33"/>
    </w:p>
    <w:p w14:paraId="76D8C12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评标工作由招标人组建的评标委员会负责，评标全过程由有关部门指导监督。</w:t>
      </w:r>
    </w:p>
    <w:p w14:paraId="4AC01FEC">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color w:val="auto"/>
          <w:sz w:val="22"/>
          <w:szCs w:val="22"/>
          <w:highlight w:val="none"/>
        </w:rPr>
      </w:pPr>
      <w:bookmarkStart w:id="34" w:name="_Toc17618"/>
      <w:r>
        <w:rPr>
          <w:rFonts w:hint="eastAsia" w:ascii="新宋体" w:hAnsi="新宋体" w:eastAsia="新宋体" w:cs="新宋体"/>
          <w:b/>
          <w:color w:val="auto"/>
          <w:sz w:val="22"/>
          <w:szCs w:val="22"/>
          <w:highlight w:val="none"/>
        </w:rPr>
        <w:t>三、</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程序</w:t>
      </w:r>
      <w:bookmarkEnd w:id="34"/>
    </w:p>
    <w:p w14:paraId="76DEC40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评标委员按照招标文件中规定的评标方法和标准，对投标文件进行商务和技术评估，综合比较与评价</w:t>
      </w:r>
      <w:r>
        <w:rPr>
          <w:rFonts w:hint="eastAsia" w:ascii="新宋体" w:hAnsi="新宋体" w:eastAsia="新宋体" w:cs="新宋体"/>
          <w:color w:val="auto"/>
          <w:sz w:val="22"/>
          <w:szCs w:val="22"/>
          <w:highlight w:val="none"/>
        </w:rPr>
        <w:t>，根据综合评审结果，提交评审报告。</w:t>
      </w:r>
    </w:p>
    <w:p w14:paraId="00802BF3">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color w:val="auto"/>
          <w:sz w:val="22"/>
          <w:szCs w:val="22"/>
          <w:highlight w:val="none"/>
        </w:rPr>
      </w:pPr>
      <w:bookmarkStart w:id="35" w:name="_Toc997"/>
      <w:r>
        <w:rPr>
          <w:rFonts w:hint="eastAsia" w:ascii="新宋体" w:hAnsi="新宋体" w:eastAsia="新宋体" w:cs="新宋体"/>
          <w:b/>
          <w:color w:val="auto"/>
          <w:sz w:val="22"/>
          <w:szCs w:val="22"/>
          <w:highlight w:val="none"/>
        </w:rPr>
        <w:t>四、评标办法</w:t>
      </w:r>
      <w:bookmarkEnd w:id="35"/>
    </w:p>
    <w:p w14:paraId="7931DF5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次采购采用百分制综合评分法，即投标人最大限度地满足招标文件实质性要求的基础上，按照招标文件的各项因素进行综合评审后，按评审后得分（即商务技术分与报价分之和）由高到低顺序排序，确定中标候选人的评标方法。根据采购要求，</w:t>
      </w:r>
      <w:r>
        <w:rPr>
          <w:rFonts w:hint="eastAsia" w:ascii="新宋体" w:hAnsi="新宋体" w:eastAsia="新宋体" w:cs="新宋体"/>
          <w:b/>
          <w:color w:val="auto"/>
          <w:sz w:val="22"/>
          <w:szCs w:val="22"/>
          <w:highlight w:val="none"/>
        </w:rPr>
        <w:t>总分设定为100分：商务技术</w:t>
      </w:r>
      <w:r>
        <w:rPr>
          <w:rFonts w:hint="eastAsia" w:ascii="新宋体" w:hAnsi="新宋体" w:eastAsia="新宋体" w:cs="新宋体"/>
          <w:b/>
          <w:color w:val="auto"/>
          <w:sz w:val="22"/>
          <w:szCs w:val="22"/>
          <w:highlight w:val="none"/>
          <w:lang w:val="en-US" w:eastAsia="zh-CN"/>
        </w:rPr>
        <w:t>7</w:t>
      </w:r>
      <w:r>
        <w:rPr>
          <w:rFonts w:hint="eastAsia" w:ascii="新宋体" w:hAnsi="新宋体" w:eastAsia="新宋体" w:cs="新宋体"/>
          <w:b/>
          <w:color w:val="auto"/>
          <w:sz w:val="22"/>
          <w:szCs w:val="22"/>
          <w:highlight w:val="none"/>
        </w:rPr>
        <w:t>0分（权值</w:t>
      </w:r>
      <w:r>
        <w:rPr>
          <w:rFonts w:hint="eastAsia" w:ascii="新宋体" w:hAnsi="新宋体" w:eastAsia="新宋体" w:cs="新宋体"/>
          <w:b/>
          <w:color w:val="auto"/>
          <w:sz w:val="22"/>
          <w:szCs w:val="22"/>
          <w:highlight w:val="none"/>
          <w:lang w:val="en-US" w:eastAsia="zh-CN"/>
        </w:rPr>
        <w:t>7</w:t>
      </w:r>
      <w:r>
        <w:rPr>
          <w:rFonts w:hint="eastAsia" w:ascii="新宋体" w:hAnsi="新宋体" w:eastAsia="新宋体" w:cs="新宋体"/>
          <w:b/>
          <w:color w:val="auto"/>
          <w:sz w:val="22"/>
          <w:szCs w:val="22"/>
          <w:highlight w:val="none"/>
        </w:rPr>
        <w:t>0%），报价</w:t>
      </w:r>
      <w:r>
        <w:rPr>
          <w:rFonts w:hint="eastAsia" w:ascii="新宋体" w:hAnsi="新宋体" w:eastAsia="新宋体" w:cs="新宋体"/>
          <w:b/>
          <w:color w:val="auto"/>
          <w:sz w:val="22"/>
          <w:szCs w:val="22"/>
          <w:highlight w:val="none"/>
          <w:lang w:val="en-US" w:eastAsia="zh-CN"/>
        </w:rPr>
        <w:t>3</w:t>
      </w:r>
      <w:r>
        <w:rPr>
          <w:rFonts w:hint="eastAsia" w:ascii="新宋体" w:hAnsi="新宋体" w:eastAsia="新宋体" w:cs="新宋体"/>
          <w:b/>
          <w:color w:val="auto"/>
          <w:sz w:val="22"/>
          <w:szCs w:val="22"/>
          <w:highlight w:val="none"/>
        </w:rPr>
        <w:t>0分（权值</w:t>
      </w:r>
      <w:r>
        <w:rPr>
          <w:rFonts w:hint="eastAsia" w:ascii="新宋体" w:hAnsi="新宋体" w:eastAsia="新宋体" w:cs="新宋体"/>
          <w:b/>
          <w:color w:val="auto"/>
          <w:sz w:val="22"/>
          <w:szCs w:val="22"/>
          <w:highlight w:val="none"/>
          <w:lang w:val="en-US" w:eastAsia="zh-CN"/>
        </w:rPr>
        <w:t>3</w:t>
      </w:r>
      <w:r>
        <w:rPr>
          <w:rFonts w:hint="eastAsia" w:ascii="新宋体" w:hAnsi="新宋体" w:eastAsia="新宋体" w:cs="新宋体"/>
          <w:b/>
          <w:color w:val="auto"/>
          <w:sz w:val="22"/>
          <w:szCs w:val="22"/>
          <w:highlight w:val="none"/>
        </w:rPr>
        <w:t>0%）。</w:t>
      </w:r>
    </w:p>
    <w:p w14:paraId="25C1D9D2">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color w:val="auto"/>
          <w:sz w:val="22"/>
          <w:szCs w:val="22"/>
          <w:highlight w:val="none"/>
        </w:rPr>
      </w:pPr>
      <w:bookmarkStart w:id="36" w:name="_Toc3662"/>
      <w:r>
        <w:rPr>
          <w:rFonts w:hint="eastAsia" w:ascii="新宋体" w:hAnsi="新宋体" w:eastAsia="新宋体" w:cs="新宋体"/>
          <w:b/>
          <w:color w:val="auto"/>
          <w:sz w:val="22"/>
          <w:szCs w:val="22"/>
          <w:highlight w:val="none"/>
        </w:rPr>
        <w:t>五、</w:t>
      </w:r>
      <w:r>
        <w:rPr>
          <w:rFonts w:hint="eastAsia" w:ascii="新宋体" w:hAnsi="新宋体" w:eastAsia="新宋体" w:cs="新宋体"/>
          <w:b/>
          <w:bCs/>
          <w:color w:val="auto"/>
          <w:sz w:val="22"/>
          <w:szCs w:val="22"/>
          <w:highlight w:val="none"/>
        </w:rPr>
        <w:t>评分</w:t>
      </w:r>
      <w:r>
        <w:rPr>
          <w:rFonts w:hint="eastAsia" w:ascii="新宋体" w:hAnsi="新宋体" w:eastAsia="新宋体" w:cs="新宋体"/>
          <w:b/>
          <w:color w:val="auto"/>
          <w:sz w:val="22"/>
          <w:szCs w:val="22"/>
          <w:highlight w:val="none"/>
        </w:rPr>
        <w:t>细则</w:t>
      </w:r>
      <w:bookmarkEnd w:id="36"/>
    </w:p>
    <w:p w14:paraId="39E79C40">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1、技术分的评定：商务技术</w:t>
      </w:r>
      <w:r>
        <w:rPr>
          <w:rFonts w:hint="eastAsia" w:ascii="新宋体" w:hAnsi="新宋体" w:eastAsia="新宋体" w:cs="新宋体"/>
          <w:b/>
          <w:color w:val="auto"/>
          <w:sz w:val="22"/>
          <w:szCs w:val="22"/>
          <w:highlight w:val="none"/>
          <w:lang w:val="en-US" w:eastAsia="zh-CN"/>
        </w:rPr>
        <w:t>7</w:t>
      </w:r>
      <w:r>
        <w:rPr>
          <w:rFonts w:hint="eastAsia" w:ascii="新宋体" w:hAnsi="新宋体" w:eastAsia="新宋体" w:cs="新宋体"/>
          <w:b/>
          <w:color w:val="auto"/>
          <w:sz w:val="22"/>
          <w:szCs w:val="22"/>
          <w:highlight w:val="none"/>
        </w:rPr>
        <w:t>0分（权值</w:t>
      </w:r>
      <w:r>
        <w:rPr>
          <w:rFonts w:hint="eastAsia" w:ascii="新宋体" w:hAnsi="新宋体" w:eastAsia="新宋体" w:cs="新宋体"/>
          <w:b/>
          <w:color w:val="auto"/>
          <w:sz w:val="22"/>
          <w:szCs w:val="22"/>
          <w:highlight w:val="none"/>
          <w:lang w:val="en-US" w:eastAsia="zh-CN"/>
        </w:rPr>
        <w:t>7</w:t>
      </w:r>
      <w:r>
        <w:rPr>
          <w:rFonts w:hint="eastAsia" w:ascii="新宋体" w:hAnsi="新宋体" w:eastAsia="新宋体" w:cs="新宋体"/>
          <w:b/>
          <w:color w:val="auto"/>
          <w:sz w:val="22"/>
          <w:szCs w:val="22"/>
          <w:highlight w:val="none"/>
        </w:rPr>
        <w:t>0%）</w:t>
      </w:r>
    </w:p>
    <w:p w14:paraId="1F9B423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53"/>
        <w:tblW w:w="9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2284"/>
        <w:gridCol w:w="723"/>
        <w:gridCol w:w="6115"/>
      </w:tblGrid>
      <w:tr w14:paraId="6AAC1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8" w:type="dxa"/>
            <w:tcBorders>
              <w:top w:val="single" w:color="auto" w:sz="4" w:space="0"/>
              <w:left w:val="single" w:color="auto" w:sz="4" w:space="0"/>
              <w:bottom w:val="single" w:color="auto" w:sz="4" w:space="0"/>
              <w:right w:val="single" w:color="auto" w:sz="4" w:space="0"/>
            </w:tcBorders>
            <w:noWrap w:val="0"/>
            <w:vAlign w:val="center"/>
          </w:tcPr>
          <w:p w14:paraId="1E9DEB2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序号</w:t>
            </w:r>
          </w:p>
        </w:tc>
        <w:tc>
          <w:tcPr>
            <w:tcW w:w="2284" w:type="dxa"/>
            <w:tcBorders>
              <w:top w:val="single" w:color="auto" w:sz="4" w:space="0"/>
              <w:left w:val="single" w:color="auto" w:sz="4" w:space="0"/>
              <w:bottom w:val="single" w:color="auto" w:sz="4" w:space="0"/>
              <w:right w:val="single" w:color="auto" w:sz="4" w:space="0"/>
            </w:tcBorders>
            <w:noWrap w:val="0"/>
            <w:vAlign w:val="center"/>
          </w:tcPr>
          <w:p w14:paraId="5FDF71A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评分项目</w:t>
            </w:r>
          </w:p>
        </w:tc>
        <w:tc>
          <w:tcPr>
            <w:tcW w:w="723" w:type="dxa"/>
            <w:tcBorders>
              <w:top w:val="single" w:color="auto" w:sz="4" w:space="0"/>
              <w:left w:val="single" w:color="auto" w:sz="4" w:space="0"/>
              <w:bottom w:val="single" w:color="auto" w:sz="4" w:space="0"/>
              <w:right w:val="single" w:color="auto" w:sz="4" w:space="0"/>
            </w:tcBorders>
            <w:noWrap w:val="0"/>
            <w:vAlign w:val="center"/>
          </w:tcPr>
          <w:p w14:paraId="6D8E7C2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分值</w:t>
            </w:r>
          </w:p>
        </w:tc>
        <w:tc>
          <w:tcPr>
            <w:tcW w:w="6115" w:type="dxa"/>
            <w:tcBorders>
              <w:top w:val="single" w:color="auto" w:sz="4" w:space="0"/>
              <w:left w:val="single" w:color="auto" w:sz="4" w:space="0"/>
              <w:bottom w:val="single" w:color="auto" w:sz="4" w:space="0"/>
              <w:right w:val="single" w:color="auto" w:sz="4" w:space="0"/>
            </w:tcBorders>
            <w:noWrap w:val="0"/>
            <w:vAlign w:val="center"/>
          </w:tcPr>
          <w:p w14:paraId="6FFEBC7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评标标准及说明</w:t>
            </w:r>
          </w:p>
        </w:tc>
      </w:tr>
      <w:tr w14:paraId="6209C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8" w:type="dxa"/>
            <w:tcBorders>
              <w:top w:val="single" w:color="auto" w:sz="4" w:space="0"/>
              <w:left w:val="single" w:color="auto" w:sz="4" w:space="0"/>
              <w:bottom w:val="single" w:color="auto" w:sz="4" w:space="0"/>
              <w:right w:val="single" w:color="auto" w:sz="4" w:space="0"/>
            </w:tcBorders>
            <w:noWrap w:val="0"/>
            <w:vAlign w:val="center"/>
          </w:tcPr>
          <w:p w14:paraId="1E29A50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lang w:val="en-US" w:eastAsia="zh-CN"/>
              </w:rPr>
              <w:t>1</w:t>
            </w:r>
          </w:p>
        </w:tc>
        <w:tc>
          <w:tcPr>
            <w:tcW w:w="2284" w:type="dxa"/>
            <w:tcBorders>
              <w:top w:val="single" w:color="auto" w:sz="4" w:space="0"/>
              <w:left w:val="single" w:color="auto" w:sz="4" w:space="0"/>
              <w:bottom w:val="single" w:color="auto" w:sz="4" w:space="0"/>
              <w:right w:val="single" w:color="auto" w:sz="4" w:space="0"/>
            </w:tcBorders>
            <w:noWrap w:val="0"/>
            <w:vAlign w:val="center"/>
          </w:tcPr>
          <w:p w14:paraId="7C1A2DF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i w:val="0"/>
                <w:iCs w:val="0"/>
                <w:color w:val="auto"/>
                <w:kern w:val="0"/>
                <w:sz w:val="22"/>
                <w:szCs w:val="22"/>
                <w:highlight w:val="none"/>
                <w:u w:val="none"/>
                <w:lang w:val="en-US" w:eastAsia="zh-CN" w:bidi="ar"/>
              </w:rPr>
              <w:t>总体服务方案</w:t>
            </w:r>
          </w:p>
        </w:tc>
        <w:tc>
          <w:tcPr>
            <w:tcW w:w="723" w:type="dxa"/>
            <w:tcBorders>
              <w:top w:val="single" w:color="auto" w:sz="4" w:space="0"/>
              <w:left w:val="single" w:color="auto" w:sz="4" w:space="0"/>
              <w:bottom w:val="single" w:color="auto" w:sz="4" w:space="0"/>
              <w:right w:val="single" w:color="auto" w:sz="4" w:space="0"/>
            </w:tcBorders>
            <w:noWrap w:val="0"/>
            <w:vAlign w:val="center"/>
          </w:tcPr>
          <w:p w14:paraId="30D29C1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i w:val="0"/>
                <w:iCs w:val="0"/>
                <w:color w:val="auto"/>
                <w:kern w:val="0"/>
                <w:sz w:val="22"/>
                <w:szCs w:val="22"/>
                <w:highlight w:val="none"/>
                <w:u w:val="none"/>
                <w:lang w:val="en-US" w:eastAsia="zh-CN" w:bidi="ar"/>
              </w:rPr>
              <w:t>5</w:t>
            </w:r>
          </w:p>
        </w:tc>
        <w:tc>
          <w:tcPr>
            <w:tcW w:w="6115" w:type="dxa"/>
            <w:tcBorders>
              <w:top w:val="single" w:color="auto" w:sz="4" w:space="0"/>
              <w:left w:val="single" w:color="auto" w:sz="4" w:space="0"/>
              <w:bottom w:val="single" w:color="auto" w:sz="4" w:space="0"/>
              <w:right w:val="single" w:color="auto" w:sz="4" w:space="0"/>
            </w:tcBorders>
            <w:noWrap w:val="0"/>
            <w:vAlign w:val="center"/>
          </w:tcPr>
          <w:p w14:paraId="7CF7BF1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投标方案的阐述，对投标人自身的介绍（包括公司管理经营模式等方面）、项目实施和管理优势、服务方案等方面因素，与项目需求的吻合程度以及能提供的其它有利于医院检验科长足发展的其他服务等情况综合评分。（评分范围5，3，1，0）</w:t>
            </w:r>
          </w:p>
        </w:tc>
      </w:tr>
      <w:tr w14:paraId="15B38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8" w:type="dxa"/>
            <w:tcBorders>
              <w:top w:val="single" w:color="auto" w:sz="4" w:space="0"/>
              <w:left w:val="single" w:color="auto" w:sz="4" w:space="0"/>
              <w:right w:val="single" w:color="auto" w:sz="4" w:space="0"/>
            </w:tcBorders>
            <w:noWrap w:val="0"/>
            <w:vAlign w:val="center"/>
          </w:tcPr>
          <w:p w14:paraId="1E0AEED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w:t>
            </w:r>
          </w:p>
        </w:tc>
        <w:tc>
          <w:tcPr>
            <w:tcW w:w="2284" w:type="dxa"/>
            <w:tcBorders>
              <w:top w:val="single" w:color="auto" w:sz="4" w:space="0"/>
              <w:left w:val="single" w:color="auto" w:sz="4" w:space="0"/>
              <w:right w:val="single" w:color="auto" w:sz="4" w:space="0"/>
            </w:tcBorders>
            <w:noWrap w:val="0"/>
            <w:vAlign w:val="center"/>
          </w:tcPr>
          <w:p w14:paraId="0CC8CD49">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对应于招标文件技术规格及配置的偏离度</w:t>
            </w:r>
          </w:p>
        </w:tc>
        <w:tc>
          <w:tcPr>
            <w:tcW w:w="723" w:type="dxa"/>
            <w:tcBorders>
              <w:top w:val="single" w:color="auto" w:sz="4" w:space="0"/>
              <w:left w:val="single" w:color="auto" w:sz="4" w:space="0"/>
              <w:bottom w:val="single" w:color="auto" w:sz="4" w:space="0"/>
              <w:right w:val="single" w:color="auto" w:sz="4" w:space="0"/>
            </w:tcBorders>
            <w:noWrap w:val="0"/>
            <w:vAlign w:val="center"/>
          </w:tcPr>
          <w:p w14:paraId="64FF680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30</w:t>
            </w:r>
          </w:p>
        </w:tc>
        <w:tc>
          <w:tcPr>
            <w:tcW w:w="6115" w:type="dxa"/>
            <w:tcBorders>
              <w:top w:val="single" w:color="auto" w:sz="4" w:space="0"/>
              <w:left w:val="single" w:color="auto" w:sz="4" w:space="0"/>
              <w:bottom w:val="single" w:color="auto" w:sz="4" w:space="0"/>
              <w:right w:val="single" w:color="auto" w:sz="4" w:space="0"/>
            </w:tcBorders>
            <w:noWrap w:val="0"/>
            <w:vAlign w:val="center"/>
          </w:tcPr>
          <w:p w14:paraId="466D258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与招标文件招标需求对比，实质性条款除外，一般技术指标负偏离每项扣2分，</w:t>
            </w:r>
            <w:r>
              <w:rPr>
                <w:rFonts w:hint="eastAsia" w:ascii="新宋体" w:hAnsi="新宋体" w:eastAsia="新宋体" w:cs="新宋体"/>
                <w:color w:val="auto"/>
                <w:sz w:val="22"/>
                <w:szCs w:val="22"/>
                <w:highlight w:val="none"/>
              </w:rPr>
              <w:t>商务要求偏离每项扣</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扣完为止</w:t>
            </w:r>
            <w:r>
              <w:rPr>
                <w:rFonts w:hint="eastAsia" w:ascii="新宋体" w:hAnsi="新宋体" w:eastAsia="新宋体" w:cs="新宋体"/>
                <w:color w:val="auto"/>
                <w:sz w:val="22"/>
                <w:szCs w:val="22"/>
                <w:highlight w:val="none"/>
                <w:lang w:val="en-US" w:eastAsia="zh-CN"/>
              </w:rPr>
              <w:t>。</w:t>
            </w:r>
          </w:p>
        </w:tc>
      </w:tr>
      <w:tr w14:paraId="4AC75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8" w:type="dxa"/>
            <w:tcBorders>
              <w:left w:val="single" w:color="auto" w:sz="4" w:space="0"/>
              <w:right w:val="single" w:color="auto" w:sz="4" w:space="0"/>
            </w:tcBorders>
            <w:noWrap w:val="0"/>
            <w:vAlign w:val="center"/>
          </w:tcPr>
          <w:p w14:paraId="073F46C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w:t>
            </w:r>
          </w:p>
        </w:tc>
        <w:tc>
          <w:tcPr>
            <w:tcW w:w="2284" w:type="dxa"/>
            <w:tcBorders>
              <w:left w:val="single" w:color="auto" w:sz="4" w:space="0"/>
              <w:right w:val="single" w:color="auto" w:sz="4" w:space="0"/>
            </w:tcBorders>
            <w:noWrap w:val="0"/>
            <w:vAlign w:val="center"/>
          </w:tcPr>
          <w:p w14:paraId="1B5D4AC4">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检测体系</w:t>
            </w:r>
          </w:p>
        </w:tc>
        <w:tc>
          <w:tcPr>
            <w:tcW w:w="723" w:type="dxa"/>
            <w:tcBorders>
              <w:top w:val="single" w:color="auto" w:sz="4" w:space="0"/>
              <w:left w:val="single" w:color="auto" w:sz="4" w:space="0"/>
              <w:bottom w:val="single" w:color="auto" w:sz="4" w:space="0"/>
              <w:right w:val="single" w:color="auto" w:sz="4" w:space="0"/>
            </w:tcBorders>
            <w:noWrap w:val="0"/>
            <w:vAlign w:val="center"/>
          </w:tcPr>
          <w:p w14:paraId="34565A5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6</w:t>
            </w:r>
          </w:p>
        </w:tc>
        <w:tc>
          <w:tcPr>
            <w:tcW w:w="6115" w:type="dxa"/>
            <w:tcBorders>
              <w:top w:val="single" w:color="auto" w:sz="4" w:space="0"/>
              <w:left w:val="single" w:color="auto" w:sz="4" w:space="0"/>
              <w:bottom w:val="single" w:color="auto" w:sz="4" w:space="0"/>
              <w:right w:val="single" w:color="auto" w:sz="4" w:space="0"/>
            </w:tcBorders>
            <w:noWrap w:val="0"/>
            <w:vAlign w:val="center"/>
          </w:tcPr>
          <w:p w14:paraId="0E9A2AD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投标文件中需提供检验的主要仪器设备和耗材品牌型号清单。</w:t>
            </w:r>
          </w:p>
          <w:p w14:paraId="1B87BCA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根据清单进行先进性综合评分。（评分范围6，4，2，0）</w:t>
            </w:r>
          </w:p>
        </w:tc>
      </w:tr>
      <w:tr w14:paraId="08906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8" w:type="dxa"/>
            <w:tcBorders>
              <w:left w:val="single" w:color="auto" w:sz="4" w:space="0"/>
              <w:right w:val="single" w:color="auto" w:sz="4" w:space="0"/>
            </w:tcBorders>
            <w:noWrap w:val="0"/>
            <w:vAlign w:val="center"/>
          </w:tcPr>
          <w:p w14:paraId="64D1877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w:t>
            </w:r>
          </w:p>
        </w:tc>
        <w:tc>
          <w:tcPr>
            <w:tcW w:w="2284" w:type="dxa"/>
            <w:tcBorders>
              <w:left w:val="single" w:color="auto" w:sz="4" w:space="0"/>
              <w:right w:val="single" w:color="auto" w:sz="4" w:space="0"/>
            </w:tcBorders>
            <w:noWrap w:val="0"/>
            <w:vAlign w:val="center"/>
          </w:tcPr>
          <w:p w14:paraId="65966318">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实验室质量控制体系</w:t>
            </w:r>
          </w:p>
        </w:tc>
        <w:tc>
          <w:tcPr>
            <w:tcW w:w="723" w:type="dxa"/>
            <w:tcBorders>
              <w:top w:val="single" w:color="auto" w:sz="4" w:space="0"/>
              <w:left w:val="single" w:color="auto" w:sz="4" w:space="0"/>
              <w:bottom w:val="single" w:color="auto" w:sz="4" w:space="0"/>
              <w:right w:val="single" w:color="auto" w:sz="4" w:space="0"/>
            </w:tcBorders>
            <w:noWrap w:val="0"/>
            <w:vAlign w:val="center"/>
          </w:tcPr>
          <w:p w14:paraId="25F55C3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8</w:t>
            </w:r>
          </w:p>
        </w:tc>
        <w:tc>
          <w:tcPr>
            <w:tcW w:w="6115" w:type="dxa"/>
            <w:tcBorders>
              <w:top w:val="single" w:color="auto" w:sz="4" w:space="0"/>
              <w:left w:val="single" w:color="auto" w:sz="4" w:space="0"/>
              <w:bottom w:val="single" w:color="auto" w:sz="4" w:space="0"/>
              <w:right w:val="single" w:color="auto" w:sz="4" w:space="0"/>
            </w:tcBorders>
            <w:noWrap w:val="0"/>
            <w:vAlign w:val="center"/>
          </w:tcPr>
          <w:p w14:paraId="1857D333">
            <w:pPr>
              <w:keepNext w:val="0"/>
              <w:keepLines w:val="0"/>
              <w:pageBreakBefore w:val="0"/>
              <w:widowControl/>
              <w:suppressLineNumbers w:val="0"/>
              <w:kinsoku/>
              <w:wordWrap/>
              <w:overflowPunct/>
              <w:topLinePunct w:val="0"/>
              <w:autoSpaceDE/>
              <w:autoSpaceDN/>
              <w:bidi w:val="0"/>
              <w:adjustRightInd/>
              <w:snapToGrid/>
              <w:spacing w:line="460" w:lineRule="exact"/>
              <w:jc w:val="both"/>
              <w:textAlignment w:val="center"/>
              <w:rPr>
                <w:rFonts w:hint="eastAsia" w:ascii="新宋体" w:hAnsi="新宋体" w:eastAsia="新宋体" w:cs="新宋体"/>
                <w:i w:val="0"/>
                <w:iCs w:val="0"/>
                <w:color w:val="auto"/>
                <w:kern w:val="0"/>
                <w:sz w:val="22"/>
                <w:szCs w:val="22"/>
                <w:highlight w:val="none"/>
                <w:u w:val="none"/>
                <w:lang w:val="en-US" w:eastAsia="zh-CN" w:bidi="ar"/>
              </w:rPr>
            </w:pPr>
            <w:r>
              <w:rPr>
                <w:rFonts w:hint="eastAsia" w:ascii="新宋体" w:hAnsi="新宋体" w:eastAsia="新宋体" w:cs="新宋体"/>
                <w:i w:val="0"/>
                <w:iCs w:val="0"/>
                <w:color w:val="auto"/>
                <w:kern w:val="0"/>
                <w:sz w:val="22"/>
                <w:szCs w:val="22"/>
                <w:highlight w:val="none"/>
                <w:u w:val="none"/>
                <w:lang w:val="en-US" w:eastAsia="zh-CN" w:bidi="ar"/>
              </w:rPr>
              <w:t>根据实验室内质量控制体系、方法验证报告的完整性及全面性综合评分。</w:t>
            </w:r>
            <w:r>
              <w:rPr>
                <w:rFonts w:hint="eastAsia" w:ascii="新宋体" w:hAnsi="新宋体" w:eastAsia="新宋体" w:cs="新宋体"/>
                <w:color w:val="auto"/>
                <w:sz w:val="22"/>
                <w:szCs w:val="22"/>
                <w:highlight w:val="none"/>
                <w:lang w:val="en-US" w:eastAsia="zh-CN"/>
              </w:rPr>
              <w:t>（评分范围8，6，4，2，0）</w:t>
            </w:r>
          </w:p>
        </w:tc>
      </w:tr>
      <w:tr w14:paraId="4AD5D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8" w:type="dxa"/>
            <w:tcBorders>
              <w:left w:val="single" w:color="auto" w:sz="4" w:space="0"/>
              <w:right w:val="single" w:color="auto" w:sz="4" w:space="0"/>
            </w:tcBorders>
            <w:noWrap w:val="0"/>
            <w:vAlign w:val="center"/>
          </w:tcPr>
          <w:p w14:paraId="4DB8992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5</w:t>
            </w:r>
          </w:p>
        </w:tc>
        <w:tc>
          <w:tcPr>
            <w:tcW w:w="2284" w:type="dxa"/>
            <w:tcBorders>
              <w:left w:val="single" w:color="auto" w:sz="4" w:space="0"/>
              <w:right w:val="single" w:color="auto" w:sz="4" w:space="0"/>
            </w:tcBorders>
            <w:noWrap w:val="0"/>
            <w:vAlign w:val="center"/>
          </w:tcPr>
          <w:p w14:paraId="43DDD9E3">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实验室技术水平</w:t>
            </w:r>
          </w:p>
        </w:tc>
        <w:tc>
          <w:tcPr>
            <w:tcW w:w="723" w:type="dxa"/>
            <w:tcBorders>
              <w:top w:val="single" w:color="auto" w:sz="4" w:space="0"/>
              <w:left w:val="single" w:color="auto" w:sz="4" w:space="0"/>
              <w:bottom w:val="single" w:color="auto" w:sz="4" w:space="0"/>
              <w:right w:val="single" w:color="auto" w:sz="4" w:space="0"/>
            </w:tcBorders>
            <w:noWrap w:val="0"/>
            <w:vAlign w:val="center"/>
          </w:tcPr>
          <w:p w14:paraId="352975E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6115" w:type="dxa"/>
            <w:tcBorders>
              <w:top w:val="single" w:color="auto" w:sz="4" w:space="0"/>
              <w:left w:val="single" w:color="auto" w:sz="4" w:space="0"/>
              <w:bottom w:val="single" w:color="auto" w:sz="4" w:space="0"/>
              <w:right w:val="single" w:color="auto" w:sz="4" w:space="0"/>
            </w:tcBorders>
            <w:noWrap w:val="0"/>
            <w:vAlign w:val="center"/>
          </w:tcPr>
          <w:p w14:paraId="26F4A8C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根据实验室</w:t>
            </w:r>
            <w:r>
              <w:rPr>
                <w:rFonts w:hint="eastAsia" w:ascii="新宋体" w:hAnsi="新宋体" w:eastAsia="新宋体" w:cs="新宋体"/>
                <w:color w:val="auto"/>
                <w:kern w:val="0"/>
                <w:sz w:val="22"/>
                <w:szCs w:val="22"/>
                <w:highlight w:val="none"/>
              </w:rPr>
              <w:t>通过</w:t>
            </w:r>
            <w:r>
              <w:rPr>
                <w:rFonts w:hint="eastAsia" w:ascii="新宋体" w:hAnsi="新宋体" w:eastAsia="新宋体" w:cs="新宋体"/>
                <w:color w:val="auto"/>
                <w:kern w:val="0"/>
                <w:sz w:val="22"/>
                <w:szCs w:val="22"/>
                <w:highlight w:val="none"/>
                <w:shd w:val="clear" w:color="auto" w:fill="auto"/>
              </w:rPr>
              <w:t>ISO 15189认可开展项目数</w:t>
            </w:r>
            <w:r>
              <w:rPr>
                <w:rFonts w:hint="eastAsia" w:ascii="新宋体" w:hAnsi="新宋体" w:eastAsia="新宋体" w:cs="新宋体"/>
                <w:color w:val="auto"/>
                <w:kern w:val="0"/>
                <w:sz w:val="22"/>
                <w:szCs w:val="22"/>
                <w:highlight w:val="none"/>
                <w:lang w:val="en-US" w:eastAsia="zh-CN"/>
              </w:rPr>
              <w:t>范围广泛程度进行综合评分。</w:t>
            </w:r>
            <w:r>
              <w:rPr>
                <w:rFonts w:hint="eastAsia" w:ascii="新宋体" w:hAnsi="新宋体" w:eastAsia="新宋体" w:cs="新宋体"/>
                <w:color w:val="auto"/>
                <w:sz w:val="22"/>
                <w:szCs w:val="22"/>
                <w:highlight w:val="none"/>
                <w:lang w:val="en-US" w:eastAsia="zh-CN"/>
              </w:rPr>
              <w:t>（评分范围5，3，1，0）</w:t>
            </w:r>
          </w:p>
        </w:tc>
      </w:tr>
      <w:tr w14:paraId="66B0A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8" w:type="dxa"/>
            <w:tcBorders>
              <w:left w:val="single" w:color="auto" w:sz="4" w:space="0"/>
              <w:right w:val="single" w:color="auto" w:sz="4" w:space="0"/>
            </w:tcBorders>
            <w:noWrap w:val="0"/>
            <w:vAlign w:val="center"/>
          </w:tcPr>
          <w:p w14:paraId="0B8344F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6</w:t>
            </w:r>
          </w:p>
        </w:tc>
        <w:tc>
          <w:tcPr>
            <w:tcW w:w="2284" w:type="dxa"/>
            <w:tcBorders>
              <w:left w:val="single" w:color="auto" w:sz="4" w:space="0"/>
              <w:right w:val="single" w:color="auto" w:sz="4" w:space="0"/>
            </w:tcBorders>
            <w:noWrap w:val="0"/>
            <w:vAlign w:val="center"/>
          </w:tcPr>
          <w:p w14:paraId="264A7448">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业绩</w:t>
            </w:r>
          </w:p>
        </w:tc>
        <w:tc>
          <w:tcPr>
            <w:tcW w:w="723" w:type="dxa"/>
            <w:tcBorders>
              <w:top w:val="single" w:color="auto" w:sz="4" w:space="0"/>
              <w:left w:val="single" w:color="auto" w:sz="4" w:space="0"/>
              <w:bottom w:val="single" w:color="auto" w:sz="4" w:space="0"/>
              <w:right w:val="single" w:color="auto" w:sz="4" w:space="0"/>
            </w:tcBorders>
            <w:noWrap w:val="0"/>
            <w:vAlign w:val="center"/>
          </w:tcPr>
          <w:p w14:paraId="73EB628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w:t>
            </w:r>
          </w:p>
        </w:tc>
        <w:tc>
          <w:tcPr>
            <w:tcW w:w="6115" w:type="dxa"/>
            <w:tcBorders>
              <w:top w:val="single" w:color="auto" w:sz="4" w:space="0"/>
              <w:left w:val="single" w:color="auto" w:sz="4" w:space="0"/>
              <w:bottom w:val="single" w:color="auto" w:sz="4" w:space="0"/>
              <w:right w:val="single" w:color="auto" w:sz="4" w:space="0"/>
            </w:tcBorders>
            <w:noWrap w:val="0"/>
            <w:vAlign w:val="center"/>
          </w:tcPr>
          <w:p w14:paraId="13FD481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提供20</w:t>
            </w:r>
            <w:r>
              <w:rPr>
                <w:rFonts w:hint="eastAsia" w:ascii="新宋体" w:hAnsi="新宋体" w:eastAsia="新宋体" w:cs="新宋体"/>
                <w:color w:val="auto"/>
                <w:sz w:val="22"/>
                <w:szCs w:val="22"/>
                <w:highlight w:val="none"/>
                <w:lang w:val="en-US" w:eastAsia="zh-CN"/>
              </w:rPr>
              <w:t>20</w:t>
            </w:r>
            <w:r>
              <w:rPr>
                <w:rFonts w:hint="eastAsia" w:ascii="新宋体" w:hAnsi="新宋体" w:eastAsia="新宋体" w:cs="新宋体"/>
                <w:color w:val="auto"/>
                <w:sz w:val="22"/>
                <w:szCs w:val="22"/>
                <w:highlight w:val="none"/>
              </w:rPr>
              <w:t>年1月1日至今与医疗机构签订的检测外包合作案例，每一个得1分，最高得</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r>
              <w:rPr>
                <w:rFonts w:hint="eastAsia" w:ascii="新宋体" w:hAnsi="新宋体" w:eastAsia="新宋体" w:cs="新宋体"/>
                <w:b/>
                <w:color w:val="auto"/>
                <w:sz w:val="22"/>
                <w:szCs w:val="22"/>
                <w:highlight w:val="none"/>
              </w:rPr>
              <w:t>（提供合同复印件加盖公章）</w:t>
            </w:r>
          </w:p>
        </w:tc>
      </w:tr>
      <w:tr w14:paraId="66900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8" w:type="dxa"/>
            <w:tcBorders>
              <w:left w:val="single" w:color="auto" w:sz="4" w:space="0"/>
              <w:right w:val="single" w:color="auto" w:sz="4" w:space="0"/>
            </w:tcBorders>
            <w:noWrap w:val="0"/>
            <w:vAlign w:val="center"/>
          </w:tcPr>
          <w:p w14:paraId="25059E8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7</w:t>
            </w:r>
          </w:p>
        </w:tc>
        <w:tc>
          <w:tcPr>
            <w:tcW w:w="2284" w:type="dxa"/>
            <w:tcBorders>
              <w:left w:val="single" w:color="auto" w:sz="4" w:space="0"/>
              <w:right w:val="single" w:color="auto" w:sz="4" w:space="0"/>
            </w:tcBorders>
            <w:noWrap w:val="0"/>
            <w:vAlign w:val="center"/>
          </w:tcPr>
          <w:p w14:paraId="23A9FD97">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冷链物流方案</w:t>
            </w:r>
          </w:p>
        </w:tc>
        <w:tc>
          <w:tcPr>
            <w:tcW w:w="723" w:type="dxa"/>
            <w:tcBorders>
              <w:top w:val="single" w:color="auto" w:sz="4" w:space="0"/>
              <w:left w:val="single" w:color="auto" w:sz="4" w:space="0"/>
              <w:bottom w:val="single" w:color="auto" w:sz="4" w:space="0"/>
              <w:right w:val="single" w:color="auto" w:sz="4" w:space="0"/>
            </w:tcBorders>
            <w:noWrap w:val="0"/>
            <w:vAlign w:val="center"/>
          </w:tcPr>
          <w:p w14:paraId="0B2F899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5</w:t>
            </w:r>
          </w:p>
        </w:tc>
        <w:tc>
          <w:tcPr>
            <w:tcW w:w="6115" w:type="dxa"/>
            <w:tcBorders>
              <w:top w:val="single" w:color="auto" w:sz="4" w:space="0"/>
              <w:left w:val="single" w:color="auto" w:sz="4" w:space="0"/>
              <w:bottom w:val="single" w:color="auto" w:sz="4" w:space="0"/>
              <w:right w:val="single" w:color="auto" w:sz="4" w:space="0"/>
            </w:tcBorders>
            <w:noWrap w:val="0"/>
            <w:vAlign w:val="center"/>
          </w:tcPr>
          <w:p w14:paraId="70F5713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提供冷链物流方案，根据方案的完善性及可行性进行</w:t>
            </w:r>
            <w:r>
              <w:rPr>
                <w:rFonts w:hint="eastAsia" w:ascii="新宋体" w:hAnsi="新宋体" w:eastAsia="新宋体" w:cs="新宋体"/>
                <w:color w:val="auto"/>
                <w:sz w:val="22"/>
                <w:szCs w:val="22"/>
                <w:highlight w:val="none"/>
                <w:lang w:val="en-US" w:eastAsia="zh-CN"/>
              </w:rPr>
              <w:t>综合评分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（评分范围5，3，1，0）</w:t>
            </w:r>
          </w:p>
        </w:tc>
      </w:tr>
      <w:tr w14:paraId="7ACD5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18" w:type="dxa"/>
            <w:tcBorders>
              <w:left w:val="single" w:color="auto" w:sz="4" w:space="0"/>
              <w:right w:val="single" w:color="auto" w:sz="4" w:space="0"/>
            </w:tcBorders>
            <w:noWrap w:val="0"/>
            <w:vAlign w:val="center"/>
          </w:tcPr>
          <w:p w14:paraId="206EA10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8</w:t>
            </w:r>
          </w:p>
        </w:tc>
        <w:tc>
          <w:tcPr>
            <w:tcW w:w="2284" w:type="dxa"/>
            <w:tcBorders>
              <w:left w:val="single" w:color="auto" w:sz="4" w:space="0"/>
              <w:right w:val="single" w:color="auto" w:sz="4" w:space="0"/>
            </w:tcBorders>
            <w:noWrap w:val="0"/>
            <w:vAlign w:val="center"/>
          </w:tcPr>
          <w:p w14:paraId="60995288">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检验数据双方系统对接方案</w:t>
            </w:r>
          </w:p>
        </w:tc>
        <w:tc>
          <w:tcPr>
            <w:tcW w:w="723" w:type="dxa"/>
            <w:tcBorders>
              <w:top w:val="single" w:color="auto" w:sz="4" w:space="0"/>
              <w:left w:val="single" w:color="auto" w:sz="4" w:space="0"/>
              <w:bottom w:val="single" w:color="auto" w:sz="4" w:space="0"/>
              <w:right w:val="single" w:color="auto" w:sz="4" w:space="0"/>
            </w:tcBorders>
            <w:noWrap w:val="0"/>
            <w:vAlign w:val="center"/>
          </w:tcPr>
          <w:p w14:paraId="6EBCC30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3</w:t>
            </w:r>
          </w:p>
        </w:tc>
        <w:tc>
          <w:tcPr>
            <w:tcW w:w="6115" w:type="dxa"/>
            <w:tcBorders>
              <w:top w:val="single" w:color="auto" w:sz="4" w:space="0"/>
              <w:left w:val="single" w:color="auto" w:sz="4" w:space="0"/>
              <w:bottom w:val="single" w:color="auto" w:sz="4" w:space="0"/>
              <w:right w:val="single" w:color="auto" w:sz="4" w:space="0"/>
            </w:tcBorders>
            <w:noWrap w:val="0"/>
            <w:vAlign w:val="center"/>
          </w:tcPr>
          <w:p w14:paraId="7CE391D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与合作单位LIS数据对接方案进行</w:t>
            </w:r>
            <w:r>
              <w:rPr>
                <w:rFonts w:hint="eastAsia" w:ascii="新宋体" w:hAnsi="新宋体" w:eastAsia="新宋体" w:cs="新宋体"/>
                <w:color w:val="auto"/>
                <w:sz w:val="22"/>
                <w:szCs w:val="22"/>
                <w:highlight w:val="none"/>
                <w:lang w:val="en-US" w:eastAsia="zh-CN"/>
              </w:rPr>
              <w:t>综合评分。（评分范围3，2，1，0）</w:t>
            </w:r>
          </w:p>
        </w:tc>
      </w:tr>
      <w:tr w14:paraId="1AE91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8" w:type="dxa"/>
            <w:tcBorders>
              <w:left w:val="single" w:color="auto" w:sz="4" w:space="0"/>
              <w:right w:val="single" w:color="auto" w:sz="4" w:space="0"/>
            </w:tcBorders>
            <w:noWrap w:val="0"/>
            <w:vAlign w:val="center"/>
          </w:tcPr>
          <w:p w14:paraId="69F877B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9</w:t>
            </w:r>
          </w:p>
        </w:tc>
        <w:tc>
          <w:tcPr>
            <w:tcW w:w="2284" w:type="dxa"/>
            <w:tcBorders>
              <w:left w:val="single" w:color="auto" w:sz="4" w:space="0"/>
              <w:right w:val="single" w:color="auto" w:sz="4" w:space="0"/>
            </w:tcBorders>
            <w:noWrap w:val="0"/>
            <w:vAlign w:val="center"/>
          </w:tcPr>
          <w:p w14:paraId="36F75497">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医疗风险方案</w:t>
            </w:r>
          </w:p>
        </w:tc>
        <w:tc>
          <w:tcPr>
            <w:tcW w:w="723" w:type="dxa"/>
            <w:tcBorders>
              <w:top w:val="single" w:color="auto" w:sz="4" w:space="0"/>
              <w:left w:val="single" w:color="auto" w:sz="4" w:space="0"/>
              <w:bottom w:val="single" w:color="auto" w:sz="4" w:space="0"/>
              <w:right w:val="single" w:color="auto" w:sz="4" w:space="0"/>
            </w:tcBorders>
            <w:noWrap w:val="0"/>
            <w:vAlign w:val="center"/>
          </w:tcPr>
          <w:p w14:paraId="22E497A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5</w:t>
            </w:r>
          </w:p>
        </w:tc>
        <w:tc>
          <w:tcPr>
            <w:tcW w:w="6115" w:type="dxa"/>
            <w:tcBorders>
              <w:top w:val="single" w:color="auto" w:sz="4" w:space="0"/>
              <w:left w:val="single" w:color="auto" w:sz="4" w:space="0"/>
              <w:bottom w:val="single" w:color="auto" w:sz="4" w:space="0"/>
              <w:right w:val="single" w:color="auto" w:sz="4" w:space="0"/>
            </w:tcBorders>
            <w:noWrap w:val="0"/>
            <w:vAlign w:val="center"/>
          </w:tcPr>
          <w:p w14:paraId="337A39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提供纠纷解决方案的可行性、完善性进行综合评分，不提供或方案不合理不得分。</w:t>
            </w:r>
            <w:r>
              <w:rPr>
                <w:rFonts w:hint="eastAsia" w:ascii="新宋体" w:hAnsi="新宋体" w:eastAsia="新宋体" w:cs="新宋体"/>
                <w:color w:val="auto"/>
                <w:sz w:val="22"/>
                <w:szCs w:val="22"/>
                <w:highlight w:val="none"/>
                <w:lang w:val="en-US" w:eastAsia="zh-CN"/>
              </w:rPr>
              <w:t>（评分范围5，3，1，0）</w:t>
            </w:r>
          </w:p>
        </w:tc>
      </w:tr>
    </w:tbl>
    <w:p w14:paraId="2EC4366B">
      <w:pPr>
        <w:spacing w:line="460" w:lineRule="exact"/>
        <w:ind w:firstLine="442" w:firstLineChars="200"/>
        <w:rPr>
          <w:rFonts w:hint="eastAsia" w:ascii="新宋体" w:hAnsi="新宋体" w:eastAsia="新宋体" w:cs="新宋体"/>
          <w:b/>
          <w:color w:val="auto"/>
          <w:sz w:val="22"/>
          <w:szCs w:val="22"/>
          <w:highlight w:val="none"/>
          <w:lang w:eastAsia="zh-CN"/>
        </w:rPr>
      </w:pPr>
      <w:r>
        <w:rPr>
          <w:rFonts w:hint="eastAsia" w:ascii="新宋体" w:hAnsi="新宋体" w:eastAsia="新宋体" w:cs="新宋体"/>
          <w:b/>
          <w:color w:val="auto"/>
          <w:sz w:val="22"/>
          <w:szCs w:val="22"/>
          <w:highlight w:val="none"/>
        </w:rPr>
        <w:t>2、报价评分（权值</w:t>
      </w:r>
      <w:r>
        <w:rPr>
          <w:rFonts w:hint="eastAsia" w:ascii="新宋体" w:hAnsi="新宋体" w:eastAsia="新宋体" w:cs="新宋体"/>
          <w:b/>
          <w:color w:val="auto"/>
          <w:sz w:val="22"/>
          <w:szCs w:val="22"/>
          <w:highlight w:val="none"/>
          <w:lang w:val="en-US" w:eastAsia="zh-CN"/>
        </w:rPr>
        <w:t>3</w:t>
      </w:r>
      <w:r>
        <w:rPr>
          <w:rFonts w:hint="eastAsia" w:ascii="新宋体" w:hAnsi="新宋体" w:eastAsia="新宋体" w:cs="新宋体"/>
          <w:b/>
          <w:color w:val="auto"/>
          <w:sz w:val="22"/>
          <w:szCs w:val="22"/>
          <w:highlight w:val="none"/>
        </w:rPr>
        <w:t>0%）：</w:t>
      </w:r>
    </w:p>
    <w:p w14:paraId="5173FD0A">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b/>
          <w:bCs/>
          <w:color w:val="auto"/>
          <w:sz w:val="22"/>
          <w:szCs w:val="22"/>
          <w:highlight w:val="none"/>
        </w:rPr>
        <w:t>满足招标文件要求且投标报价（折扣率）最低的为评标基准价（折扣率），其余投标人投标报价（折扣率）与该评标基准价（折扣率）对比，计算出商务评分值（保留小数2位）</w:t>
      </w:r>
      <w:r>
        <w:rPr>
          <w:rFonts w:hint="eastAsia" w:ascii="新宋体" w:hAnsi="新宋体" w:eastAsia="新宋体" w:cs="新宋体"/>
          <w:color w:val="auto"/>
          <w:sz w:val="22"/>
          <w:szCs w:val="22"/>
          <w:highlight w:val="none"/>
          <w:lang w:eastAsia="zh-CN"/>
        </w:rPr>
        <w:t>：</w:t>
      </w:r>
    </w:p>
    <w:p w14:paraId="08646AF1">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1）有效投标人的投标报价（折扣率）等于该评标基准价（折扣率）时其商务分为满分</w:t>
      </w:r>
      <w:r>
        <w:rPr>
          <w:rFonts w:hint="eastAsia" w:ascii="新宋体" w:hAnsi="新宋体" w:eastAsia="新宋体" w:cs="新宋体"/>
          <w:b/>
          <w:bCs/>
          <w:color w:val="auto"/>
          <w:sz w:val="22"/>
          <w:szCs w:val="22"/>
          <w:highlight w:val="none"/>
          <w:lang w:val="en-US" w:eastAsia="zh-CN"/>
        </w:rPr>
        <w:t>30</w:t>
      </w:r>
      <w:r>
        <w:rPr>
          <w:rFonts w:hint="eastAsia" w:ascii="新宋体" w:hAnsi="新宋体" w:eastAsia="新宋体" w:cs="新宋体"/>
          <w:b/>
          <w:bCs/>
          <w:color w:val="auto"/>
          <w:sz w:val="22"/>
          <w:szCs w:val="22"/>
          <w:highlight w:val="none"/>
        </w:rPr>
        <w:t>分</w:t>
      </w:r>
      <w:r>
        <w:rPr>
          <w:rFonts w:hint="eastAsia" w:ascii="新宋体" w:hAnsi="新宋体" w:eastAsia="新宋体" w:cs="新宋体"/>
          <w:color w:val="auto"/>
          <w:sz w:val="22"/>
          <w:szCs w:val="22"/>
          <w:highlight w:val="none"/>
        </w:rPr>
        <w:t>；</w:t>
      </w:r>
    </w:p>
    <w:p w14:paraId="4481173B">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2）其他投标人的价格分按以下公式计算：</w:t>
      </w:r>
    </w:p>
    <w:p w14:paraId="5FBFE020">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rPr>
        <w:t>投标报价得分=（评标基准价（折扣率）/投标人的投标报价（折扣率））× 价格权值 ×100</w:t>
      </w:r>
    </w:p>
    <w:p w14:paraId="4226D2EE">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sz w:val="22"/>
          <w:szCs w:val="22"/>
          <w:highlight w:val="none"/>
          <w:lang w:val="zh-CN"/>
        </w:rPr>
      </w:pPr>
      <w:r>
        <w:rPr>
          <w:rFonts w:hint="eastAsia" w:ascii="新宋体" w:hAnsi="新宋体" w:eastAsia="新宋体" w:cs="新宋体"/>
          <w:b/>
          <w:bCs/>
          <w:color w:val="auto"/>
          <w:sz w:val="22"/>
          <w:szCs w:val="22"/>
          <w:highlight w:val="none"/>
          <w:u w:val="single"/>
        </w:rPr>
        <w:t>投标人的投标报价（折扣率）</w:t>
      </w:r>
      <w:r>
        <w:rPr>
          <w:rFonts w:hint="eastAsia" w:ascii="新宋体" w:hAnsi="新宋体" w:eastAsia="新宋体" w:cs="新宋体"/>
          <w:b/>
          <w:bCs/>
          <w:color w:val="auto"/>
          <w:sz w:val="22"/>
          <w:szCs w:val="22"/>
          <w:highlight w:val="none"/>
          <w:u w:val="single"/>
          <w:lang w:eastAsia="zh-CN"/>
        </w:rPr>
        <w:t>常规检验外送</w:t>
      </w:r>
      <w:r>
        <w:rPr>
          <w:rFonts w:hint="eastAsia" w:ascii="新宋体" w:hAnsi="新宋体" w:eastAsia="新宋体" w:cs="新宋体"/>
          <w:b/>
          <w:bCs/>
          <w:color w:val="auto"/>
          <w:sz w:val="22"/>
          <w:szCs w:val="22"/>
          <w:highlight w:val="none"/>
          <w:u w:val="single"/>
        </w:rPr>
        <w:t>项目折扣率≤</w:t>
      </w:r>
      <w:r>
        <w:rPr>
          <w:rFonts w:hint="eastAsia" w:ascii="新宋体" w:hAnsi="新宋体" w:eastAsia="新宋体" w:cs="新宋体"/>
          <w:b/>
          <w:bCs/>
          <w:color w:val="auto"/>
          <w:sz w:val="22"/>
          <w:szCs w:val="22"/>
          <w:highlight w:val="none"/>
          <w:u w:val="single"/>
          <w:lang w:val="en-US" w:eastAsia="zh-CN"/>
        </w:rPr>
        <w:t>50</w:t>
      </w: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bCs/>
          <w:color w:val="auto"/>
          <w:sz w:val="22"/>
          <w:szCs w:val="22"/>
          <w:highlight w:val="none"/>
          <w:u w:val="single"/>
          <w:lang w:eastAsia="zh-CN"/>
        </w:rPr>
        <w:t>，</w:t>
      </w:r>
      <w:r>
        <w:rPr>
          <w:rFonts w:hint="eastAsia" w:ascii="新宋体" w:hAnsi="新宋体" w:eastAsia="新宋体" w:cs="新宋体"/>
          <w:b/>
          <w:bCs/>
          <w:color w:val="auto"/>
          <w:sz w:val="22"/>
          <w:szCs w:val="22"/>
          <w:highlight w:val="none"/>
          <w:u w:val="single"/>
        </w:rPr>
        <w:t>否则按无效标处理。</w:t>
      </w:r>
    </w:p>
    <w:p w14:paraId="31F8557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根据《政府采购促进中小企业发展管理办法》（财库〔2020〕46号）、《财政部关于进一步加大政府采购支持中小企业力度的通知》（财库〔2022〕19号）有关规定，对货物类项目投标产品为小型或微型企业生产的，工程、服务类项目由小型或微型企业承建、承接的，</w:t>
      </w:r>
      <w:r>
        <w:rPr>
          <w:rFonts w:hint="eastAsia" w:ascii="新宋体" w:hAnsi="新宋体" w:eastAsia="新宋体" w:cs="新宋体"/>
          <w:b/>
          <w:bCs/>
          <w:color w:val="auto"/>
          <w:sz w:val="22"/>
          <w:szCs w:val="22"/>
          <w:highlight w:val="none"/>
          <w:u w:val="single"/>
          <w:lang w:val="zh-CN"/>
        </w:rPr>
        <w:t>价格给予</w:t>
      </w:r>
      <w:r>
        <w:rPr>
          <w:rFonts w:hint="eastAsia" w:ascii="新宋体" w:hAnsi="新宋体" w:eastAsia="新宋体" w:cs="新宋体"/>
          <w:b/>
          <w:bCs/>
          <w:color w:val="auto"/>
          <w:sz w:val="22"/>
          <w:szCs w:val="22"/>
          <w:highlight w:val="none"/>
          <w:u w:val="single"/>
        </w:rPr>
        <w:t>10</w:t>
      </w:r>
      <w:r>
        <w:rPr>
          <w:rFonts w:hint="eastAsia" w:ascii="新宋体" w:hAnsi="新宋体" w:eastAsia="新宋体" w:cs="新宋体"/>
          <w:b/>
          <w:bCs/>
          <w:color w:val="auto"/>
          <w:sz w:val="22"/>
          <w:szCs w:val="22"/>
          <w:highlight w:val="none"/>
          <w:u w:val="single"/>
          <w:lang w:val="zh-CN"/>
        </w:rPr>
        <w:t>%的扣除</w:t>
      </w:r>
      <w:r>
        <w:rPr>
          <w:rFonts w:hint="eastAsia" w:ascii="新宋体" w:hAnsi="新宋体" w:eastAsia="新宋体" w:cs="新宋体"/>
          <w:color w:val="auto"/>
          <w:sz w:val="22"/>
          <w:szCs w:val="22"/>
          <w:highlight w:val="none"/>
          <w:lang w:val="zh-CN"/>
        </w:rPr>
        <w:t>，用扣除后的价格参与价格评分。</w:t>
      </w:r>
    </w:p>
    <w:p w14:paraId="61ACE0DE">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监狱企业、</w:t>
      </w:r>
      <w:r>
        <w:rPr>
          <w:rFonts w:hint="eastAsia" w:ascii="新宋体" w:hAnsi="新宋体" w:eastAsia="新宋体" w:cs="新宋体"/>
          <w:b/>
          <w:color w:val="auto"/>
          <w:sz w:val="22"/>
          <w:szCs w:val="22"/>
          <w:highlight w:val="none"/>
        </w:rPr>
        <w:t>残疾人福利性单位</w:t>
      </w:r>
      <w:r>
        <w:rPr>
          <w:rFonts w:hint="eastAsia" w:ascii="新宋体" w:hAnsi="新宋体" w:eastAsia="新宋体" w:cs="新宋体"/>
          <w:b/>
          <w:bCs/>
          <w:color w:val="auto"/>
          <w:sz w:val="22"/>
          <w:szCs w:val="22"/>
          <w:highlight w:val="none"/>
          <w:lang w:val="zh-CN"/>
        </w:rPr>
        <w:t>视同小微企业，其产品参加本项目投标的，享受小微企业同等的价格扣除。</w:t>
      </w:r>
    </w:p>
    <w:p w14:paraId="67DA775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满足</w:t>
      </w:r>
      <w:r>
        <w:rPr>
          <w:rFonts w:hint="eastAsia" w:ascii="新宋体" w:hAnsi="新宋体" w:eastAsia="新宋体" w:cs="新宋体"/>
          <w:color w:val="auto"/>
          <w:sz w:val="22"/>
          <w:szCs w:val="22"/>
          <w:highlight w:val="none"/>
          <w:lang w:val="en-US" w:eastAsia="zh-CN"/>
        </w:rPr>
        <w:t>小微企业</w:t>
      </w:r>
      <w:r>
        <w:rPr>
          <w:rFonts w:hint="eastAsia" w:ascii="新宋体" w:hAnsi="新宋体" w:eastAsia="新宋体" w:cs="新宋体"/>
          <w:color w:val="auto"/>
          <w:sz w:val="22"/>
          <w:szCs w:val="22"/>
          <w:highlight w:val="none"/>
        </w:rPr>
        <w:t>折扣条件的投标报价得分=</w:t>
      </w:r>
      <w:r>
        <w:rPr>
          <w:rFonts w:hint="eastAsia" w:ascii="新宋体" w:hAnsi="新宋体" w:eastAsia="新宋体" w:cs="新宋体"/>
          <w:b w:val="0"/>
          <w:bCs w:val="0"/>
          <w:color w:val="auto"/>
          <w:sz w:val="22"/>
          <w:szCs w:val="22"/>
          <w:highlight w:val="none"/>
        </w:rPr>
        <w:t>[评标基准价（折扣率）/投标人的投标报价（折扣率）*</w:t>
      </w:r>
      <w:r>
        <w:rPr>
          <w:rFonts w:hint="eastAsia" w:ascii="新宋体" w:hAnsi="新宋体" w:eastAsia="新宋体" w:cs="新宋体"/>
          <w:b w:val="0"/>
          <w:bCs w:val="0"/>
          <w:color w:val="auto"/>
          <w:sz w:val="22"/>
          <w:szCs w:val="22"/>
          <w:highlight w:val="none"/>
          <w:lang w:val="en-US" w:eastAsia="zh-CN"/>
        </w:rPr>
        <w:t>9</w:t>
      </w:r>
      <w:r>
        <w:rPr>
          <w:rFonts w:hint="eastAsia" w:ascii="新宋体" w:hAnsi="新宋体" w:eastAsia="新宋体" w:cs="新宋体"/>
          <w:b w:val="0"/>
          <w:bCs w:val="0"/>
          <w:color w:val="auto"/>
          <w:sz w:val="22"/>
          <w:szCs w:val="22"/>
          <w:highlight w:val="none"/>
        </w:rPr>
        <w:t>0%]×价格权值×100</w:t>
      </w:r>
    </w:p>
    <w:p w14:paraId="44AF415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满足</w:t>
      </w:r>
      <w:r>
        <w:rPr>
          <w:rFonts w:hint="eastAsia" w:ascii="新宋体" w:hAnsi="新宋体" w:eastAsia="新宋体" w:cs="新宋体"/>
          <w:color w:val="auto"/>
          <w:sz w:val="22"/>
          <w:szCs w:val="22"/>
          <w:highlight w:val="none"/>
          <w:lang w:val="en-US" w:eastAsia="zh-CN"/>
        </w:rPr>
        <w:t>联合体</w:t>
      </w:r>
      <w:r>
        <w:rPr>
          <w:rFonts w:hint="eastAsia" w:ascii="新宋体" w:hAnsi="新宋体" w:eastAsia="新宋体" w:cs="新宋体"/>
          <w:color w:val="auto"/>
          <w:sz w:val="22"/>
          <w:szCs w:val="22"/>
          <w:highlight w:val="none"/>
        </w:rPr>
        <w:t>折扣条件的投标报价得分=</w:t>
      </w:r>
      <w:r>
        <w:rPr>
          <w:rFonts w:hint="eastAsia" w:ascii="新宋体" w:hAnsi="新宋体" w:eastAsia="新宋体" w:cs="新宋体"/>
          <w:b w:val="0"/>
          <w:bCs w:val="0"/>
          <w:color w:val="auto"/>
          <w:sz w:val="22"/>
          <w:szCs w:val="22"/>
          <w:highlight w:val="none"/>
        </w:rPr>
        <w:t>[评标基准价（折扣率）/投标人的投标报价（折扣率）*</w:t>
      </w:r>
      <w:r>
        <w:rPr>
          <w:rFonts w:hint="eastAsia" w:ascii="新宋体" w:hAnsi="新宋体" w:eastAsia="新宋体" w:cs="新宋体"/>
          <w:b w:val="0"/>
          <w:bCs w:val="0"/>
          <w:color w:val="auto"/>
          <w:sz w:val="22"/>
          <w:szCs w:val="22"/>
          <w:highlight w:val="none"/>
          <w:lang w:val="en-US" w:eastAsia="zh-CN"/>
        </w:rPr>
        <w:t>96</w:t>
      </w:r>
      <w:r>
        <w:rPr>
          <w:rFonts w:hint="eastAsia" w:ascii="新宋体" w:hAnsi="新宋体" w:eastAsia="新宋体" w:cs="新宋体"/>
          <w:b w:val="0"/>
          <w:bCs w:val="0"/>
          <w:color w:val="auto"/>
          <w:sz w:val="22"/>
          <w:szCs w:val="22"/>
          <w:highlight w:val="none"/>
        </w:rPr>
        <w:t>%]×价格权值×100</w:t>
      </w:r>
    </w:p>
    <w:p w14:paraId="4BD7A61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3、有效投标人的综合得分为商务技术分和报价分的总和。</w:t>
      </w:r>
    </w:p>
    <w:p w14:paraId="3CC39C80">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B5A036C">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bCs/>
          <w:color w:val="auto"/>
          <w:sz w:val="22"/>
          <w:szCs w:val="22"/>
          <w:highlight w:val="none"/>
        </w:rPr>
      </w:pPr>
      <w:bookmarkStart w:id="37" w:name="_Toc14937"/>
      <w:r>
        <w:rPr>
          <w:rFonts w:hint="eastAsia" w:ascii="新宋体" w:hAnsi="新宋体" w:eastAsia="新宋体" w:cs="新宋体"/>
          <w:b/>
          <w:bCs/>
          <w:color w:val="auto"/>
          <w:sz w:val="22"/>
          <w:szCs w:val="22"/>
          <w:highlight w:val="none"/>
        </w:rPr>
        <w:t>六、定标办法</w:t>
      </w:r>
      <w:bookmarkEnd w:id="37"/>
    </w:p>
    <w:p w14:paraId="581909E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30A65AA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1.1由评标委员会确定中标候选人。</w:t>
      </w:r>
    </w:p>
    <w:p w14:paraId="7CAB7A8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评标委员会依据法律、法规及招标文件有关规定按评审后得分（即商务技术分与报价分之和）由高到低顺序排序，得分前二名的投标人确定为该项目的第一和第二中标候选人（得分相同的，按投标报价由低到高顺序排列，得分且投标报价相同的并列。）向招标人推荐。</w:t>
      </w:r>
    </w:p>
    <w:p w14:paraId="30688AF3">
      <w:pPr>
        <w:keepNext w:val="0"/>
        <w:keepLines w:val="0"/>
        <w:pageBreakBefore w:val="0"/>
        <w:kinsoku/>
        <w:wordWrap/>
        <w:overflowPunct/>
        <w:topLinePunct w:val="0"/>
        <w:autoSpaceDE/>
        <w:autoSpaceDN/>
        <w:bidi w:val="0"/>
        <w:adjustRightInd/>
        <w:spacing w:line="46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2、确定中标人</w:t>
      </w:r>
    </w:p>
    <w:p w14:paraId="16092494">
      <w:pPr>
        <w:keepNext w:val="0"/>
        <w:keepLines w:val="0"/>
        <w:pageBreakBefore w:val="0"/>
        <w:kinsoku/>
        <w:wordWrap/>
        <w:overflowPunct/>
        <w:topLinePunct w:val="0"/>
        <w:autoSpaceDE/>
        <w:autoSpaceDN/>
        <w:bidi w:val="0"/>
        <w:adjustRightInd/>
        <w:spacing w:line="460" w:lineRule="exact"/>
        <w:ind w:firstLine="442"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2.1招标人按照评标报告中推荐的中标候选供应商顺序确定中标人；也可以事先授权评标委员会按照推荐的中标候选供应商顺序直接确定中标人。中标候选人并列的，由评标委员会全体成员记名投票按少数服从多数的原则确定排名。</w:t>
      </w:r>
    </w:p>
    <w:p w14:paraId="180914C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如中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中标人或重新组织招标。</w:t>
      </w:r>
    </w:p>
    <w:p w14:paraId="6AA62B2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3、中标人确定后，招标人将在指定媒体公告中标结果，招标人向中标人发出中标通知书。</w:t>
      </w:r>
    </w:p>
    <w:p w14:paraId="6B2ED23F">
      <w:pPr>
        <w:spacing w:line="460" w:lineRule="exact"/>
        <w:ind w:firstLine="442" w:firstLineChars="200"/>
        <w:outlineLvl w:val="1"/>
        <w:rPr>
          <w:rFonts w:hint="eastAsia" w:ascii="新宋体" w:hAnsi="新宋体" w:eastAsia="新宋体" w:cs="新宋体"/>
          <w:b/>
          <w:color w:val="auto"/>
          <w:sz w:val="22"/>
          <w:szCs w:val="22"/>
          <w:highlight w:val="none"/>
        </w:rPr>
      </w:pPr>
      <w:bookmarkStart w:id="38" w:name="_Toc11730"/>
      <w:r>
        <w:rPr>
          <w:rFonts w:hint="eastAsia" w:ascii="新宋体" w:hAnsi="新宋体" w:eastAsia="新宋体" w:cs="新宋体"/>
          <w:b/>
          <w:color w:val="auto"/>
          <w:sz w:val="22"/>
          <w:szCs w:val="22"/>
          <w:highlight w:val="none"/>
        </w:rPr>
        <w:t>七、投标人义务</w:t>
      </w:r>
      <w:bookmarkEnd w:id="38"/>
    </w:p>
    <w:p w14:paraId="6F7A88D5">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t>投标人应随时接受评标委员会的询标，解答包括有关的商务技术、报价问题等。评标结束，所有评标资料存招标机构备查。</w:t>
      </w:r>
    </w:p>
    <w:sectPr>
      <w:headerReference r:id="rId9" w:type="default"/>
      <w:footerReference r:id="rId10" w:type="default"/>
      <w:pgSz w:w="11907" w:h="16840"/>
      <w:pgMar w:top="1134" w:right="1134" w:bottom="1134" w:left="1134" w:header="851" w:footer="992"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603F01FF" w:csb1="FFFF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altName w:val="Microsoft JhengHei UI"/>
    <w:panose1 w:val="02020500000000000000"/>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Helvetica">
    <w:altName w:val="Arial"/>
    <w:panose1 w:val="020B0604020202020204"/>
    <w:charset w:val="00"/>
    <w:family w:val="swiss"/>
    <w:pitch w:val="default"/>
    <w:sig w:usb0="00000000" w:usb1="00000000" w:usb2="00000000" w:usb3="00000000" w:csb0="00000000" w:csb1="00000000"/>
  </w:font>
  <w:font w:name="Century Gothic">
    <w:altName w:val="Yu Gothic UI"/>
    <w:panose1 w:val="020B0502020202020204"/>
    <w:charset w:val="00"/>
    <w:family w:val="swiss"/>
    <w:pitch w:val="default"/>
    <w:sig w:usb0="00000000" w:usb1="00000000" w:usb2="00000000" w:usb3="00000000" w:csb0="2000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07A964">
    <w:pPr>
      <w:pStyle w:val="37"/>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98282E">
    <w:pPr>
      <w:pStyle w:val="37"/>
      <w:ind w:right="360" w:firstLine="4500" w:firstLineChars="250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3" name="文本框 9"/>
              <wp:cNvGraphicFramePr/>
              <a:graphic xmlns:a="http://schemas.openxmlformats.org/drawingml/2006/main">
                <a:graphicData uri="http://schemas.microsoft.com/office/word/2010/wordprocessingShape">
                  <wps:wsp>
                    <wps:cNvSpPr txBox="1"/>
                    <wps:spPr>
                      <a:xfrm>
                        <a:off x="0" y="0"/>
                        <a:ext cx="116205" cy="139700"/>
                      </a:xfrm>
                      <a:prstGeom prst="rect">
                        <a:avLst/>
                      </a:prstGeom>
                      <a:noFill/>
                      <a:ln>
                        <a:noFill/>
                      </a:ln>
                      <a:effectLst/>
                    </wps:spPr>
                    <wps:txbx>
                      <w:txbxContent>
                        <w:p w14:paraId="15298737">
                          <w:pPr>
                            <w:pStyle w:val="37"/>
                          </w:pPr>
                          <w:r>
                            <w:fldChar w:fldCharType="begin"/>
                          </w:r>
                          <w:r>
                            <w:instrText xml:space="preserve"> PAGE  \* MERGEFORMAT </w:instrText>
                          </w:r>
                          <w:r>
                            <w:fldChar w:fldCharType="separate"/>
                          </w:r>
                          <w:r>
                            <w:t>40</w:t>
                          </w:r>
                          <w:r>
                            <w:fldChar w:fldCharType="end"/>
                          </w:r>
                        </w:p>
                      </w:txbxContent>
                    </wps:txbx>
                    <wps:bodyPr vert="horz" wrap="none" lIns="0" tIns="0" rIns="0" bIns="0" anchor="t" anchorCtr="0">
                      <a:spAutoFit/>
                    </wps:bodyPr>
                  </wps:wsp>
                </a:graphicData>
              </a:graphic>
            </wp:anchor>
          </w:drawing>
        </mc:Choice>
        <mc:Fallback>
          <w:pict>
            <v:shape id="文本框 9"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AYulhTQAAAAAwEAAA8AAAAAAAAA&#10;AQAgAAAAIgAAAGRycy9kb3ducmV2LnhtbFBLAQIUABQAAAAIAIdO4kCZabV54AEAAL4DAAAOAAAA&#10;AAAAAAEAIAAAAB8BAABkcnMvZTJvRG9jLnhtbFBLBQYAAAAABgAGAFkBAABxBQAAAAA=&#10;">
              <v:fill on="f" focussize="0,0"/>
              <v:stroke on="f"/>
              <v:imagedata o:title=""/>
              <o:lock v:ext="edit" aspectratio="f"/>
              <v:textbox inset="0mm,0mm,0mm,0mm" style="mso-fit-shape-to-text:t;">
                <w:txbxContent>
                  <w:p w14:paraId="15298737">
                    <w:pPr>
                      <w:pStyle w:val="37"/>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57A91">
    <w:pPr>
      <w:pStyle w:val="3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6205" cy="139700"/>
              <wp:effectExtent l="0" t="0" r="0" b="0"/>
              <wp:wrapNone/>
              <wp:docPr id="4" name="文本框 10"/>
              <wp:cNvGraphicFramePr/>
              <a:graphic xmlns:a="http://schemas.openxmlformats.org/drawingml/2006/main">
                <a:graphicData uri="http://schemas.microsoft.com/office/word/2010/wordprocessingShape">
                  <wps:wsp>
                    <wps:cNvSpPr txBox="1"/>
                    <wps:spPr>
                      <a:xfrm>
                        <a:off x="0" y="0"/>
                        <a:ext cx="116205" cy="139700"/>
                      </a:xfrm>
                      <a:prstGeom prst="rect">
                        <a:avLst/>
                      </a:prstGeom>
                      <a:noFill/>
                      <a:ln>
                        <a:noFill/>
                      </a:ln>
                      <a:effectLst/>
                    </wps:spPr>
                    <wps:txbx>
                      <w:txbxContent>
                        <w:p w14:paraId="263835B9">
                          <w:pPr>
                            <w:pStyle w:val="37"/>
                          </w:pPr>
                          <w:r>
                            <w:fldChar w:fldCharType="begin"/>
                          </w:r>
                          <w:r>
                            <w:instrText xml:space="preserve"> PAGE  \* MERGEFORMAT </w:instrText>
                          </w:r>
                          <w:r>
                            <w:fldChar w:fldCharType="separate"/>
                          </w:r>
                          <w:r>
                            <w:t>41</w:t>
                          </w:r>
                          <w:r>
                            <w:fldChar w:fldCharType="end"/>
                          </w:r>
                        </w:p>
                      </w:txbxContent>
                    </wps:txbx>
                    <wps:bodyPr vert="horz" wrap="none" lIns="0" tIns="0" rIns="0" bIns="0" anchor="t" anchorCtr="0">
                      <a:spAutoFit/>
                    </wps:bodyPr>
                  </wps:wsp>
                </a:graphicData>
              </a:graphic>
            </wp:anchor>
          </w:drawing>
        </mc:Choice>
        <mc:Fallback>
          <w:pict>
            <v:shape id="文本框 10" o:spid="_x0000_s1026" o:spt="202" type="#_x0000_t202" style="position:absolute;left:0pt;margin-top:0pt;height:11pt;width:9.15pt;mso-position-horizontal:center;mso-position-horizontal-relative:margin;mso-wrap-style:none;z-index:251660288;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AYulhTQAAAAAwEAAA8AAAAAAAAA&#10;AQAgAAAAIgAAAGRycy9kb3ducmV2LnhtbFBLAQIUABQAAAAIAIdO4kB4I41f4AEAAL8DAAAOAAAA&#10;AAAAAAEAIAAAAB8BAABkcnMvZTJvRG9jLnhtbFBLBQYAAAAABgAGAFkBAABxBQAAAAA=&#10;">
              <v:fill on="f" focussize="0,0"/>
              <v:stroke on="f"/>
              <v:imagedata o:title=""/>
              <o:lock v:ext="edit" aspectratio="f"/>
              <v:textbox inset="0mm,0mm,0mm,0mm" style="mso-fit-shape-to-text:t;">
                <w:txbxContent>
                  <w:p w14:paraId="263835B9">
                    <w:pPr>
                      <w:pStyle w:val="37"/>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9B3756">
    <w:pPr>
      <w:pStyle w:val="37"/>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6205" cy="139700"/>
              <wp:effectExtent l="0" t="0" r="0" b="0"/>
              <wp:wrapNone/>
              <wp:docPr id="6" name="文本框 12"/>
              <wp:cNvGraphicFramePr/>
              <a:graphic xmlns:a="http://schemas.openxmlformats.org/drawingml/2006/main">
                <a:graphicData uri="http://schemas.microsoft.com/office/word/2010/wordprocessingShape">
                  <wps:wsp>
                    <wps:cNvSpPr txBox="1"/>
                    <wps:spPr>
                      <a:xfrm>
                        <a:off x="0" y="0"/>
                        <a:ext cx="116205" cy="139700"/>
                      </a:xfrm>
                      <a:prstGeom prst="rect">
                        <a:avLst/>
                      </a:prstGeom>
                      <a:noFill/>
                      <a:ln>
                        <a:noFill/>
                      </a:ln>
                      <a:effectLst/>
                    </wps:spPr>
                    <wps:txbx>
                      <w:txbxContent>
                        <w:p w14:paraId="501049B3">
                          <w:pPr>
                            <w:pStyle w:val="37"/>
                          </w:pPr>
                          <w:r>
                            <w:fldChar w:fldCharType="begin"/>
                          </w:r>
                          <w:r>
                            <w:instrText xml:space="preserve"> PAGE  \* MERGEFORMAT </w:instrText>
                          </w:r>
                          <w:r>
                            <w:fldChar w:fldCharType="separate"/>
                          </w:r>
                          <w:r>
                            <w:t>57</w:t>
                          </w:r>
                          <w:r>
                            <w:fldChar w:fldCharType="end"/>
                          </w:r>
                        </w:p>
                      </w:txbxContent>
                    </wps:txbx>
                    <wps:bodyPr vert="horz" wrap="none" lIns="0" tIns="0" rIns="0" bIns="0" anchor="t" anchorCtr="0">
                      <a:spAutoFit/>
                    </wps:bodyPr>
                  </wps:wsp>
                </a:graphicData>
              </a:graphic>
            </wp:anchor>
          </w:drawing>
        </mc:Choice>
        <mc:Fallback>
          <w:pict>
            <v:shape id="文本框 12" o:spid="_x0000_s1026" o:spt="202" type="#_x0000_t202" style="position:absolute;left:0pt;margin-top:0pt;height:11pt;width:9.15pt;mso-position-horizontal:center;mso-position-horizontal-relative:margin;mso-wrap-style:none;z-index:251661312;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GLpYU0AAAAAMBAAAPAAAAAAAA&#10;AAEAIAAAACIAAABkcnMvZG93bnJldi54bWxQSwECFAAUAAAACACHTuJA9p05HOEBAAC/AwAADgAA&#10;AAAAAAABACAAAAAfAQAAZHJzL2Uyb0RvYy54bWxQSwUGAAAAAAYABgBZAQAAcgUAAAAA&#10;">
              <v:fill on="f" focussize="0,0"/>
              <v:stroke on="f"/>
              <v:imagedata o:title=""/>
              <o:lock v:ext="edit" aspectratio="f"/>
              <v:textbox inset="0mm,0mm,0mm,0mm" style="mso-fit-shape-to-text:t;">
                <w:txbxContent>
                  <w:p w14:paraId="501049B3">
                    <w:pPr>
                      <w:pStyle w:val="37"/>
                    </w:pPr>
                    <w:r>
                      <w:fldChar w:fldCharType="begin"/>
                    </w:r>
                    <w:r>
                      <w:instrText xml:space="preserve"> PAGE  \* MERGEFORMAT </w:instrText>
                    </w:r>
                    <w:r>
                      <w:fldChar w:fldCharType="separate"/>
                    </w:r>
                    <w:r>
                      <w:t>57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7E0F85">
    <w:pPr>
      <w:pStyle w:val="39"/>
      <w:jc w:val="both"/>
      <w:rPr>
        <w:rFonts w:hint="eastAsia" w:eastAsia="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WZLCZB（L）-2025-01027</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23AA74">
    <w:pPr>
      <w:pStyle w:val="39"/>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39A3F">
    <w:pPr>
      <w:pStyle w:val="39"/>
      <w:pBdr>
        <w:bottom w:val="single" w:color="auto" w:sz="4" w:space="1"/>
      </w:pBdr>
      <w:jc w:val="both"/>
      <w:rPr>
        <w:rFonts w:hint="eastAsia" w:eastAsia="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WZLCZB（L）-2025-01027</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572F75">
    <w:pPr>
      <w:pStyle w:val="39"/>
      <w:pBdr>
        <w:bottom w:val="single" w:color="auto" w:sz="4" w:space="0"/>
      </w:pBdr>
      <w:jc w:val="both"/>
      <w:rPr>
        <w:rFonts w:hint="eastAsia" w:eastAsia="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WZLCZB（L）-2025-01027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D7A3B6"/>
    <w:multiLevelType w:val="singleLevel"/>
    <w:tmpl w:val="52D7A3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lYTVjYmYwZTlkYjdhYjA2YzdkM2U2ZmIwODI4MDcifQ=="/>
  </w:docVars>
  <w:rsids>
    <w:rsidRoot w:val="0023016B"/>
    <w:rsid w:val="00006464"/>
    <w:rsid w:val="00007B69"/>
    <w:rsid w:val="00007E5B"/>
    <w:rsid w:val="000133A7"/>
    <w:rsid w:val="0002703B"/>
    <w:rsid w:val="00040406"/>
    <w:rsid w:val="00045A7B"/>
    <w:rsid w:val="0006674B"/>
    <w:rsid w:val="00073447"/>
    <w:rsid w:val="00085CF1"/>
    <w:rsid w:val="000A3176"/>
    <w:rsid w:val="000B7740"/>
    <w:rsid w:val="000C3156"/>
    <w:rsid w:val="000C343F"/>
    <w:rsid w:val="000E6551"/>
    <w:rsid w:val="000F7425"/>
    <w:rsid w:val="000F785E"/>
    <w:rsid w:val="00114F8F"/>
    <w:rsid w:val="001247D2"/>
    <w:rsid w:val="00133BFE"/>
    <w:rsid w:val="001520E7"/>
    <w:rsid w:val="0016386F"/>
    <w:rsid w:val="001756A6"/>
    <w:rsid w:val="00182B8B"/>
    <w:rsid w:val="00191903"/>
    <w:rsid w:val="00193295"/>
    <w:rsid w:val="001938DB"/>
    <w:rsid w:val="00197D68"/>
    <w:rsid w:val="001A75A0"/>
    <w:rsid w:val="001B5A72"/>
    <w:rsid w:val="001B7475"/>
    <w:rsid w:val="001C04FD"/>
    <w:rsid w:val="001C0F4B"/>
    <w:rsid w:val="001D02EF"/>
    <w:rsid w:val="001E21D7"/>
    <w:rsid w:val="001F0303"/>
    <w:rsid w:val="001F1D02"/>
    <w:rsid w:val="0020501B"/>
    <w:rsid w:val="0023016B"/>
    <w:rsid w:val="0024135E"/>
    <w:rsid w:val="00256D25"/>
    <w:rsid w:val="002671EE"/>
    <w:rsid w:val="002909A4"/>
    <w:rsid w:val="00293114"/>
    <w:rsid w:val="002A79BA"/>
    <w:rsid w:val="002D4AC8"/>
    <w:rsid w:val="002D589D"/>
    <w:rsid w:val="002F482C"/>
    <w:rsid w:val="00300FAF"/>
    <w:rsid w:val="00315973"/>
    <w:rsid w:val="00324956"/>
    <w:rsid w:val="0033783C"/>
    <w:rsid w:val="0036058E"/>
    <w:rsid w:val="00366FA4"/>
    <w:rsid w:val="00373EA4"/>
    <w:rsid w:val="00382A9B"/>
    <w:rsid w:val="0039345C"/>
    <w:rsid w:val="00394956"/>
    <w:rsid w:val="003A253F"/>
    <w:rsid w:val="003A4AC0"/>
    <w:rsid w:val="003A5047"/>
    <w:rsid w:val="003A61BD"/>
    <w:rsid w:val="003B7092"/>
    <w:rsid w:val="003C17E8"/>
    <w:rsid w:val="003C1B8E"/>
    <w:rsid w:val="003C58F4"/>
    <w:rsid w:val="003C5D6A"/>
    <w:rsid w:val="003C7A50"/>
    <w:rsid w:val="003D61E5"/>
    <w:rsid w:val="003E5B8F"/>
    <w:rsid w:val="003F0B48"/>
    <w:rsid w:val="00413731"/>
    <w:rsid w:val="004167B9"/>
    <w:rsid w:val="004259D3"/>
    <w:rsid w:val="004376E4"/>
    <w:rsid w:val="0045252D"/>
    <w:rsid w:val="004755C1"/>
    <w:rsid w:val="004761BF"/>
    <w:rsid w:val="004C2F10"/>
    <w:rsid w:val="004C7355"/>
    <w:rsid w:val="004D4D92"/>
    <w:rsid w:val="004F38A8"/>
    <w:rsid w:val="0050192E"/>
    <w:rsid w:val="00514B33"/>
    <w:rsid w:val="00515EDA"/>
    <w:rsid w:val="0052093C"/>
    <w:rsid w:val="0052303E"/>
    <w:rsid w:val="00553434"/>
    <w:rsid w:val="005552CD"/>
    <w:rsid w:val="00563A88"/>
    <w:rsid w:val="00566E05"/>
    <w:rsid w:val="005A1959"/>
    <w:rsid w:val="005B70F8"/>
    <w:rsid w:val="005D6717"/>
    <w:rsid w:val="005D691C"/>
    <w:rsid w:val="006062E4"/>
    <w:rsid w:val="00607BC3"/>
    <w:rsid w:val="00614721"/>
    <w:rsid w:val="00615EB8"/>
    <w:rsid w:val="00622EBE"/>
    <w:rsid w:val="00646482"/>
    <w:rsid w:val="00663F29"/>
    <w:rsid w:val="00671D76"/>
    <w:rsid w:val="00673D48"/>
    <w:rsid w:val="00682C8D"/>
    <w:rsid w:val="00682CDF"/>
    <w:rsid w:val="00685BCD"/>
    <w:rsid w:val="006C1E10"/>
    <w:rsid w:val="00707C13"/>
    <w:rsid w:val="00725B4D"/>
    <w:rsid w:val="00735D24"/>
    <w:rsid w:val="00736815"/>
    <w:rsid w:val="00736F0B"/>
    <w:rsid w:val="00771B8F"/>
    <w:rsid w:val="0078237D"/>
    <w:rsid w:val="00794A96"/>
    <w:rsid w:val="00796C50"/>
    <w:rsid w:val="007B3A19"/>
    <w:rsid w:val="007B70D7"/>
    <w:rsid w:val="007C4878"/>
    <w:rsid w:val="007D38F4"/>
    <w:rsid w:val="007E657E"/>
    <w:rsid w:val="00814C9C"/>
    <w:rsid w:val="008226D3"/>
    <w:rsid w:val="008314E6"/>
    <w:rsid w:val="00837B0E"/>
    <w:rsid w:val="008908E9"/>
    <w:rsid w:val="008B58FD"/>
    <w:rsid w:val="008B5C6B"/>
    <w:rsid w:val="008C2830"/>
    <w:rsid w:val="008D1115"/>
    <w:rsid w:val="008D1DFF"/>
    <w:rsid w:val="008D2667"/>
    <w:rsid w:val="008D64B4"/>
    <w:rsid w:val="008D74D3"/>
    <w:rsid w:val="008E54EB"/>
    <w:rsid w:val="008E5C50"/>
    <w:rsid w:val="008E5E6E"/>
    <w:rsid w:val="00912DEC"/>
    <w:rsid w:val="009223A7"/>
    <w:rsid w:val="009341B7"/>
    <w:rsid w:val="00936A15"/>
    <w:rsid w:val="00952B6A"/>
    <w:rsid w:val="00967530"/>
    <w:rsid w:val="0097459E"/>
    <w:rsid w:val="009954B6"/>
    <w:rsid w:val="009A7C49"/>
    <w:rsid w:val="009B2623"/>
    <w:rsid w:val="009C5587"/>
    <w:rsid w:val="009D1704"/>
    <w:rsid w:val="00A134AF"/>
    <w:rsid w:val="00A21536"/>
    <w:rsid w:val="00A24236"/>
    <w:rsid w:val="00A26EF5"/>
    <w:rsid w:val="00A8036E"/>
    <w:rsid w:val="00A8362E"/>
    <w:rsid w:val="00A9057C"/>
    <w:rsid w:val="00AA2932"/>
    <w:rsid w:val="00AA35BB"/>
    <w:rsid w:val="00AA3A60"/>
    <w:rsid w:val="00AA6AA6"/>
    <w:rsid w:val="00AC1023"/>
    <w:rsid w:val="00AC19A9"/>
    <w:rsid w:val="00AD00A5"/>
    <w:rsid w:val="00AF0066"/>
    <w:rsid w:val="00AF1028"/>
    <w:rsid w:val="00AF120C"/>
    <w:rsid w:val="00AF2015"/>
    <w:rsid w:val="00B02BF4"/>
    <w:rsid w:val="00B1392D"/>
    <w:rsid w:val="00B77AFF"/>
    <w:rsid w:val="00B8120C"/>
    <w:rsid w:val="00B959B4"/>
    <w:rsid w:val="00BB15BC"/>
    <w:rsid w:val="00BB1858"/>
    <w:rsid w:val="00BB35F7"/>
    <w:rsid w:val="00BB3B7A"/>
    <w:rsid w:val="00BD05C0"/>
    <w:rsid w:val="00BF30EF"/>
    <w:rsid w:val="00BF5765"/>
    <w:rsid w:val="00C22D19"/>
    <w:rsid w:val="00C3468A"/>
    <w:rsid w:val="00C51371"/>
    <w:rsid w:val="00C64900"/>
    <w:rsid w:val="00C71627"/>
    <w:rsid w:val="00C80AD9"/>
    <w:rsid w:val="00C903FF"/>
    <w:rsid w:val="00CA7FEF"/>
    <w:rsid w:val="00CC4E22"/>
    <w:rsid w:val="00CC755F"/>
    <w:rsid w:val="00CC76A3"/>
    <w:rsid w:val="00CD124F"/>
    <w:rsid w:val="00CD68F5"/>
    <w:rsid w:val="00CE6DD8"/>
    <w:rsid w:val="00CE7E72"/>
    <w:rsid w:val="00CF5067"/>
    <w:rsid w:val="00CF5E54"/>
    <w:rsid w:val="00CF7CFF"/>
    <w:rsid w:val="00D00DC8"/>
    <w:rsid w:val="00D06F22"/>
    <w:rsid w:val="00D13234"/>
    <w:rsid w:val="00D238DF"/>
    <w:rsid w:val="00D31CF9"/>
    <w:rsid w:val="00D32D45"/>
    <w:rsid w:val="00D378CA"/>
    <w:rsid w:val="00D55307"/>
    <w:rsid w:val="00D85F60"/>
    <w:rsid w:val="00D94D28"/>
    <w:rsid w:val="00DA0B56"/>
    <w:rsid w:val="00DA252A"/>
    <w:rsid w:val="00DA45FD"/>
    <w:rsid w:val="00DA5511"/>
    <w:rsid w:val="00DA7134"/>
    <w:rsid w:val="00DC01DA"/>
    <w:rsid w:val="00DE6665"/>
    <w:rsid w:val="00DF3740"/>
    <w:rsid w:val="00DF3D70"/>
    <w:rsid w:val="00E07FB7"/>
    <w:rsid w:val="00E15473"/>
    <w:rsid w:val="00E2289D"/>
    <w:rsid w:val="00E24506"/>
    <w:rsid w:val="00E40A4F"/>
    <w:rsid w:val="00E922CE"/>
    <w:rsid w:val="00E94F49"/>
    <w:rsid w:val="00EA49D5"/>
    <w:rsid w:val="00EB30CC"/>
    <w:rsid w:val="00EB602C"/>
    <w:rsid w:val="00EC4972"/>
    <w:rsid w:val="00EE4223"/>
    <w:rsid w:val="00EF170E"/>
    <w:rsid w:val="00EF36EE"/>
    <w:rsid w:val="00EF3DD0"/>
    <w:rsid w:val="00EF6E2E"/>
    <w:rsid w:val="00F02BFE"/>
    <w:rsid w:val="00F25987"/>
    <w:rsid w:val="00F25C44"/>
    <w:rsid w:val="00F37CE6"/>
    <w:rsid w:val="00F52B44"/>
    <w:rsid w:val="00F60BA4"/>
    <w:rsid w:val="00F6186D"/>
    <w:rsid w:val="00F94FFC"/>
    <w:rsid w:val="00FA54A2"/>
    <w:rsid w:val="00FB1B26"/>
    <w:rsid w:val="00FB2E73"/>
    <w:rsid w:val="00FB6B26"/>
    <w:rsid w:val="00FE103E"/>
    <w:rsid w:val="00FF7FAD"/>
    <w:rsid w:val="01021EB0"/>
    <w:rsid w:val="011F0D85"/>
    <w:rsid w:val="01704A7F"/>
    <w:rsid w:val="018467BF"/>
    <w:rsid w:val="01D81374"/>
    <w:rsid w:val="022218C6"/>
    <w:rsid w:val="024B0329"/>
    <w:rsid w:val="024B6CB8"/>
    <w:rsid w:val="0275330C"/>
    <w:rsid w:val="029676F1"/>
    <w:rsid w:val="02D11050"/>
    <w:rsid w:val="02FB7318"/>
    <w:rsid w:val="032E2252"/>
    <w:rsid w:val="03402AA1"/>
    <w:rsid w:val="03A85E0D"/>
    <w:rsid w:val="03DE3D2B"/>
    <w:rsid w:val="03F34262"/>
    <w:rsid w:val="03FD6292"/>
    <w:rsid w:val="04080D1B"/>
    <w:rsid w:val="045C452F"/>
    <w:rsid w:val="04652BC1"/>
    <w:rsid w:val="047C4CC6"/>
    <w:rsid w:val="04994F9B"/>
    <w:rsid w:val="04A92D3F"/>
    <w:rsid w:val="04B77D50"/>
    <w:rsid w:val="04D51825"/>
    <w:rsid w:val="04F00233"/>
    <w:rsid w:val="05427BAF"/>
    <w:rsid w:val="05F568B9"/>
    <w:rsid w:val="068A1C09"/>
    <w:rsid w:val="068D4F3A"/>
    <w:rsid w:val="06C21F22"/>
    <w:rsid w:val="06F4162B"/>
    <w:rsid w:val="06FF67F7"/>
    <w:rsid w:val="083111A7"/>
    <w:rsid w:val="084B7576"/>
    <w:rsid w:val="08602DD3"/>
    <w:rsid w:val="08882FDF"/>
    <w:rsid w:val="08C47176"/>
    <w:rsid w:val="08C806A7"/>
    <w:rsid w:val="08FB50A9"/>
    <w:rsid w:val="097D163D"/>
    <w:rsid w:val="09A8678D"/>
    <w:rsid w:val="09B92103"/>
    <w:rsid w:val="09D302BE"/>
    <w:rsid w:val="09D316C9"/>
    <w:rsid w:val="0A551B3B"/>
    <w:rsid w:val="0A6C3303"/>
    <w:rsid w:val="0A725BE7"/>
    <w:rsid w:val="0A8E79C4"/>
    <w:rsid w:val="0ACB0384"/>
    <w:rsid w:val="0AD450BF"/>
    <w:rsid w:val="0AED1DC7"/>
    <w:rsid w:val="0B0D7095"/>
    <w:rsid w:val="0B152972"/>
    <w:rsid w:val="0B4062C1"/>
    <w:rsid w:val="0B477D2E"/>
    <w:rsid w:val="0B513A86"/>
    <w:rsid w:val="0BC72D02"/>
    <w:rsid w:val="0C213118"/>
    <w:rsid w:val="0C637445"/>
    <w:rsid w:val="0C730CF8"/>
    <w:rsid w:val="0C73501E"/>
    <w:rsid w:val="0C8560BE"/>
    <w:rsid w:val="0CAB711C"/>
    <w:rsid w:val="0CCA7209"/>
    <w:rsid w:val="0CEB522F"/>
    <w:rsid w:val="0D1368B1"/>
    <w:rsid w:val="0D3137EF"/>
    <w:rsid w:val="0D4C1F43"/>
    <w:rsid w:val="0DF60623"/>
    <w:rsid w:val="0EC7671B"/>
    <w:rsid w:val="0EFC5C18"/>
    <w:rsid w:val="0F262DDB"/>
    <w:rsid w:val="0F2C4641"/>
    <w:rsid w:val="0F3C1D3E"/>
    <w:rsid w:val="0F8965FD"/>
    <w:rsid w:val="0FA934DA"/>
    <w:rsid w:val="0FAC6989"/>
    <w:rsid w:val="0FE973B7"/>
    <w:rsid w:val="0FF565C1"/>
    <w:rsid w:val="10277CAB"/>
    <w:rsid w:val="10652C78"/>
    <w:rsid w:val="108F2E02"/>
    <w:rsid w:val="10F1215E"/>
    <w:rsid w:val="11AE3567"/>
    <w:rsid w:val="121D3373"/>
    <w:rsid w:val="122C65DA"/>
    <w:rsid w:val="125C7B7B"/>
    <w:rsid w:val="126B2156"/>
    <w:rsid w:val="12901575"/>
    <w:rsid w:val="12C3021C"/>
    <w:rsid w:val="133149E8"/>
    <w:rsid w:val="1401770D"/>
    <w:rsid w:val="140E1B28"/>
    <w:rsid w:val="140F6C16"/>
    <w:rsid w:val="14A12D99"/>
    <w:rsid w:val="14B042BE"/>
    <w:rsid w:val="14B5157D"/>
    <w:rsid w:val="157A1950"/>
    <w:rsid w:val="15973A17"/>
    <w:rsid w:val="159B37AB"/>
    <w:rsid w:val="159C38EA"/>
    <w:rsid w:val="15BC58B2"/>
    <w:rsid w:val="15DA6115"/>
    <w:rsid w:val="15EC6B3C"/>
    <w:rsid w:val="162F4FD4"/>
    <w:rsid w:val="1633675E"/>
    <w:rsid w:val="163D2DB9"/>
    <w:rsid w:val="16600F53"/>
    <w:rsid w:val="16651C1E"/>
    <w:rsid w:val="16A15984"/>
    <w:rsid w:val="16C1540F"/>
    <w:rsid w:val="16E94DDC"/>
    <w:rsid w:val="17612EF5"/>
    <w:rsid w:val="17804127"/>
    <w:rsid w:val="17B45B78"/>
    <w:rsid w:val="180E12C2"/>
    <w:rsid w:val="18641D4C"/>
    <w:rsid w:val="18A7619B"/>
    <w:rsid w:val="18BB10D3"/>
    <w:rsid w:val="18D24270"/>
    <w:rsid w:val="18F17B89"/>
    <w:rsid w:val="198D0354"/>
    <w:rsid w:val="1A0C2E14"/>
    <w:rsid w:val="1AA80E44"/>
    <w:rsid w:val="1AB73CA3"/>
    <w:rsid w:val="1AF72B28"/>
    <w:rsid w:val="1B253D72"/>
    <w:rsid w:val="1B2F3193"/>
    <w:rsid w:val="1B4733C9"/>
    <w:rsid w:val="1BD913F7"/>
    <w:rsid w:val="1BED699C"/>
    <w:rsid w:val="1C0C613F"/>
    <w:rsid w:val="1C1756AC"/>
    <w:rsid w:val="1C7C085F"/>
    <w:rsid w:val="1CAD0666"/>
    <w:rsid w:val="1CC50D37"/>
    <w:rsid w:val="1D3C6CD5"/>
    <w:rsid w:val="1D48305E"/>
    <w:rsid w:val="1D506A90"/>
    <w:rsid w:val="1D640462"/>
    <w:rsid w:val="1D6D17B1"/>
    <w:rsid w:val="1D8E1E10"/>
    <w:rsid w:val="1DB46A8A"/>
    <w:rsid w:val="1DC7324E"/>
    <w:rsid w:val="1DF65C9E"/>
    <w:rsid w:val="1E0076D6"/>
    <w:rsid w:val="1E464A9C"/>
    <w:rsid w:val="1E5F086A"/>
    <w:rsid w:val="1EB46E26"/>
    <w:rsid w:val="1EFE38A4"/>
    <w:rsid w:val="1F0F6FBE"/>
    <w:rsid w:val="1F17285B"/>
    <w:rsid w:val="1F483A0F"/>
    <w:rsid w:val="1F5E70A8"/>
    <w:rsid w:val="1FBC6E36"/>
    <w:rsid w:val="1FF94CC2"/>
    <w:rsid w:val="203B1E13"/>
    <w:rsid w:val="203D19AC"/>
    <w:rsid w:val="209005D6"/>
    <w:rsid w:val="20A830E7"/>
    <w:rsid w:val="20AB51F5"/>
    <w:rsid w:val="20B73C37"/>
    <w:rsid w:val="21103347"/>
    <w:rsid w:val="217B7B9D"/>
    <w:rsid w:val="21F360C6"/>
    <w:rsid w:val="223B6A3D"/>
    <w:rsid w:val="22561186"/>
    <w:rsid w:val="22C217BE"/>
    <w:rsid w:val="2308410C"/>
    <w:rsid w:val="23917896"/>
    <w:rsid w:val="23960FD3"/>
    <w:rsid w:val="239B452F"/>
    <w:rsid w:val="23BC27F0"/>
    <w:rsid w:val="24001B1B"/>
    <w:rsid w:val="240F77C1"/>
    <w:rsid w:val="24295E1F"/>
    <w:rsid w:val="246175D8"/>
    <w:rsid w:val="2479598D"/>
    <w:rsid w:val="24CD44AE"/>
    <w:rsid w:val="24DF7509"/>
    <w:rsid w:val="256B6A23"/>
    <w:rsid w:val="2575308F"/>
    <w:rsid w:val="25CD5782"/>
    <w:rsid w:val="25D424BD"/>
    <w:rsid w:val="25EE0703"/>
    <w:rsid w:val="260A4302"/>
    <w:rsid w:val="267D4943"/>
    <w:rsid w:val="2680333D"/>
    <w:rsid w:val="26960A00"/>
    <w:rsid w:val="26971450"/>
    <w:rsid w:val="27454D84"/>
    <w:rsid w:val="277D55DC"/>
    <w:rsid w:val="277E328A"/>
    <w:rsid w:val="27BA714D"/>
    <w:rsid w:val="27CB6172"/>
    <w:rsid w:val="27CE4F02"/>
    <w:rsid w:val="27FE3662"/>
    <w:rsid w:val="28033380"/>
    <w:rsid w:val="282A596C"/>
    <w:rsid w:val="283D7834"/>
    <w:rsid w:val="288D4D37"/>
    <w:rsid w:val="289934D7"/>
    <w:rsid w:val="294B4C19"/>
    <w:rsid w:val="29511C30"/>
    <w:rsid w:val="299243E8"/>
    <w:rsid w:val="29A60AFD"/>
    <w:rsid w:val="2A39707D"/>
    <w:rsid w:val="2A431EEC"/>
    <w:rsid w:val="2A6B7958"/>
    <w:rsid w:val="2A7E22A8"/>
    <w:rsid w:val="2AA4120E"/>
    <w:rsid w:val="2AA52D76"/>
    <w:rsid w:val="2ABE533E"/>
    <w:rsid w:val="2ACA31E0"/>
    <w:rsid w:val="2AD307C7"/>
    <w:rsid w:val="2B1B43AE"/>
    <w:rsid w:val="2B355250"/>
    <w:rsid w:val="2B37027E"/>
    <w:rsid w:val="2B896D21"/>
    <w:rsid w:val="2BAF7B59"/>
    <w:rsid w:val="2BD80E5D"/>
    <w:rsid w:val="2C295FB8"/>
    <w:rsid w:val="2CAC2C34"/>
    <w:rsid w:val="2D265BF9"/>
    <w:rsid w:val="2D525590"/>
    <w:rsid w:val="2D661C74"/>
    <w:rsid w:val="2D906F26"/>
    <w:rsid w:val="2DA532B1"/>
    <w:rsid w:val="2DA614F1"/>
    <w:rsid w:val="2DAA1BA1"/>
    <w:rsid w:val="2DC941D1"/>
    <w:rsid w:val="2E7F2198"/>
    <w:rsid w:val="2EC213B0"/>
    <w:rsid w:val="2F09775A"/>
    <w:rsid w:val="2F4A7192"/>
    <w:rsid w:val="2FCC53E6"/>
    <w:rsid w:val="2FD80C3D"/>
    <w:rsid w:val="304C3F78"/>
    <w:rsid w:val="309054B1"/>
    <w:rsid w:val="30EF2FA5"/>
    <w:rsid w:val="30F12983"/>
    <w:rsid w:val="31646007"/>
    <w:rsid w:val="31767D37"/>
    <w:rsid w:val="31AE4612"/>
    <w:rsid w:val="31BC75D5"/>
    <w:rsid w:val="31E7649F"/>
    <w:rsid w:val="31F77001"/>
    <w:rsid w:val="322F5237"/>
    <w:rsid w:val="32D70AFE"/>
    <w:rsid w:val="32EA2765"/>
    <w:rsid w:val="33B47B96"/>
    <w:rsid w:val="345F1222"/>
    <w:rsid w:val="346B04E7"/>
    <w:rsid w:val="34990F0F"/>
    <w:rsid w:val="34D605B7"/>
    <w:rsid w:val="35104FE2"/>
    <w:rsid w:val="35206B86"/>
    <w:rsid w:val="354B3256"/>
    <w:rsid w:val="35541EFF"/>
    <w:rsid w:val="35D91F1A"/>
    <w:rsid w:val="35F1444A"/>
    <w:rsid w:val="35FC3A4A"/>
    <w:rsid w:val="36891D85"/>
    <w:rsid w:val="36907DD2"/>
    <w:rsid w:val="36B56E4C"/>
    <w:rsid w:val="36E64463"/>
    <w:rsid w:val="374E32B6"/>
    <w:rsid w:val="376A0D68"/>
    <w:rsid w:val="37FF42EC"/>
    <w:rsid w:val="38462177"/>
    <w:rsid w:val="387354CF"/>
    <w:rsid w:val="38900237"/>
    <w:rsid w:val="389A0D65"/>
    <w:rsid w:val="38B81160"/>
    <w:rsid w:val="38C60756"/>
    <w:rsid w:val="392E7281"/>
    <w:rsid w:val="39E62724"/>
    <w:rsid w:val="39E700E2"/>
    <w:rsid w:val="39F5707E"/>
    <w:rsid w:val="39F71CA4"/>
    <w:rsid w:val="3A51759A"/>
    <w:rsid w:val="3A5C4DDC"/>
    <w:rsid w:val="3AA848D5"/>
    <w:rsid w:val="3AC91C45"/>
    <w:rsid w:val="3B084060"/>
    <w:rsid w:val="3B475BB1"/>
    <w:rsid w:val="3B67578F"/>
    <w:rsid w:val="3B694952"/>
    <w:rsid w:val="3BA349BC"/>
    <w:rsid w:val="3C1856FB"/>
    <w:rsid w:val="3C4F5764"/>
    <w:rsid w:val="3C657396"/>
    <w:rsid w:val="3CB40BDD"/>
    <w:rsid w:val="3CF84967"/>
    <w:rsid w:val="3D2E3547"/>
    <w:rsid w:val="3D611EB1"/>
    <w:rsid w:val="3D632BAB"/>
    <w:rsid w:val="3D8738B6"/>
    <w:rsid w:val="3D934583"/>
    <w:rsid w:val="3DAD6184"/>
    <w:rsid w:val="3DD73B01"/>
    <w:rsid w:val="3DEE608D"/>
    <w:rsid w:val="3E150F77"/>
    <w:rsid w:val="3ECA6C84"/>
    <w:rsid w:val="3F413AD3"/>
    <w:rsid w:val="400408B6"/>
    <w:rsid w:val="402724E9"/>
    <w:rsid w:val="40AA52F7"/>
    <w:rsid w:val="410C4E37"/>
    <w:rsid w:val="413B5C69"/>
    <w:rsid w:val="41546829"/>
    <w:rsid w:val="41C837BC"/>
    <w:rsid w:val="42144874"/>
    <w:rsid w:val="421D2A6F"/>
    <w:rsid w:val="42AC2E27"/>
    <w:rsid w:val="42C122FD"/>
    <w:rsid w:val="42F05C48"/>
    <w:rsid w:val="42F16DD6"/>
    <w:rsid w:val="43457143"/>
    <w:rsid w:val="43466B0C"/>
    <w:rsid w:val="43A41D4E"/>
    <w:rsid w:val="43BB670A"/>
    <w:rsid w:val="44016CC2"/>
    <w:rsid w:val="44934894"/>
    <w:rsid w:val="4525781D"/>
    <w:rsid w:val="45477EF9"/>
    <w:rsid w:val="458B7D93"/>
    <w:rsid w:val="45B70E77"/>
    <w:rsid w:val="45D26FE5"/>
    <w:rsid w:val="460C47E4"/>
    <w:rsid w:val="462C1386"/>
    <w:rsid w:val="468A0E78"/>
    <w:rsid w:val="46D203EE"/>
    <w:rsid w:val="484826DA"/>
    <w:rsid w:val="484F3DFE"/>
    <w:rsid w:val="485305FB"/>
    <w:rsid w:val="486C0E54"/>
    <w:rsid w:val="486D4E21"/>
    <w:rsid w:val="487424BD"/>
    <w:rsid w:val="488349FD"/>
    <w:rsid w:val="48876C0F"/>
    <w:rsid w:val="49194FB0"/>
    <w:rsid w:val="492E03F5"/>
    <w:rsid w:val="494712E2"/>
    <w:rsid w:val="49677439"/>
    <w:rsid w:val="49720E6F"/>
    <w:rsid w:val="4980390C"/>
    <w:rsid w:val="499254E1"/>
    <w:rsid w:val="49A52B1C"/>
    <w:rsid w:val="49F025E3"/>
    <w:rsid w:val="4A240C73"/>
    <w:rsid w:val="4A28749A"/>
    <w:rsid w:val="4B766E63"/>
    <w:rsid w:val="4B7F31BF"/>
    <w:rsid w:val="4C0B7A5E"/>
    <w:rsid w:val="4C3115BF"/>
    <w:rsid w:val="4C612A6B"/>
    <w:rsid w:val="4C971347"/>
    <w:rsid w:val="4CE87AB1"/>
    <w:rsid w:val="4CEF5BAF"/>
    <w:rsid w:val="4D2A4B20"/>
    <w:rsid w:val="4D482624"/>
    <w:rsid w:val="4DA445A7"/>
    <w:rsid w:val="4DE63818"/>
    <w:rsid w:val="4E1231D9"/>
    <w:rsid w:val="4E2E6DAB"/>
    <w:rsid w:val="4E72485E"/>
    <w:rsid w:val="4E8A4880"/>
    <w:rsid w:val="4E927B13"/>
    <w:rsid w:val="4F515808"/>
    <w:rsid w:val="5009083C"/>
    <w:rsid w:val="50416802"/>
    <w:rsid w:val="5094118C"/>
    <w:rsid w:val="509829D7"/>
    <w:rsid w:val="50A44866"/>
    <w:rsid w:val="50EF4A26"/>
    <w:rsid w:val="51060E5C"/>
    <w:rsid w:val="511B0D44"/>
    <w:rsid w:val="514227A7"/>
    <w:rsid w:val="51BC2720"/>
    <w:rsid w:val="52067844"/>
    <w:rsid w:val="520A3121"/>
    <w:rsid w:val="521D22F0"/>
    <w:rsid w:val="523D381C"/>
    <w:rsid w:val="52BD1720"/>
    <w:rsid w:val="53995D1F"/>
    <w:rsid w:val="53A40EB9"/>
    <w:rsid w:val="53C14784"/>
    <w:rsid w:val="54037195"/>
    <w:rsid w:val="54334CBB"/>
    <w:rsid w:val="54592004"/>
    <w:rsid w:val="545A4B8F"/>
    <w:rsid w:val="54887C02"/>
    <w:rsid w:val="54AE19CD"/>
    <w:rsid w:val="54EF4893"/>
    <w:rsid w:val="54F9100E"/>
    <w:rsid w:val="55096C5B"/>
    <w:rsid w:val="552706C4"/>
    <w:rsid w:val="557F1285"/>
    <w:rsid w:val="55953943"/>
    <w:rsid w:val="559F20CE"/>
    <w:rsid w:val="55A72FAC"/>
    <w:rsid w:val="56132851"/>
    <w:rsid w:val="5631506E"/>
    <w:rsid w:val="565A6D84"/>
    <w:rsid w:val="567B272D"/>
    <w:rsid w:val="56836AD2"/>
    <w:rsid w:val="5697739D"/>
    <w:rsid w:val="56A90DB6"/>
    <w:rsid w:val="56CF72A8"/>
    <w:rsid w:val="56DD258D"/>
    <w:rsid w:val="56E1071C"/>
    <w:rsid w:val="57164557"/>
    <w:rsid w:val="57622118"/>
    <w:rsid w:val="579E5581"/>
    <w:rsid w:val="57A6528B"/>
    <w:rsid w:val="58592125"/>
    <w:rsid w:val="589472C1"/>
    <w:rsid w:val="58C16652"/>
    <w:rsid w:val="58E4719A"/>
    <w:rsid w:val="591F0718"/>
    <w:rsid w:val="594744AD"/>
    <w:rsid w:val="59650CB5"/>
    <w:rsid w:val="597109B8"/>
    <w:rsid w:val="59B612DD"/>
    <w:rsid w:val="59B6233E"/>
    <w:rsid w:val="59C12DE3"/>
    <w:rsid w:val="5A044EF9"/>
    <w:rsid w:val="5A185214"/>
    <w:rsid w:val="5A3323CB"/>
    <w:rsid w:val="5AC13BD8"/>
    <w:rsid w:val="5B5A3F8B"/>
    <w:rsid w:val="5BB86BB2"/>
    <w:rsid w:val="5C3C0423"/>
    <w:rsid w:val="5C4B3DBA"/>
    <w:rsid w:val="5C807259"/>
    <w:rsid w:val="5C886996"/>
    <w:rsid w:val="5C9A4E86"/>
    <w:rsid w:val="5CA57574"/>
    <w:rsid w:val="5D1C02FB"/>
    <w:rsid w:val="5D3D79E3"/>
    <w:rsid w:val="5D447851"/>
    <w:rsid w:val="5DE35A26"/>
    <w:rsid w:val="5DF5602D"/>
    <w:rsid w:val="5E0019CA"/>
    <w:rsid w:val="5E3E33BB"/>
    <w:rsid w:val="5E4C3A15"/>
    <w:rsid w:val="5E5752D5"/>
    <w:rsid w:val="5E7A402D"/>
    <w:rsid w:val="5E91246B"/>
    <w:rsid w:val="5F4F16DD"/>
    <w:rsid w:val="5F992E95"/>
    <w:rsid w:val="5FCC3ACA"/>
    <w:rsid w:val="5FCF323C"/>
    <w:rsid w:val="5FE37DB8"/>
    <w:rsid w:val="60376714"/>
    <w:rsid w:val="60483AFC"/>
    <w:rsid w:val="606773DD"/>
    <w:rsid w:val="612365C7"/>
    <w:rsid w:val="615407BE"/>
    <w:rsid w:val="6179123D"/>
    <w:rsid w:val="627357E6"/>
    <w:rsid w:val="62B7763A"/>
    <w:rsid w:val="6341497A"/>
    <w:rsid w:val="63430BA8"/>
    <w:rsid w:val="635051A2"/>
    <w:rsid w:val="63857C4A"/>
    <w:rsid w:val="63F576AD"/>
    <w:rsid w:val="64905204"/>
    <w:rsid w:val="64D67DF0"/>
    <w:rsid w:val="65030035"/>
    <w:rsid w:val="6506405C"/>
    <w:rsid w:val="657D2B9C"/>
    <w:rsid w:val="65A767FC"/>
    <w:rsid w:val="65C3404D"/>
    <w:rsid w:val="661C5DBB"/>
    <w:rsid w:val="663A296C"/>
    <w:rsid w:val="6671225B"/>
    <w:rsid w:val="667E2813"/>
    <w:rsid w:val="6711452F"/>
    <w:rsid w:val="6796375D"/>
    <w:rsid w:val="68402390"/>
    <w:rsid w:val="68E26FD4"/>
    <w:rsid w:val="69031ABE"/>
    <w:rsid w:val="692142F9"/>
    <w:rsid w:val="69744B3A"/>
    <w:rsid w:val="698E75CC"/>
    <w:rsid w:val="69A25058"/>
    <w:rsid w:val="69A32A9D"/>
    <w:rsid w:val="69E9781D"/>
    <w:rsid w:val="69F2108A"/>
    <w:rsid w:val="6A4267FB"/>
    <w:rsid w:val="6A490DD5"/>
    <w:rsid w:val="6A64025D"/>
    <w:rsid w:val="6AB153D5"/>
    <w:rsid w:val="6AEB08BE"/>
    <w:rsid w:val="6B1B1EA9"/>
    <w:rsid w:val="6B2761A0"/>
    <w:rsid w:val="6B60552D"/>
    <w:rsid w:val="6B6E08BB"/>
    <w:rsid w:val="6BA27C93"/>
    <w:rsid w:val="6BAB0E82"/>
    <w:rsid w:val="6BCA7305"/>
    <w:rsid w:val="6BD940E2"/>
    <w:rsid w:val="6BEC2DFF"/>
    <w:rsid w:val="6CA25D5C"/>
    <w:rsid w:val="6CCE4C58"/>
    <w:rsid w:val="6CE47B9F"/>
    <w:rsid w:val="6D1E3C1B"/>
    <w:rsid w:val="6D1E509F"/>
    <w:rsid w:val="6D1E5D55"/>
    <w:rsid w:val="6D3F5B16"/>
    <w:rsid w:val="6D680F6E"/>
    <w:rsid w:val="6DC215AC"/>
    <w:rsid w:val="6DD469CF"/>
    <w:rsid w:val="6DE42FBF"/>
    <w:rsid w:val="6DF73CE2"/>
    <w:rsid w:val="6E723AFD"/>
    <w:rsid w:val="6E804EFD"/>
    <w:rsid w:val="6EC32208"/>
    <w:rsid w:val="6F5F4920"/>
    <w:rsid w:val="6F812F6E"/>
    <w:rsid w:val="6F934ECC"/>
    <w:rsid w:val="6FAB24D1"/>
    <w:rsid w:val="6FD97E6B"/>
    <w:rsid w:val="700176AF"/>
    <w:rsid w:val="70735EBF"/>
    <w:rsid w:val="708E4896"/>
    <w:rsid w:val="71426B87"/>
    <w:rsid w:val="72276A6D"/>
    <w:rsid w:val="725A1874"/>
    <w:rsid w:val="72774E61"/>
    <w:rsid w:val="72FF6DC6"/>
    <w:rsid w:val="734A4B7B"/>
    <w:rsid w:val="73C635B0"/>
    <w:rsid w:val="73DB4062"/>
    <w:rsid w:val="74047753"/>
    <w:rsid w:val="74255271"/>
    <w:rsid w:val="74290309"/>
    <w:rsid w:val="745D47BE"/>
    <w:rsid w:val="747C2A00"/>
    <w:rsid w:val="74B27896"/>
    <w:rsid w:val="74DE1933"/>
    <w:rsid w:val="75001B03"/>
    <w:rsid w:val="75191F8F"/>
    <w:rsid w:val="75555A8B"/>
    <w:rsid w:val="764D68B4"/>
    <w:rsid w:val="7661289E"/>
    <w:rsid w:val="76A10439"/>
    <w:rsid w:val="76A831B8"/>
    <w:rsid w:val="76AB7DAF"/>
    <w:rsid w:val="77091992"/>
    <w:rsid w:val="7735702F"/>
    <w:rsid w:val="774724E4"/>
    <w:rsid w:val="77BA035C"/>
    <w:rsid w:val="77FB7E44"/>
    <w:rsid w:val="786566A4"/>
    <w:rsid w:val="79AF40E3"/>
    <w:rsid w:val="79D97CE5"/>
    <w:rsid w:val="7A2554AA"/>
    <w:rsid w:val="7A2D2774"/>
    <w:rsid w:val="7A310FEF"/>
    <w:rsid w:val="7A3B26CF"/>
    <w:rsid w:val="7A8D5C21"/>
    <w:rsid w:val="7AB85DB5"/>
    <w:rsid w:val="7B3D7E48"/>
    <w:rsid w:val="7B857465"/>
    <w:rsid w:val="7B8A2CFE"/>
    <w:rsid w:val="7B923492"/>
    <w:rsid w:val="7BD51A34"/>
    <w:rsid w:val="7C692D19"/>
    <w:rsid w:val="7CA31497"/>
    <w:rsid w:val="7CEE2903"/>
    <w:rsid w:val="7D0E6639"/>
    <w:rsid w:val="7D5D39EA"/>
    <w:rsid w:val="7DB52956"/>
    <w:rsid w:val="7E6D4EC2"/>
    <w:rsid w:val="7E9867F5"/>
    <w:rsid w:val="7EC94625"/>
    <w:rsid w:val="7F40036D"/>
    <w:rsid w:val="7F4D1EA4"/>
    <w:rsid w:val="7F9E1F41"/>
    <w:rsid w:val="7FBC51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136"/>
    <w:autoRedefine/>
    <w:qFormat/>
    <w:uiPriority w:val="0"/>
    <w:pPr>
      <w:keepNext/>
      <w:jc w:val="center"/>
      <w:outlineLvl w:val="0"/>
    </w:pPr>
    <w:rPr>
      <w:rFonts w:eastAsia="黑体"/>
      <w:b/>
      <w:sz w:val="32"/>
      <w:szCs w:val="20"/>
    </w:rPr>
  </w:style>
  <w:style w:type="paragraph" w:styleId="4">
    <w:name w:val="heading 2"/>
    <w:basedOn w:val="1"/>
    <w:next w:val="1"/>
    <w:link w:val="185"/>
    <w:autoRedefine/>
    <w:qFormat/>
    <w:uiPriority w:val="0"/>
    <w:pPr>
      <w:keepNext/>
      <w:outlineLvl w:val="1"/>
    </w:pPr>
    <w:rPr>
      <w:rFonts w:ascii="仿宋_GB2312"/>
      <w:b/>
      <w:sz w:val="28"/>
      <w:szCs w:val="32"/>
    </w:rPr>
  </w:style>
  <w:style w:type="paragraph" w:styleId="5">
    <w:name w:val="heading 3"/>
    <w:basedOn w:val="1"/>
    <w:next w:val="1"/>
    <w:link w:val="105"/>
    <w:autoRedefine/>
    <w:qFormat/>
    <w:uiPriority w:val="0"/>
    <w:pPr>
      <w:keepNext/>
      <w:keepLines/>
      <w:spacing w:line="540" w:lineRule="atLeast"/>
      <w:outlineLvl w:val="2"/>
    </w:pPr>
    <w:rPr>
      <w:rFonts w:eastAsia="黑体"/>
      <w:b/>
      <w:sz w:val="28"/>
      <w:szCs w:val="20"/>
    </w:rPr>
  </w:style>
  <w:style w:type="paragraph" w:styleId="6">
    <w:name w:val="heading 4"/>
    <w:basedOn w:val="1"/>
    <w:next w:val="1"/>
    <w:link w:val="201"/>
    <w:autoRedefine/>
    <w:qFormat/>
    <w:uiPriority w:val="0"/>
    <w:pPr>
      <w:keepNext/>
      <w:keepLines/>
      <w:spacing w:line="540" w:lineRule="atLeast"/>
      <w:outlineLvl w:val="3"/>
    </w:pPr>
    <w:rPr>
      <w:sz w:val="28"/>
      <w:szCs w:val="28"/>
    </w:rPr>
  </w:style>
  <w:style w:type="paragraph" w:styleId="7">
    <w:name w:val="heading 5"/>
    <w:basedOn w:val="1"/>
    <w:next w:val="1"/>
    <w:link w:val="176"/>
    <w:autoRedefine/>
    <w:qFormat/>
    <w:uiPriority w:val="0"/>
    <w:pPr>
      <w:keepNext/>
      <w:keepLines/>
      <w:spacing w:before="280" w:after="290" w:line="372" w:lineRule="auto"/>
      <w:outlineLvl w:val="4"/>
    </w:pPr>
    <w:rPr>
      <w:b/>
      <w:bCs/>
      <w:kern w:val="0"/>
      <w:sz w:val="28"/>
      <w:szCs w:val="28"/>
    </w:rPr>
  </w:style>
  <w:style w:type="paragraph" w:styleId="8">
    <w:name w:val="heading 6"/>
    <w:basedOn w:val="1"/>
    <w:next w:val="9"/>
    <w:link w:val="194"/>
    <w:autoRedefine/>
    <w:qFormat/>
    <w:uiPriority w:val="0"/>
    <w:pPr>
      <w:keepNext/>
      <w:keepLines/>
      <w:spacing w:before="240" w:after="64" w:line="317" w:lineRule="auto"/>
      <w:outlineLvl w:val="5"/>
    </w:pPr>
    <w:rPr>
      <w:rFonts w:ascii="Arial" w:hAnsi="Arial" w:eastAsia="黑体"/>
      <w:b/>
      <w:sz w:val="24"/>
      <w:szCs w:val="20"/>
    </w:rPr>
  </w:style>
  <w:style w:type="paragraph" w:styleId="10">
    <w:name w:val="heading 7"/>
    <w:basedOn w:val="1"/>
    <w:next w:val="9"/>
    <w:link w:val="118"/>
    <w:autoRedefine/>
    <w:qFormat/>
    <w:uiPriority w:val="0"/>
    <w:pPr>
      <w:keepNext/>
      <w:keepLines/>
      <w:spacing w:before="240" w:after="64" w:line="317" w:lineRule="auto"/>
      <w:outlineLvl w:val="6"/>
    </w:pPr>
    <w:rPr>
      <w:b/>
      <w:sz w:val="24"/>
      <w:szCs w:val="20"/>
    </w:rPr>
  </w:style>
  <w:style w:type="paragraph" w:styleId="11">
    <w:name w:val="heading 8"/>
    <w:basedOn w:val="1"/>
    <w:next w:val="9"/>
    <w:link w:val="110"/>
    <w:autoRedefine/>
    <w:qFormat/>
    <w:uiPriority w:val="0"/>
    <w:pPr>
      <w:keepNext/>
      <w:keepLines/>
      <w:spacing w:before="240" w:after="64" w:line="317" w:lineRule="auto"/>
      <w:outlineLvl w:val="7"/>
    </w:pPr>
    <w:rPr>
      <w:rFonts w:ascii="Arial" w:hAnsi="Arial" w:eastAsia="黑体"/>
      <w:sz w:val="24"/>
      <w:szCs w:val="20"/>
    </w:rPr>
  </w:style>
  <w:style w:type="paragraph" w:styleId="12">
    <w:name w:val="heading 9"/>
    <w:basedOn w:val="1"/>
    <w:next w:val="9"/>
    <w:link w:val="192"/>
    <w:autoRedefine/>
    <w:qFormat/>
    <w:uiPriority w:val="0"/>
    <w:pPr>
      <w:keepNext/>
      <w:keepLines/>
      <w:spacing w:before="240" w:after="64" w:line="317" w:lineRule="auto"/>
      <w:outlineLvl w:val="8"/>
    </w:pPr>
    <w:rPr>
      <w:rFonts w:ascii="Arial" w:hAnsi="Arial" w:eastAsia="黑体"/>
      <w:szCs w:val="20"/>
    </w:rPr>
  </w:style>
  <w:style w:type="character" w:default="1" w:styleId="55">
    <w:name w:val="Default Paragraph Font"/>
    <w:autoRedefine/>
    <w:semiHidden/>
    <w:unhideWhenUsed/>
    <w:qFormat/>
    <w:uiPriority w:val="1"/>
  </w:style>
  <w:style w:type="table" w:default="1" w:styleId="53">
    <w:name w:val="Normal Table"/>
    <w:autoRedefine/>
    <w:semiHidden/>
    <w:unhideWhenUsed/>
    <w:qFormat/>
    <w:uiPriority w:val="99"/>
    <w:tblPr>
      <w:tblCellMar>
        <w:top w:w="0" w:type="dxa"/>
        <w:left w:w="108" w:type="dxa"/>
        <w:bottom w:w="0" w:type="dxa"/>
        <w:right w:w="108" w:type="dxa"/>
      </w:tblCellMar>
    </w:tblPr>
  </w:style>
  <w:style w:type="paragraph" w:styleId="2">
    <w:name w:val="macro"/>
    <w:link w:val="179"/>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9">
    <w:name w:val="Normal Indent"/>
    <w:basedOn w:val="1"/>
    <w:next w:val="1"/>
    <w:link w:val="153"/>
    <w:autoRedefine/>
    <w:unhideWhenUsed/>
    <w:qFormat/>
    <w:uiPriority w:val="0"/>
    <w:pPr>
      <w:ind w:firstLine="420" w:firstLineChars="200"/>
    </w:pPr>
    <w:rPr>
      <w:kern w:val="0"/>
      <w:sz w:val="20"/>
    </w:rPr>
  </w:style>
  <w:style w:type="paragraph" w:styleId="13">
    <w:name w:val="toc 7"/>
    <w:basedOn w:val="1"/>
    <w:next w:val="1"/>
    <w:autoRedefine/>
    <w:qFormat/>
    <w:uiPriority w:val="0"/>
    <w:pPr>
      <w:autoSpaceDE w:val="0"/>
      <w:autoSpaceDN w:val="0"/>
      <w:adjustRightInd w:val="0"/>
      <w:ind w:left="2520" w:leftChars="1200"/>
      <w:jc w:val="left"/>
    </w:pPr>
    <w:rPr>
      <w:kern w:val="0"/>
      <w:sz w:val="20"/>
      <w:szCs w:val="20"/>
    </w:rPr>
  </w:style>
  <w:style w:type="paragraph" w:styleId="14">
    <w:name w:val="List Number"/>
    <w:basedOn w:val="1"/>
    <w:autoRedefine/>
    <w:qFormat/>
    <w:uiPriority w:val="0"/>
    <w:pPr>
      <w:tabs>
        <w:tab w:val="left" w:pos="360"/>
      </w:tabs>
      <w:ind w:left="360" w:hanging="360" w:hangingChars="200"/>
    </w:pPr>
  </w:style>
  <w:style w:type="paragraph" w:styleId="15">
    <w:name w:val="caption"/>
    <w:basedOn w:val="1"/>
    <w:next w:val="1"/>
    <w:autoRedefine/>
    <w:qFormat/>
    <w:uiPriority w:val="0"/>
    <w:pPr>
      <w:autoSpaceDE w:val="0"/>
      <w:autoSpaceDN w:val="0"/>
      <w:adjustRightInd w:val="0"/>
      <w:jc w:val="left"/>
    </w:pPr>
    <w:rPr>
      <w:rFonts w:ascii="Arial" w:hAnsi="Arial" w:eastAsia="黑体" w:cs="Arial"/>
      <w:kern w:val="0"/>
      <w:sz w:val="20"/>
      <w:szCs w:val="20"/>
    </w:rPr>
  </w:style>
  <w:style w:type="paragraph" w:styleId="16">
    <w:name w:val="List Bullet"/>
    <w:basedOn w:val="1"/>
    <w:autoRedefine/>
    <w:qFormat/>
    <w:uiPriority w:val="0"/>
    <w:pPr>
      <w:tabs>
        <w:tab w:val="left" w:pos="360"/>
      </w:tabs>
    </w:pPr>
    <w:rPr>
      <w:szCs w:val="22"/>
    </w:rPr>
  </w:style>
  <w:style w:type="paragraph" w:styleId="17">
    <w:name w:val="Document Map"/>
    <w:basedOn w:val="1"/>
    <w:link w:val="71"/>
    <w:autoRedefine/>
    <w:qFormat/>
    <w:uiPriority w:val="0"/>
    <w:pPr>
      <w:shd w:val="clear" w:color="auto" w:fill="000080"/>
    </w:pPr>
    <w:rPr>
      <w:rFonts w:ascii="Times New Roman" w:hAnsi="Times New Roman"/>
      <w:kern w:val="0"/>
      <w:sz w:val="20"/>
    </w:rPr>
  </w:style>
  <w:style w:type="paragraph" w:styleId="18">
    <w:name w:val="annotation text"/>
    <w:basedOn w:val="1"/>
    <w:link w:val="113"/>
    <w:autoRedefine/>
    <w:unhideWhenUsed/>
    <w:qFormat/>
    <w:uiPriority w:val="0"/>
    <w:pPr>
      <w:jc w:val="left"/>
    </w:pPr>
  </w:style>
  <w:style w:type="paragraph" w:styleId="19">
    <w:name w:val="Salutation"/>
    <w:basedOn w:val="1"/>
    <w:next w:val="1"/>
    <w:link w:val="74"/>
    <w:autoRedefine/>
    <w:qFormat/>
    <w:uiPriority w:val="0"/>
    <w:pPr>
      <w:tabs>
        <w:tab w:val="left" w:pos="840"/>
      </w:tabs>
      <w:autoSpaceDE w:val="0"/>
      <w:autoSpaceDN w:val="0"/>
      <w:adjustRightInd w:val="0"/>
      <w:jc w:val="left"/>
    </w:pPr>
    <w:rPr>
      <w:rFonts w:ascii="仿宋_GB2312" w:hAnsi="Times New Roman" w:eastAsia="仿宋_GB2312"/>
      <w:b/>
      <w:kern w:val="0"/>
      <w:sz w:val="24"/>
      <w:szCs w:val="32"/>
    </w:rPr>
  </w:style>
  <w:style w:type="paragraph" w:styleId="20">
    <w:name w:val="Body Text 3"/>
    <w:basedOn w:val="1"/>
    <w:link w:val="86"/>
    <w:autoRedefine/>
    <w:qFormat/>
    <w:uiPriority w:val="0"/>
    <w:pPr>
      <w:autoSpaceDE w:val="0"/>
      <w:autoSpaceDN w:val="0"/>
      <w:adjustRightInd w:val="0"/>
      <w:jc w:val="center"/>
    </w:pPr>
    <w:rPr>
      <w:rFonts w:ascii="等线" w:hAnsi="等线" w:eastAsia="等线"/>
      <w:szCs w:val="22"/>
    </w:rPr>
  </w:style>
  <w:style w:type="paragraph" w:styleId="21">
    <w:name w:val="Body Text"/>
    <w:basedOn w:val="1"/>
    <w:next w:val="22"/>
    <w:link w:val="208"/>
    <w:autoRedefine/>
    <w:unhideWhenUsed/>
    <w:qFormat/>
    <w:uiPriority w:val="0"/>
    <w:pPr>
      <w:spacing w:after="120"/>
    </w:pPr>
  </w:style>
  <w:style w:type="paragraph" w:styleId="22">
    <w:name w:val="Body Text First Indent"/>
    <w:basedOn w:val="21"/>
    <w:next w:val="23"/>
    <w:link w:val="129"/>
    <w:autoRedefine/>
    <w:qFormat/>
    <w:uiPriority w:val="0"/>
    <w:pPr>
      <w:autoSpaceDE w:val="0"/>
      <w:autoSpaceDN w:val="0"/>
      <w:adjustRightInd w:val="0"/>
      <w:ind w:firstLine="420" w:firstLineChars="100"/>
      <w:jc w:val="left"/>
    </w:pPr>
    <w:rPr>
      <w:rFonts w:ascii="等线" w:hAnsi="等线" w:eastAsia="等线"/>
      <w:szCs w:val="22"/>
    </w:rPr>
  </w:style>
  <w:style w:type="paragraph" w:styleId="23">
    <w:name w:val="toc 6"/>
    <w:basedOn w:val="1"/>
    <w:next w:val="1"/>
    <w:autoRedefine/>
    <w:qFormat/>
    <w:uiPriority w:val="0"/>
    <w:pPr>
      <w:autoSpaceDE w:val="0"/>
      <w:autoSpaceDN w:val="0"/>
      <w:adjustRightInd w:val="0"/>
      <w:ind w:left="2100" w:leftChars="1000"/>
      <w:jc w:val="left"/>
    </w:pPr>
    <w:rPr>
      <w:kern w:val="0"/>
      <w:sz w:val="20"/>
      <w:szCs w:val="20"/>
    </w:rPr>
  </w:style>
  <w:style w:type="paragraph" w:styleId="24">
    <w:name w:val="Body Text Indent"/>
    <w:basedOn w:val="1"/>
    <w:next w:val="25"/>
    <w:link w:val="116"/>
    <w:autoRedefine/>
    <w:unhideWhenUsed/>
    <w:qFormat/>
    <w:uiPriority w:val="0"/>
    <w:pPr>
      <w:spacing w:after="120"/>
      <w:ind w:left="420" w:leftChars="200"/>
    </w:pPr>
  </w:style>
  <w:style w:type="paragraph" w:styleId="25">
    <w:name w:val="Body Text First Indent 2"/>
    <w:basedOn w:val="24"/>
    <w:link w:val="219"/>
    <w:autoRedefine/>
    <w:qFormat/>
    <w:uiPriority w:val="0"/>
    <w:pPr>
      <w:ind w:hanging="200" w:hangingChars="200"/>
    </w:pPr>
    <w:rPr>
      <w:rFonts w:cs="宋体"/>
      <w:szCs w:val="21"/>
    </w:rPr>
  </w:style>
  <w:style w:type="paragraph" w:styleId="26">
    <w:name w:val="List Number 3"/>
    <w:basedOn w:val="1"/>
    <w:autoRedefine/>
    <w:qFormat/>
    <w:uiPriority w:val="0"/>
    <w:pPr>
      <w:tabs>
        <w:tab w:val="left" w:pos="1200"/>
      </w:tabs>
      <w:ind w:left="1200" w:leftChars="400" w:hanging="360" w:hangingChars="200"/>
    </w:pPr>
  </w:style>
  <w:style w:type="paragraph" w:styleId="27">
    <w:name w:val="Block Text"/>
    <w:basedOn w:val="1"/>
    <w:autoRedefine/>
    <w:qFormat/>
    <w:uiPriority w:val="0"/>
    <w:pPr>
      <w:spacing w:line="520" w:lineRule="exact"/>
      <w:ind w:left="540" w:leftChars="257" w:right="-514"/>
    </w:pPr>
    <w:rPr>
      <w:rFonts w:ascii="宋体" w:hAnsi="宋体"/>
      <w:sz w:val="24"/>
    </w:rPr>
  </w:style>
  <w:style w:type="paragraph" w:styleId="28">
    <w:name w:val="List Bullet 2"/>
    <w:basedOn w:val="1"/>
    <w:autoRedefine/>
    <w:qFormat/>
    <w:uiPriority w:val="0"/>
    <w:pPr>
      <w:tabs>
        <w:tab w:val="left" w:pos="780"/>
      </w:tabs>
      <w:spacing w:line="360" w:lineRule="auto"/>
      <w:ind w:left="780" w:leftChars="200" w:hanging="360" w:hangingChars="200"/>
    </w:pPr>
  </w:style>
  <w:style w:type="paragraph" w:styleId="29">
    <w:name w:val="toc 5"/>
    <w:basedOn w:val="1"/>
    <w:next w:val="1"/>
    <w:autoRedefine/>
    <w:qFormat/>
    <w:uiPriority w:val="0"/>
    <w:pPr>
      <w:autoSpaceDE w:val="0"/>
      <w:autoSpaceDN w:val="0"/>
      <w:adjustRightInd w:val="0"/>
      <w:ind w:left="1680" w:leftChars="800"/>
      <w:jc w:val="left"/>
    </w:pPr>
    <w:rPr>
      <w:kern w:val="0"/>
      <w:sz w:val="20"/>
      <w:szCs w:val="20"/>
    </w:rPr>
  </w:style>
  <w:style w:type="paragraph" w:styleId="30">
    <w:name w:val="toc 3"/>
    <w:basedOn w:val="1"/>
    <w:next w:val="1"/>
    <w:autoRedefine/>
    <w:qFormat/>
    <w:uiPriority w:val="0"/>
    <w:pPr>
      <w:ind w:left="840" w:leftChars="400"/>
    </w:pPr>
  </w:style>
  <w:style w:type="paragraph" w:styleId="31">
    <w:name w:val="Plain Text"/>
    <w:basedOn w:val="1"/>
    <w:link w:val="91"/>
    <w:autoRedefine/>
    <w:qFormat/>
    <w:uiPriority w:val="0"/>
    <w:pPr>
      <w:widowControl/>
      <w:overflowPunct w:val="0"/>
      <w:autoSpaceDE w:val="0"/>
      <w:autoSpaceDN w:val="0"/>
      <w:adjustRightInd w:val="0"/>
      <w:jc w:val="left"/>
      <w:textAlignment w:val="baseline"/>
    </w:pPr>
    <w:rPr>
      <w:rFonts w:ascii="宋体" w:hAnsi="Courier New"/>
      <w:b/>
      <w:kern w:val="0"/>
      <w:sz w:val="20"/>
      <w:szCs w:val="21"/>
    </w:rPr>
  </w:style>
  <w:style w:type="paragraph" w:styleId="32">
    <w:name w:val="List Number 4"/>
    <w:basedOn w:val="1"/>
    <w:autoRedefine/>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3">
    <w:name w:val="toc 8"/>
    <w:basedOn w:val="1"/>
    <w:next w:val="1"/>
    <w:qFormat/>
    <w:uiPriority w:val="0"/>
    <w:pPr>
      <w:autoSpaceDE w:val="0"/>
      <w:autoSpaceDN w:val="0"/>
      <w:adjustRightInd w:val="0"/>
      <w:ind w:left="2940" w:leftChars="1400"/>
      <w:jc w:val="left"/>
    </w:pPr>
    <w:rPr>
      <w:kern w:val="0"/>
      <w:sz w:val="20"/>
      <w:szCs w:val="20"/>
    </w:rPr>
  </w:style>
  <w:style w:type="paragraph" w:styleId="34">
    <w:name w:val="Date"/>
    <w:basedOn w:val="1"/>
    <w:next w:val="1"/>
    <w:link w:val="120"/>
    <w:autoRedefine/>
    <w:qFormat/>
    <w:uiPriority w:val="0"/>
    <w:pPr>
      <w:ind w:left="100" w:leftChars="2500"/>
    </w:pPr>
    <w:rPr>
      <w:rFonts w:ascii="Times New Roman" w:hAnsi="Times New Roman"/>
      <w:kern w:val="0"/>
      <w:sz w:val="20"/>
    </w:rPr>
  </w:style>
  <w:style w:type="paragraph" w:styleId="35">
    <w:name w:val="Body Text Indent 2"/>
    <w:basedOn w:val="1"/>
    <w:link w:val="191"/>
    <w:autoRedefine/>
    <w:qFormat/>
    <w:uiPriority w:val="0"/>
    <w:pPr>
      <w:spacing w:line="500" w:lineRule="exact"/>
      <w:ind w:firstLine="511" w:firstLineChars="213"/>
    </w:pPr>
    <w:rPr>
      <w:rFonts w:ascii="Times New Roman" w:hAnsi="Times New Roman"/>
      <w:kern w:val="0"/>
      <w:sz w:val="24"/>
    </w:rPr>
  </w:style>
  <w:style w:type="paragraph" w:styleId="36">
    <w:name w:val="Balloon Text"/>
    <w:basedOn w:val="1"/>
    <w:link w:val="70"/>
    <w:autoRedefine/>
    <w:qFormat/>
    <w:uiPriority w:val="0"/>
    <w:rPr>
      <w:rFonts w:ascii="Times New Roman" w:hAnsi="Times New Roman"/>
      <w:kern w:val="0"/>
      <w:sz w:val="18"/>
      <w:szCs w:val="18"/>
    </w:rPr>
  </w:style>
  <w:style w:type="paragraph" w:styleId="37">
    <w:name w:val="footer"/>
    <w:basedOn w:val="1"/>
    <w:link w:val="173"/>
    <w:autoRedefine/>
    <w:unhideWhenUsed/>
    <w:qFormat/>
    <w:uiPriority w:val="0"/>
    <w:pPr>
      <w:tabs>
        <w:tab w:val="center" w:pos="4153"/>
        <w:tab w:val="right" w:pos="8306"/>
      </w:tabs>
      <w:snapToGrid w:val="0"/>
      <w:jc w:val="left"/>
    </w:pPr>
    <w:rPr>
      <w:sz w:val="18"/>
      <w:szCs w:val="18"/>
    </w:rPr>
  </w:style>
  <w:style w:type="paragraph" w:styleId="38">
    <w:name w:val="envelope return"/>
    <w:basedOn w:val="1"/>
    <w:autoRedefine/>
    <w:qFormat/>
    <w:uiPriority w:val="0"/>
    <w:pPr>
      <w:snapToGrid w:val="0"/>
    </w:pPr>
    <w:rPr>
      <w:rFonts w:ascii="Arial" w:hAnsi="Arial"/>
    </w:rPr>
  </w:style>
  <w:style w:type="paragraph" w:styleId="39">
    <w:name w:val="header"/>
    <w:basedOn w:val="1"/>
    <w:link w:val="69"/>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216"/>
    <w:autoRedefine/>
    <w:qFormat/>
    <w:uiPriority w:val="0"/>
    <w:pPr>
      <w:autoSpaceDE w:val="0"/>
      <w:autoSpaceDN w:val="0"/>
      <w:adjustRightInd w:val="0"/>
      <w:spacing w:after="600" w:line="312" w:lineRule="atLeast"/>
      <w:jc w:val="center"/>
      <w:textAlignment w:val="baseline"/>
    </w:pPr>
    <w:rPr>
      <w:rFonts w:ascii="仿宋_GB2312" w:hAnsi="Times New Roman" w:eastAsia="仿宋_GB2312"/>
      <w:b/>
      <w:kern w:val="0"/>
      <w:sz w:val="24"/>
      <w:szCs w:val="32"/>
    </w:rPr>
  </w:style>
  <w:style w:type="paragraph" w:styleId="41">
    <w:name w:val="toc 1"/>
    <w:basedOn w:val="1"/>
    <w:next w:val="1"/>
    <w:qFormat/>
    <w:uiPriority w:val="0"/>
  </w:style>
  <w:style w:type="paragraph" w:styleId="42">
    <w:name w:val="toc 4"/>
    <w:basedOn w:val="1"/>
    <w:next w:val="1"/>
    <w:autoRedefine/>
    <w:qFormat/>
    <w:uiPriority w:val="0"/>
    <w:pPr>
      <w:autoSpaceDE w:val="0"/>
      <w:autoSpaceDN w:val="0"/>
      <w:adjustRightInd w:val="0"/>
      <w:ind w:left="1260" w:leftChars="600"/>
      <w:jc w:val="left"/>
    </w:pPr>
    <w:rPr>
      <w:kern w:val="0"/>
      <w:sz w:val="20"/>
      <w:szCs w:val="20"/>
    </w:rPr>
  </w:style>
  <w:style w:type="paragraph" w:styleId="43">
    <w:name w:val="Subtitle"/>
    <w:basedOn w:val="1"/>
    <w:next w:val="1"/>
    <w:link w:val="168"/>
    <w:qFormat/>
    <w:uiPriority w:val="0"/>
    <w:pPr>
      <w:spacing w:before="240" w:after="60" w:line="312" w:lineRule="auto"/>
      <w:jc w:val="center"/>
      <w:outlineLvl w:val="1"/>
    </w:pPr>
    <w:rPr>
      <w:rFonts w:ascii="Cambria" w:hAnsi="Cambria"/>
      <w:b/>
      <w:bCs/>
      <w:kern w:val="28"/>
      <w:sz w:val="32"/>
      <w:szCs w:val="32"/>
    </w:rPr>
  </w:style>
  <w:style w:type="paragraph" w:styleId="44">
    <w:name w:val="List Number 5"/>
    <w:basedOn w:val="1"/>
    <w:autoRedefine/>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5">
    <w:name w:val="List"/>
    <w:basedOn w:val="1"/>
    <w:autoRedefine/>
    <w:qFormat/>
    <w:uiPriority w:val="0"/>
    <w:pPr>
      <w:ind w:left="200" w:hanging="200" w:hangingChars="200"/>
    </w:pPr>
    <w:rPr>
      <w:rFonts w:ascii="Times New Roman" w:hAnsi="Times New Roman"/>
    </w:rPr>
  </w:style>
  <w:style w:type="paragraph" w:styleId="46">
    <w:name w:val="Body Text Indent 3"/>
    <w:basedOn w:val="1"/>
    <w:link w:val="143"/>
    <w:qFormat/>
    <w:uiPriority w:val="0"/>
    <w:pPr>
      <w:spacing w:line="500" w:lineRule="exact"/>
      <w:ind w:left="511" w:hanging="511" w:hangingChars="213"/>
    </w:pPr>
    <w:rPr>
      <w:rFonts w:ascii="Times New Roman" w:hAnsi="Times New Roman"/>
      <w:kern w:val="0"/>
      <w:sz w:val="24"/>
    </w:rPr>
  </w:style>
  <w:style w:type="paragraph" w:styleId="47">
    <w:name w:val="toc 2"/>
    <w:basedOn w:val="1"/>
    <w:next w:val="1"/>
    <w:autoRedefine/>
    <w:qFormat/>
    <w:uiPriority w:val="0"/>
    <w:pPr>
      <w:ind w:left="420" w:leftChars="200"/>
    </w:pPr>
  </w:style>
  <w:style w:type="paragraph" w:styleId="48">
    <w:name w:val="toc 9"/>
    <w:basedOn w:val="1"/>
    <w:next w:val="1"/>
    <w:autoRedefine/>
    <w:qFormat/>
    <w:uiPriority w:val="0"/>
    <w:pPr>
      <w:autoSpaceDE w:val="0"/>
      <w:autoSpaceDN w:val="0"/>
      <w:adjustRightInd w:val="0"/>
      <w:ind w:left="3360" w:leftChars="1600"/>
      <w:jc w:val="left"/>
    </w:pPr>
    <w:rPr>
      <w:kern w:val="0"/>
      <w:sz w:val="20"/>
      <w:szCs w:val="20"/>
    </w:rPr>
  </w:style>
  <w:style w:type="paragraph" w:styleId="49">
    <w:name w:val="Body Text 2"/>
    <w:basedOn w:val="1"/>
    <w:link w:val="195"/>
    <w:autoRedefine/>
    <w:qFormat/>
    <w:uiPriority w:val="0"/>
    <w:pPr>
      <w:autoSpaceDE w:val="0"/>
      <w:autoSpaceDN w:val="0"/>
      <w:adjustRightInd w:val="0"/>
      <w:spacing w:after="120" w:line="480" w:lineRule="auto"/>
      <w:jc w:val="left"/>
    </w:pPr>
    <w:rPr>
      <w:rFonts w:ascii="等线" w:hAnsi="等线" w:eastAsia="等线"/>
      <w:szCs w:val="22"/>
    </w:rPr>
  </w:style>
  <w:style w:type="paragraph" w:styleId="50">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51">
    <w:name w:val="Title"/>
    <w:basedOn w:val="1"/>
    <w:next w:val="1"/>
    <w:link w:val="103"/>
    <w:qFormat/>
    <w:uiPriority w:val="0"/>
    <w:pPr>
      <w:spacing w:before="240" w:after="60"/>
      <w:jc w:val="center"/>
      <w:outlineLvl w:val="0"/>
    </w:pPr>
    <w:rPr>
      <w:rFonts w:ascii="Cambria" w:hAnsi="Cambria"/>
      <w:b/>
      <w:bCs/>
      <w:kern w:val="0"/>
      <w:sz w:val="32"/>
      <w:szCs w:val="32"/>
    </w:rPr>
  </w:style>
  <w:style w:type="paragraph" w:styleId="52">
    <w:name w:val="annotation subject"/>
    <w:basedOn w:val="18"/>
    <w:next w:val="18"/>
    <w:link w:val="152"/>
    <w:autoRedefine/>
    <w:qFormat/>
    <w:uiPriority w:val="0"/>
    <w:rPr>
      <w:rFonts w:ascii="Times New Roman" w:hAnsi="Times New Roman"/>
      <w:b/>
      <w:bCs/>
      <w:kern w:val="0"/>
      <w:sz w:val="20"/>
    </w:rPr>
  </w:style>
  <w:style w:type="table" w:styleId="54">
    <w:name w:val="Table Grid"/>
    <w:basedOn w:val="5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autoRedefine/>
    <w:qFormat/>
    <w:uiPriority w:val="0"/>
    <w:rPr>
      <w:rFonts w:ascii="仿宋_GB2312" w:eastAsia="仿宋_GB2312"/>
      <w:bCs/>
      <w:sz w:val="32"/>
      <w:szCs w:val="32"/>
    </w:rPr>
  </w:style>
  <w:style w:type="character" w:styleId="57">
    <w:name w:val="page number"/>
    <w:basedOn w:val="55"/>
    <w:autoRedefine/>
    <w:qFormat/>
    <w:uiPriority w:val="0"/>
  </w:style>
  <w:style w:type="character" w:styleId="58">
    <w:name w:val="FollowedHyperlink"/>
    <w:autoRedefine/>
    <w:qFormat/>
    <w:uiPriority w:val="0"/>
    <w:rPr>
      <w:rFonts w:ascii="仿宋_GB2312" w:eastAsia="仿宋_GB2312"/>
      <w:b/>
      <w:color w:val="800080"/>
      <w:sz w:val="32"/>
      <w:szCs w:val="32"/>
      <w:u w:val="none"/>
    </w:rPr>
  </w:style>
  <w:style w:type="character" w:styleId="59">
    <w:name w:val="Emphasis"/>
    <w:autoRedefine/>
    <w:qFormat/>
    <w:uiPriority w:val="0"/>
    <w:rPr>
      <w:i/>
      <w:iCs/>
    </w:rPr>
  </w:style>
  <w:style w:type="character" w:styleId="60">
    <w:name w:val="line number"/>
    <w:basedOn w:val="55"/>
    <w:autoRedefine/>
    <w:qFormat/>
    <w:uiPriority w:val="0"/>
  </w:style>
  <w:style w:type="character" w:styleId="61">
    <w:name w:val="Hyperlink"/>
    <w:autoRedefine/>
    <w:qFormat/>
    <w:uiPriority w:val="0"/>
    <w:rPr>
      <w:rFonts w:ascii="仿宋_GB2312" w:eastAsia="仿宋_GB2312"/>
      <w:b/>
      <w:color w:val="0000FF"/>
      <w:sz w:val="32"/>
      <w:szCs w:val="32"/>
      <w:u w:val="none"/>
    </w:rPr>
  </w:style>
  <w:style w:type="character" w:styleId="62">
    <w:name w:val="annotation reference"/>
    <w:autoRedefine/>
    <w:qFormat/>
    <w:uiPriority w:val="0"/>
    <w:rPr>
      <w:sz w:val="21"/>
      <w:szCs w:val="21"/>
    </w:rPr>
  </w:style>
  <w:style w:type="character" w:styleId="63">
    <w:name w:val="HTML Cite"/>
    <w:autoRedefine/>
    <w:qFormat/>
    <w:uiPriority w:val="0"/>
    <w:rPr>
      <w:color w:val="008000"/>
    </w:rPr>
  </w:style>
  <w:style w:type="paragraph" w:customStyle="1" w:styleId="64">
    <w:name w:val="01 正文-首行缩进2字符"/>
    <w:basedOn w:val="1"/>
    <w:autoRedefine/>
    <w:qFormat/>
    <w:uiPriority w:val="0"/>
    <w:pPr>
      <w:spacing w:before="50" w:beforeLines="50" w:after="50" w:afterLines="50"/>
      <w:ind w:firstLine="200" w:firstLineChars="200"/>
    </w:pPr>
    <w:rPr>
      <w:rFonts w:ascii="Arial" w:hAnsi="Arial"/>
      <w:color w:val="000000"/>
    </w:rPr>
  </w:style>
  <w:style w:type="paragraph" w:customStyle="1" w:styleId="65">
    <w:name w:val="Char3 Char Char Char"/>
    <w:basedOn w:val="1"/>
    <w:autoRedefine/>
    <w:qFormat/>
    <w:uiPriority w:val="0"/>
  </w:style>
  <w:style w:type="character" w:customStyle="1" w:styleId="66">
    <w:name w:val="Style4"/>
    <w:autoRedefine/>
    <w:qFormat/>
    <w:uiPriority w:val="0"/>
    <w:rPr>
      <w:rFonts w:ascii="Calibri" w:hAnsi="宋体" w:eastAsia="宋体" w:cs="Times New Roman"/>
      <w:szCs w:val="22"/>
      <w:lang w:eastAsia="zh-CN"/>
    </w:rPr>
  </w:style>
  <w:style w:type="character" w:customStyle="1" w:styleId="67">
    <w:name w:val="Style2"/>
    <w:autoRedefine/>
    <w:qFormat/>
    <w:uiPriority w:val="0"/>
    <w:rPr>
      <w:rFonts w:ascii="Calibri" w:hAnsi="宋体" w:eastAsia="宋体" w:cs="Times New Roman"/>
      <w:sz w:val="22"/>
      <w:szCs w:val="22"/>
      <w:lang w:eastAsia="zh-CN"/>
    </w:rPr>
  </w:style>
  <w:style w:type="character" w:customStyle="1" w:styleId="68">
    <w:name w:val="批注框文本 字符1"/>
    <w:basedOn w:val="55"/>
    <w:autoRedefine/>
    <w:semiHidden/>
    <w:qFormat/>
    <w:uiPriority w:val="99"/>
    <w:rPr>
      <w:rFonts w:ascii="Calibri" w:hAnsi="Calibri" w:eastAsia="宋体" w:cs="Times New Roman"/>
      <w:sz w:val="18"/>
      <w:szCs w:val="18"/>
    </w:rPr>
  </w:style>
  <w:style w:type="character" w:customStyle="1" w:styleId="69">
    <w:name w:val="页眉 Char"/>
    <w:basedOn w:val="55"/>
    <w:link w:val="39"/>
    <w:autoRedefine/>
    <w:qFormat/>
    <w:uiPriority w:val="0"/>
    <w:rPr>
      <w:sz w:val="18"/>
      <w:szCs w:val="18"/>
    </w:rPr>
  </w:style>
  <w:style w:type="character" w:customStyle="1" w:styleId="70">
    <w:name w:val="批注框文本 Char"/>
    <w:link w:val="36"/>
    <w:autoRedefine/>
    <w:qFormat/>
    <w:uiPriority w:val="0"/>
    <w:rPr>
      <w:sz w:val="18"/>
      <w:szCs w:val="18"/>
    </w:rPr>
  </w:style>
  <w:style w:type="character" w:customStyle="1" w:styleId="71">
    <w:name w:val="文档结构图 Char"/>
    <w:link w:val="17"/>
    <w:autoRedefine/>
    <w:qFormat/>
    <w:uiPriority w:val="0"/>
    <w:rPr>
      <w:szCs w:val="24"/>
      <w:shd w:val="clear" w:color="auto" w:fill="000080"/>
    </w:rPr>
  </w:style>
  <w:style w:type="character" w:customStyle="1" w:styleId="72">
    <w:name w:val="Char Char20"/>
    <w:autoRedefine/>
    <w:qFormat/>
    <w:uiPriority w:val="0"/>
    <w:rPr>
      <w:b/>
      <w:bCs/>
      <w:kern w:val="44"/>
      <w:sz w:val="44"/>
      <w:szCs w:val="44"/>
    </w:rPr>
  </w:style>
  <w:style w:type="character" w:customStyle="1" w:styleId="73">
    <w:name w:val="Char Char121"/>
    <w:autoRedefine/>
    <w:qFormat/>
    <w:uiPriority w:val="0"/>
    <w:rPr>
      <w:rFonts w:eastAsia="宋体"/>
      <w:kern w:val="2"/>
      <w:sz w:val="21"/>
      <w:szCs w:val="24"/>
      <w:lang w:val="en-US" w:eastAsia="zh-CN" w:bidi="ar-SA"/>
    </w:rPr>
  </w:style>
  <w:style w:type="character" w:customStyle="1" w:styleId="74">
    <w:name w:val="称呼 Char"/>
    <w:link w:val="19"/>
    <w:autoRedefine/>
    <w:qFormat/>
    <w:uiPriority w:val="0"/>
    <w:rPr>
      <w:rFonts w:ascii="仿宋_GB2312" w:eastAsia="仿宋_GB2312"/>
      <w:b/>
      <w:sz w:val="24"/>
      <w:szCs w:val="32"/>
    </w:rPr>
  </w:style>
  <w:style w:type="character" w:customStyle="1" w:styleId="75">
    <w:name w:val="Char Char211"/>
    <w:autoRedefine/>
    <w:qFormat/>
    <w:uiPriority w:val="0"/>
    <w:rPr>
      <w:rFonts w:ascii="Times New Roman" w:hAnsi="Times New Roman" w:eastAsia="宋体" w:cs="Times New Roman"/>
      <w:b/>
      <w:bCs/>
      <w:kern w:val="44"/>
      <w:sz w:val="44"/>
      <w:szCs w:val="44"/>
    </w:rPr>
  </w:style>
  <w:style w:type="character" w:customStyle="1" w:styleId="76">
    <w:name w:val="书籍标题11"/>
    <w:autoRedefine/>
    <w:qFormat/>
    <w:uiPriority w:val="0"/>
    <w:rPr>
      <w:b/>
      <w:bCs/>
      <w:smallCaps/>
      <w:spacing w:val="5"/>
    </w:rPr>
  </w:style>
  <w:style w:type="character" w:customStyle="1" w:styleId="77">
    <w:name w:val="Texte Char Char"/>
    <w:autoRedefine/>
    <w:qFormat/>
    <w:uiPriority w:val="0"/>
    <w:rPr>
      <w:rFonts w:ascii="宋体" w:hAnsi="Courier New" w:eastAsia="宋体"/>
      <w:sz w:val="21"/>
      <w:szCs w:val="21"/>
      <w:lang w:val="en-US" w:eastAsia="zh-CN" w:bidi="ar-SA"/>
    </w:rPr>
  </w:style>
  <w:style w:type="character" w:customStyle="1" w:styleId="78">
    <w:name w:val="ändrad Char1"/>
    <w:autoRedefine/>
    <w:qFormat/>
    <w:uiPriority w:val="0"/>
    <w:rPr>
      <w:rFonts w:ascii="仿宋_GB2312" w:eastAsia="宋体"/>
      <w:b/>
      <w:kern w:val="2"/>
      <w:sz w:val="21"/>
      <w:szCs w:val="24"/>
      <w:lang w:val="en-US" w:eastAsia="zh-CN" w:bidi="ar-SA"/>
    </w:rPr>
  </w:style>
  <w:style w:type="character" w:customStyle="1" w:styleId="79">
    <w:name w:val="副标题 字符1"/>
    <w:basedOn w:val="55"/>
    <w:autoRedefine/>
    <w:qFormat/>
    <w:uiPriority w:val="11"/>
    <w:rPr>
      <w:b/>
      <w:bCs/>
      <w:kern w:val="28"/>
      <w:sz w:val="32"/>
      <w:szCs w:val="32"/>
    </w:rPr>
  </w:style>
  <w:style w:type="character" w:customStyle="1" w:styleId="80">
    <w:name w:val="表正文 Char2"/>
    <w:autoRedefine/>
    <w:qFormat/>
    <w:uiPriority w:val="0"/>
    <w:rPr>
      <w:rFonts w:ascii="Times New Roman" w:hAnsi="Times New Roman" w:eastAsia="宋体" w:cs="Times New Roman"/>
      <w:szCs w:val="24"/>
    </w:rPr>
  </w:style>
  <w:style w:type="character" w:customStyle="1" w:styleId="81">
    <w:name w:val="heading 3 Char"/>
    <w:autoRedefine/>
    <w:qFormat/>
    <w:uiPriority w:val="0"/>
    <w:rPr>
      <w:rFonts w:ascii="Arial" w:hAnsi="Arial" w:eastAsia="黑体"/>
      <w:sz w:val="28"/>
      <w:szCs w:val="24"/>
    </w:rPr>
  </w:style>
  <w:style w:type="character" w:customStyle="1" w:styleId="82">
    <w:name w:val="heading 1 Char"/>
    <w:autoRedefine/>
    <w:qFormat/>
    <w:uiPriority w:val="0"/>
    <w:rPr>
      <w:rFonts w:ascii="Arial" w:hAnsi="Arial" w:eastAsia="黑体"/>
      <w:b/>
      <w:sz w:val="36"/>
      <w:szCs w:val="36"/>
    </w:rPr>
  </w:style>
  <w:style w:type="character" w:customStyle="1" w:styleId="83">
    <w:name w:val="明显强调1"/>
    <w:autoRedefine/>
    <w:qFormat/>
    <w:uiPriority w:val="0"/>
    <w:rPr>
      <w:b/>
      <w:bCs/>
      <w:i/>
      <w:iCs/>
      <w:color w:val="4F81BD"/>
    </w:rPr>
  </w:style>
  <w:style w:type="character" w:customStyle="1" w:styleId="84">
    <w:name w:val="文档结构图 字符1"/>
    <w:basedOn w:val="55"/>
    <w:autoRedefine/>
    <w:semiHidden/>
    <w:qFormat/>
    <w:uiPriority w:val="99"/>
    <w:rPr>
      <w:rFonts w:ascii="Microsoft YaHei UI" w:hAnsi="Calibri" w:eastAsia="Microsoft YaHei UI" w:cs="Times New Roman"/>
      <w:sz w:val="18"/>
      <w:szCs w:val="18"/>
    </w:rPr>
  </w:style>
  <w:style w:type="character" w:customStyle="1" w:styleId="85">
    <w:name w:val="heading 8 Char1"/>
    <w:autoRedefine/>
    <w:qFormat/>
    <w:uiPriority w:val="0"/>
    <w:rPr>
      <w:rFonts w:ascii="Arial" w:hAnsi="Arial" w:eastAsia="黑体"/>
      <w:sz w:val="24"/>
      <w:lang w:val="en-US" w:eastAsia="zh-CN" w:bidi="ar-SA"/>
    </w:rPr>
  </w:style>
  <w:style w:type="character" w:customStyle="1" w:styleId="86">
    <w:name w:val="正文文本 3 Char"/>
    <w:basedOn w:val="55"/>
    <w:link w:val="20"/>
    <w:autoRedefine/>
    <w:qFormat/>
    <w:uiPriority w:val="0"/>
  </w:style>
  <w:style w:type="character" w:customStyle="1" w:styleId="87">
    <w:name w:val="Char Char11"/>
    <w:autoRedefine/>
    <w:qFormat/>
    <w:uiPriority w:val="0"/>
    <w:rPr>
      <w:rFonts w:ascii="Times New Roman" w:hAnsi="Times New Roman" w:eastAsia="宋体" w:cs="Times New Roman"/>
      <w:sz w:val="18"/>
      <w:szCs w:val="18"/>
    </w:rPr>
  </w:style>
  <w:style w:type="character" w:customStyle="1" w:styleId="88">
    <w:name w:val="Style1"/>
    <w:autoRedefine/>
    <w:qFormat/>
    <w:uiPriority w:val="0"/>
    <w:rPr>
      <w:rFonts w:ascii="Calibri" w:hAnsi="宋体" w:eastAsia="宋体" w:cs="Times New Roman"/>
      <w:sz w:val="22"/>
      <w:szCs w:val="22"/>
      <w:lang w:eastAsia="zh-CN"/>
    </w:rPr>
  </w:style>
  <w:style w:type="character" w:customStyle="1" w:styleId="89">
    <w:name w:val="正文文本 3 字符1"/>
    <w:basedOn w:val="55"/>
    <w:autoRedefine/>
    <w:semiHidden/>
    <w:qFormat/>
    <w:uiPriority w:val="99"/>
    <w:rPr>
      <w:rFonts w:ascii="Calibri" w:hAnsi="Calibri" w:eastAsia="宋体" w:cs="Times New Roman"/>
      <w:sz w:val="16"/>
      <w:szCs w:val="16"/>
    </w:rPr>
  </w:style>
  <w:style w:type="character" w:customStyle="1" w:styleId="90">
    <w:name w:val="heading 9 Char1"/>
    <w:autoRedefine/>
    <w:qFormat/>
    <w:uiPriority w:val="0"/>
    <w:rPr>
      <w:rFonts w:ascii="Arial" w:hAnsi="Arial" w:eastAsia="黑体"/>
      <w:sz w:val="21"/>
      <w:lang w:val="en-US" w:eastAsia="zh-CN" w:bidi="ar-SA"/>
    </w:rPr>
  </w:style>
  <w:style w:type="character" w:customStyle="1" w:styleId="91">
    <w:name w:val="纯文本 Char"/>
    <w:link w:val="31"/>
    <w:autoRedefine/>
    <w:qFormat/>
    <w:uiPriority w:val="0"/>
    <w:rPr>
      <w:rFonts w:ascii="宋体" w:hAnsi="Courier New"/>
      <w:b/>
      <w:szCs w:val="21"/>
    </w:rPr>
  </w:style>
  <w:style w:type="character" w:customStyle="1" w:styleId="92">
    <w:name w:val="heading 5 Char"/>
    <w:autoRedefine/>
    <w:qFormat/>
    <w:uiPriority w:val="0"/>
    <w:rPr>
      <w:rFonts w:ascii="Arial" w:hAnsi="Arial" w:eastAsia="黑体"/>
      <w:sz w:val="21"/>
      <w:szCs w:val="21"/>
    </w:rPr>
  </w:style>
  <w:style w:type="character" w:customStyle="1" w:styleId="93">
    <w:name w:val="font11"/>
    <w:basedOn w:val="55"/>
    <w:autoRedefine/>
    <w:qFormat/>
    <w:uiPriority w:val="0"/>
    <w:rPr>
      <w:rFonts w:hint="eastAsia" w:ascii="宋体" w:hAnsi="宋体" w:eastAsia="宋体" w:cs="宋体"/>
      <w:b/>
      <w:color w:val="000000"/>
      <w:sz w:val="24"/>
      <w:szCs w:val="24"/>
      <w:u w:val="none"/>
    </w:rPr>
  </w:style>
  <w:style w:type="character" w:customStyle="1" w:styleId="94">
    <w:name w:val="heading 2 Char1"/>
    <w:autoRedefine/>
    <w:qFormat/>
    <w:uiPriority w:val="0"/>
    <w:rPr>
      <w:rFonts w:ascii="Cambria" w:hAnsi="Cambria" w:eastAsia="宋体"/>
      <w:b/>
      <w:bCs/>
      <w:kern w:val="2"/>
      <w:sz w:val="32"/>
      <w:szCs w:val="32"/>
      <w:lang w:val="en-US" w:eastAsia="zh-CN" w:bidi="ar-SA"/>
    </w:rPr>
  </w:style>
  <w:style w:type="character" w:customStyle="1" w:styleId="95">
    <w:name w:val="Char Char2"/>
    <w:autoRedefine/>
    <w:qFormat/>
    <w:uiPriority w:val="0"/>
    <w:rPr>
      <w:rFonts w:ascii="Arial" w:hAnsi="Arial" w:eastAsia="黑体"/>
      <w:b/>
      <w:bCs/>
      <w:kern w:val="44"/>
      <w:sz w:val="30"/>
      <w:szCs w:val="44"/>
      <w:lang w:val="en-US" w:eastAsia="zh-CN" w:bidi="ar-SA"/>
    </w:rPr>
  </w:style>
  <w:style w:type="character" w:customStyle="1" w:styleId="96">
    <w:name w:val="Style5"/>
    <w:autoRedefine/>
    <w:qFormat/>
    <w:uiPriority w:val="0"/>
    <w:rPr>
      <w:rFonts w:ascii="Calibri" w:hAnsi="宋体" w:eastAsia="宋体" w:cs="Times New Roman"/>
      <w:sz w:val="22"/>
      <w:szCs w:val="22"/>
      <w:lang w:eastAsia="zh-CN"/>
    </w:rPr>
  </w:style>
  <w:style w:type="character" w:customStyle="1" w:styleId="97">
    <w:name w:val="style41"/>
    <w:autoRedefine/>
    <w:qFormat/>
    <w:uiPriority w:val="0"/>
    <w:rPr>
      <w:color w:val="auto"/>
    </w:rPr>
  </w:style>
  <w:style w:type="character" w:customStyle="1" w:styleId="98">
    <w:name w:val="Char Char4"/>
    <w:autoRedefine/>
    <w:qFormat/>
    <w:uiPriority w:val="0"/>
    <w:rPr>
      <w:rFonts w:ascii="Cambria" w:hAnsi="Cambria" w:eastAsia="宋体"/>
      <w:b/>
      <w:bCs/>
      <w:sz w:val="32"/>
      <w:szCs w:val="32"/>
      <w:lang w:bidi="ar-SA"/>
    </w:rPr>
  </w:style>
  <w:style w:type="character" w:customStyle="1" w:styleId="99">
    <w:name w:val="引用 字符1"/>
    <w:basedOn w:val="55"/>
    <w:autoRedefine/>
    <w:qFormat/>
    <w:uiPriority w:val="29"/>
    <w:rPr>
      <w:rFonts w:ascii="Calibri" w:hAnsi="Calibri" w:eastAsia="宋体" w:cs="Times New Roman"/>
      <w:i/>
      <w:iCs/>
      <w:color w:val="3F3F3F"/>
      <w:szCs w:val="24"/>
    </w:rPr>
  </w:style>
  <w:style w:type="character" w:customStyle="1" w:styleId="100">
    <w:name w:val="ListLabel 1"/>
    <w:autoRedefine/>
    <w:qFormat/>
    <w:uiPriority w:val="7"/>
    <w:rPr>
      <w:rFonts w:ascii="宋体" w:hAnsi="宋体" w:cs="宋体"/>
      <w:color w:val="FF0000"/>
      <w:sz w:val="24"/>
    </w:rPr>
  </w:style>
  <w:style w:type="character" w:customStyle="1" w:styleId="101">
    <w:name w:val="blue1"/>
    <w:basedOn w:val="55"/>
    <w:autoRedefine/>
    <w:qFormat/>
    <w:uiPriority w:val="0"/>
  </w:style>
  <w:style w:type="character" w:customStyle="1" w:styleId="102">
    <w:name w:val="Ò³Ã¼ Char Char2"/>
    <w:autoRedefine/>
    <w:qFormat/>
    <w:uiPriority w:val="0"/>
    <w:rPr>
      <w:kern w:val="2"/>
      <w:sz w:val="18"/>
      <w:szCs w:val="18"/>
    </w:rPr>
  </w:style>
  <w:style w:type="character" w:customStyle="1" w:styleId="103">
    <w:name w:val="标题 Char"/>
    <w:link w:val="51"/>
    <w:autoRedefine/>
    <w:qFormat/>
    <w:uiPriority w:val="0"/>
    <w:rPr>
      <w:rFonts w:ascii="Cambria" w:hAnsi="Cambria"/>
      <w:b/>
      <w:bCs/>
      <w:sz w:val="32"/>
      <w:szCs w:val="32"/>
    </w:rPr>
  </w:style>
  <w:style w:type="character" w:customStyle="1" w:styleId="104">
    <w:name w:val="Char Char111"/>
    <w:autoRedefine/>
    <w:qFormat/>
    <w:uiPriority w:val="0"/>
    <w:rPr>
      <w:rFonts w:ascii="Times New Roman" w:hAnsi="Times New Roman" w:eastAsia="宋体" w:cs="Times New Roman"/>
      <w:sz w:val="18"/>
      <w:szCs w:val="18"/>
    </w:rPr>
  </w:style>
  <w:style w:type="character" w:customStyle="1" w:styleId="105">
    <w:name w:val="标题 3 Char"/>
    <w:basedOn w:val="55"/>
    <w:link w:val="5"/>
    <w:autoRedefine/>
    <w:qFormat/>
    <w:uiPriority w:val="0"/>
    <w:rPr>
      <w:rFonts w:ascii="Calibri" w:hAnsi="Calibri" w:eastAsia="黑体" w:cs="Times New Roman"/>
      <w:b/>
      <w:sz w:val="28"/>
      <w:szCs w:val="20"/>
    </w:rPr>
  </w:style>
  <w:style w:type="character" w:customStyle="1" w:styleId="106">
    <w:name w:val="无间隔 Char"/>
    <w:link w:val="107"/>
    <w:autoRedefine/>
    <w:qFormat/>
    <w:uiPriority w:val="0"/>
    <w:rPr>
      <w:rFonts w:ascii="等线" w:hAnsi="等线" w:eastAsia="Times New Roman"/>
      <w:kern w:val="2"/>
      <w:sz w:val="22"/>
      <w:szCs w:val="22"/>
      <w:lang w:val="en-US" w:eastAsia="zh-CN" w:bidi="ar-SA"/>
    </w:rPr>
  </w:style>
  <w:style w:type="paragraph" w:customStyle="1" w:styleId="107">
    <w:name w:val="无间隔1"/>
    <w:link w:val="106"/>
    <w:autoRedefine/>
    <w:qFormat/>
    <w:uiPriority w:val="0"/>
    <w:rPr>
      <w:rFonts w:ascii="等线" w:hAnsi="等线" w:eastAsia="Times New Roman" w:cs="Times New Roman"/>
      <w:kern w:val="2"/>
      <w:sz w:val="22"/>
      <w:szCs w:val="22"/>
      <w:lang w:val="en-US" w:eastAsia="zh-CN" w:bidi="ar-SA"/>
    </w:rPr>
  </w:style>
  <w:style w:type="character" w:customStyle="1" w:styleId="108">
    <w:name w:val="样式2 Char Char"/>
    <w:link w:val="109"/>
    <w:autoRedefine/>
    <w:qFormat/>
    <w:uiPriority w:val="0"/>
    <w:rPr>
      <w:rFonts w:ascii="宋体" w:hAnsi="宋体"/>
      <w:bCs/>
      <w:sz w:val="28"/>
      <w:szCs w:val="28"/>
    </w:rPr>
  </w:style>
  <w:style w:type="paragraph" w:customStyle="1" w:styleId="109">
    <w:name w:val="样式2"/>
    <w:basedOn w:val="4"/>
    <w:link w:val="108"/>
    <w:autoRedefine/>
    <w:qFormat/>
    <w:uiPriority w:val="0"/>
    <w:pPr>
      <w:keepLines/>
      <w:snapToGrid w:val="0"/>
      <w:spacing w:before="260" w:afterLines="50" w:line="480" w:lineRule="exact"/>
      <w:ind w:firstLine="556"/>
    </w:pPr>
    <w:rPr>
      <w:rFonts w:ascii="宋体" w:hAnsi="宋体"/>
      <w:b w:val="0"/>
      <w:bCs/>
      <w:kern w:val="0"/>
      <w:szCs w:val="28"/>
    </w:rPr>
  </w:style>
  <w:style w:type="character" w:customStyle="1" w:styleId="110">
    <w:name w:val="标题 8 Char"/>
    <w:basedOn w:val="55"/>
    <w:link w:val="11"/>
    <w:autoRedefine/>
    <w:qFormat/>
    <w:uiPriority w:val="0"/>
    <w:rPr>
      <w:rFonts w:ascii="Arial" w:hAnsi="Arial" w:eastAsia="黑体" w:cs="Times New Roman"/>
      <w:sz w:val="24"/>
      <w:szCs w:val="20"/>
    </w:rPr>
  </w:style>
  <w:style w:type="character" w:customStyle="1" w:styleId="111">
    <w:name w:val="heading 2 Char2"/>
    <w:autoRedefine/>
    <w:qFormat/>
    <w:uiPriority w:val="0"/>
    <w:rPr>
      <w:rFonts w:ascii="Cambria" w:hAnsi="Cambria"/>
      <w:b/>
      <w:bCs/>
      <w:kern w:val="2"/>
      <w:sz w:val="32"/>
      <w:szCs w:val="32"/>
    </w:rPr>
  </w:style>
  <w:style w:type="character" w:customStyle="1" w:styleId="112">
    <w:name w:val="批注主题 字符1"/>
    <w:basedOn w:val="113"/>
    <w:autoRedefine/>
    <w:semiHidden/>
    <w:qFormat/>
    <w:uiPriority w:val="99"/>
    <w:rPr>
      <w:rFonts w:ascii="Calibri" w:hAnsi="Calibri" w:eastAsia="宋体" w:cs="Times New Roman"/>
      <w:b/>
      <w:bCs/>
      <w:szCs w:val="24"/>
    </w:rPr>
  </w:style>
  <w:style w:type="character" w:customStyle="1" w:styleId="113">
    <w:name w:val="批注文字 Char"/>
    <w:basedOn w:val="55"/>
    <w:link w:val="18"/>
    <w:autoRedefine/>
    <w:qFormat/>
    <w:uiPriority w:val="0"/>
    <w:rPr>
      <w:rFonts w:ascii="Calibri" w:hAnsi="Calibri" w:eastAsia="宋体" w:cs="Times New Roman"/>
      <w:szCs w:val="24"/>
    </w:rPr>
  </w:style>
  <w:style w:type="character" w:customStyle="1" w:styleId="114">
    <w:name w:val="正文文本缩进 2 字符1"/>
    <w:basedOn w:val="55"/>
    <w:autoRedefine/>
    <w:semiHidden/>
    <w:qFormat/>
    <w:uiPriority w:val="99"/>
    <w:rPr>
      <w:rFonts w:ascii="Calibri" w:hAnsi="Calibri" w:eastAsia="宋体" w:cs="Times New Roman"/>
      <w:szCs w:val="24"/>
    </w:rPr>
  </w:style>
  <w:style w:type="character" w:customStyle="1" w:styleId="115">
    <w:name w:val="宏文本 字符1"/>
    <w:basedOn w:val="55"/>
    <w:autoRedefine/>
    <w:semiHidden/>
    <w:qFormat/>
    <w:uiPriority w:val="99"/>
    <w:rPr>
      <w:rFonts w:ascii="Courier New" w:hAnsi="Courier New" w:eastAsia="宋体" w:cs="Courier New"/>
      <w:sz w:val="24"/>
      <w:szCs w:val="24"/>
    </w:rPr>
  </w:style>
  <w:style w:type="character" w:customStyle="1" w:styleId="116">
    <w:name w:val="正文文本缩进 Char"/>
    <w:basedOn w:val="55"/>
    <w:link w:val="24"/>
    <w:autoRedefine/>
    <w:qFormat/>
    <w:uiPriority w:val="0"/>
    <w:rPr>
      <w:rFonts w:ascii="Calibri" w:hAnsi="Calibri" w:eastAsia="宋体" w:cs="Times New Roman"/>
      <w:szCs w:val="24"/>
    </w:rPr>
  </w:style>
  <w:style w:type="character" w:customStyle="1" w:styleId="117">
    <w:name w:val="Footer-Even Char"/>
    <w:autoRedefine/>
    <w:qFormat/>
    <w:uiPriority w:val="0"/>
    <w:rPr>
      <w:sz w:val="18"/>
      <w:szCs w:val="18"/>
    </w:rPr>
  </w:style>
  <w:style w:type="character" w:customStyle="1" w:styleId="118">
    <w:name w:val="标题 7 Char"/>
    <w:basedOn w:val="55"/>
    <w:link w:val="10"/>
    <w:autoRedefine/>
    <w:qFormat/>
    <w:uiPriority w:val="0"/>
    <w:rPr>
      <w:rFonts w:ascii="Calibri" w:hAnsi="Calibri" w:eastAsia="宋体" w:cs="Times New Roman"/>
      <w:b/>
      <w:sz w:val="24"/>
      <w:szCs w:val="20"/>
    </w:rPr>
  </w:style>
  <w:style w:type="character" w:customStyle="1" w:styleId="119">
    <w:name w:val="Char Char21"/>
    <w:autoRedefine/>
    <w:qFormat/>
    <w:uiPriority w:val="0"/>
    <w:rPr>
      <w:rFonts w:ascii="Times New Roman" w:hAnsi="Times New Roman" w:eastAsia="宋体" w:cs="Times New Roman"/>
      <w:b/>
      <w:bCs/>
      <w:kern w:val="44"/>
      <w:sz w:val="44"/>
      <w:szCs w:val="44"/>
    </w:rPr>
  </w:style>
  <w:style w:type="character" w:customStyle="1" w:styleId="120">
    <w:name w:val="日期 Char"/>
    <w:link w:val="34"/>
    <w:autoRedefine/>
    <w:qFormat/>
    <w:uiPriority w:val="0"/>
    <w:rPr>
      <w:szCs w:val="24"/>
    </w:rPr>
  </w:style>
  <w:style w:type="character" w:customStyle="1" w:styleId="121">
    <w:name w:val="Footer-Even Char2"/>
    <w:autoRedefine/>
    <w:qFormat/>
    <w:uiPriority w:val="0"/>
    <w:rPr>
      <w:kern w:val="2"/>
      <w:sz w:val="18"/>
      <w:szCs w:val="18"/>
    </w:rPr>
  </w:style>
  <w:style w:type="character" w:customStyle="1" w:styleId="122">
    <w:name w:val="书籍标题1"/>
    <w:autoRedefine/>
    <w:qFormat/>
    <w:uiPriority w:val="0"/>
    <w:rPr>
      <w:b/>
      <w:bCs/>
      <w:smallCaps/>
      <w:spacing w:val="5"/>
    </w:rPr>
  </w:style>
  <w:style w:type="character" w:customStyle="1" w:styleId="123">
    <w:name w:val="页眉 字符1"/>
    <w:basedOn w:val="55"/>
    <w:semiHidden/>
    <w:qFormat/>
    <w:uiPriority w:val="99"/>
    <w:rPr>
      <w:kern w:val="2"/>
      <w:sz w:val="18"/>
      <w:szCs w:val="18"/>
    </w:rPr>
  </w:style>
  <w:style w:type="character" w:customStyle="1" w:styleId="124">
    <w:name w:val="不明显强调2"/>
    <w:qFormat/>
    <w:uiPriority w:val="0"/>
    <w:rPr>
      <w:i/>
      <w:iCs/>
      <w:color w:val="808080"/>
    </w:rPr>
  </w:style>
  <w:style w:type="character" w:customStyle="1" w:styleId="125">
    <w:name w:val="正文文本缩进 字符"/>
    <w:qFormat/>
    <w:uiPriority w:val="0"/>
    <w:rPr>
      <w:rFonts w:eastAsia="宋体"/>
      <w:kern w:val="2"/>
      <w:sz w:val="24"/>
      <w:szCs w:val="24"/>
      <w:lang w:val="en-US" w:eastAsia="zh-CN" w:bidi="ar-SA"/>
    </w:rPr>
  </w:style>
  <w:style w:type="character" w:customStyle="1" w:styleId="126">
    <w:name w:val="Char Char12"/>
    <w:qFormat/>
    <w:uiPriority w:val="0"/>
    <w:rPr>
      <w:rFonts w:eastAsia="宋体"/>
      <w:kern w:val="2"/>
      <w:sz w:val="21"/>
      <w:szCs w:val="24"/>
      <w:lang w:val="en-US" w:eastAsia="zh-CN" w:bidi="ar-SA"/>
    </w:rPr>
  </w:style>
  <w:style w:type="character" w:customStyle="1" w:styleId="127">
    <w:name w:val="明显引用 Char"/>
    <w:link w:val="128"/>
    <w:autoRedefine/>
    <w:qFormat/>
    <w:uiPriority w:val="0"/>
    <w:rPr>
      <w:b/>
      <w:bCs/>
      <w:i/>
      <w:iCs/>
      <w:color w:val="4F81BD"/>
    </w:rPr>
  </w:style>
  <w:style w:type="paragraph" w:customStyle="1" w:styleId="128">
    <w:name w:val="明显引用1"/>
    <w:basedOn w:val="1"/>
    <w:next w:val="1"/>
    <w:link w:val="127"/>
    <w:qFormat/>
    <w:uiPriority w:val="0"/>
    <w:pPr>
      <w:pBdr>
        <w:bottom w:val="single" w:color="4F81BD" w:sz="4" w:space="4"/>
      </w:pBdr>
      <w:spacing w:before="200" w:after="280"/>
      <w:ind w:left="936" w:right="936"/>
    </w:pPr>
    <w:rPr>
      <w:rFonts w:ascii="Times New Roman" w:hAnsi="Times New Roman"/>
      <w:b/>
      <w:bCs/>
      <w:i/>
      <w:iCs/>
      <w:color w:val="4F81BD"/>
      <w:kern w:val="0"/>
      <w:sz w:val="20"/>
      <w:szCs w:val="20"/>
    </w:rPr>
  </w:style>
  <w:style w:type="character" w:customStyle="1" w:styleId="129">
    <w:name w:val="正文首行缩进 Char"/>
    <w:link w:val="22"/>
    <w:autoRedefine/>
    <w:qFormat/>
    <w:uiPriority w:val="0"/>
  </w:style>
  <w:style w:type="character" w:customStyle="1" w:styleId="130">
    <w:name w:val="heading 5 Char2"/>
    <w:autoRedefine/>
    <w:qFormat/>
    <w:uiPriority w:val="0"/>
    <w:rPr>
      <w:b/>
      <w:bCs/>
      <w:kern w:val="2"/>
      <w:sz w:val="28"/>
      <w:szCs w:val="28"/>
    </w:rPr>
  </w:style>
  <w:style w:type="character" w:customStyle="1" w:styleId="131">
    <w:name w:val="heading 1 Char1"/>
    <w:autoRedefine/>
    <w:qFormat/>
    <w:uiPriority w:val="0"/>
    <w:rPr>
      <w:rFonts w:eastAsia="宋体"/>
      <w:b/>
      <w:bCs/>
      <w:kern w:val="44"/>
      <w:sz w:val="44"/>
      <w:szCs w:val="44"/>
      <w:lang w:val="en-US" w:eastAsia="zh-CN" w:bidi="ar-SA"/>
    </w:rPr>
  </w:style>
  <w:style w:type="character" w:customStyle="1" w:styleId="132">
    <w:name w:val="Char Char201"/>
    <w:qFormat/>
    <w:uiPriority w:val="0"/>
    <w:rPr>
      <w:rFonts w:ascii="Cambria" w:hAnsi="Cambria" w:eastAsia="宋体" w:cs="Times New Roman"/>
      <w:b/>
      <w:bCs/>
      <w:sz w:val="32"/>
      <w:szCs w:val="32"/>
    </w:rPr>
  </w:style>
  <w:style w:type="character" w:customStyle="1" w:styleId="133">
    <w:name w:val="Char Char18"/>
    <w:qFormat/>
    <w:uiPriority w:val="0"/>
    <w:rPr>
      <w:b/>
      <w:bCs/>
      <w:kern w:val="2"/>
      <w:sz w:val="32"/>
      <w:szCs w:val="32"/>
    </w:rPr>
  </w:style>
  <w:style w:type="character" w:customStyle="1" w:styleId="134">
    <w:name w:val="Plain Text Char"/>
    <w:qFormat/>
    <w:uiPriority w:val="0"/>
    <w:rPr>
      <w:rFonts w:ascii="宋体" w:hAnsi="Courier New" w:eastAsia="宋体" w:cs="Times New Roman"/>
      <w:sz w:val="21"/>
      <w:szCs w:val="21"/>
    </w:rPr>
  </w:style>
  <w:style w:type="character" w:customStyle="1" w:styleId="135">
    <w:name w:val="称呼 字符1"/>
    <w:basedOn w:val="55"/>
    <w:semiHidden/>
    <w:qFormat/>
    <w:uiPriority w:val="99"/>
    <w:rPr>
      <w:rFonts w:ascii="Calibri" w:hAnsi="Calibri" w:eastAsia="宋体" w:cs="Times New Roman"/>
      <w:szCs w:val="24"/>
    </w:rPr>
  </w:style>
  <w:style w:type="character" w:customStyle="1" w:styleId="136">
    <w:name w:val="标题 1 Char"/>
    <w:basedOn w:val="55"/>
    <w:link w:val="3"/>
    <w:autoRedefine/>
    <w:qFormat/>
    <w:uiPriority w:val="0"/>
    <w:rPr>
      <w:rFonts w:ascii="Calibri" w:hAnsi="Calibri" w:eastAsia="黑体" w:cs="Times New Roman"/>
      <w:b/>
      <w:sz w:val="32"/>
      <w:szCs w:val="20"/>
    </w:rPr>
  </w:style>
  <w:style w:type="character" w:customStyle="1" w:styleId="137">
    <w:name w:val="heading 4 Char1"/>
    <w:autoRedefine/>
    <w:qFormat/>
    <w:uiPriority w:val="0"/>
    <w:rPr>
      <w:rFonts w:ascii="Cambria" w:hAnsi="Cambria" w:eastAsia="宋体"/>
      <w:b/>
      <w:bCs/>
      <w:kern w:val="2"/>
      <w:sz w:val="28"/>
      <w:szCs w:val="28"/>
      <w:lang w:val="en-US" w:eastAsia="zh-CN" w:bidi="ar-SA"/>
    </w:rPr>
  </w:style>
  <w:style w:type="character" w:customStyle="1" w:styleId="138">
    <w:name w:val="PI Char"/>
    <w:autoRedefine/>
    <w:qFormat/>
    <w:uiPriority w:val="0"/>
    <w:rPr>
      <w:rFonts w:ascii="宋体" w:hAnsi="宋体"/>
      <w:sz w:val="24"/>
    </w:rPr>
  </w:style>
  <w:style w:type="character" w:customStyle="1" w:styleId="139">
    <w:name w:val="纯文本 字符1"/>
    <w:basedOn w:val="55"/>
    <w:autoRedefine/>
    <w:semiHidden/>
    <w:qFormat/>
    <w:uiPriority w:val="99"/>
    <w:rPr>
      <w:rFonts w:ascii="等线" w:hAnsi="Courier New" w:cs="Courier New"/>
      <w:szCs w:val="24"/>
    </w:rPr>
  </w:style>
  <w:style w:type="character" w:customStyle="1" w:styleId="140">
    <w:name w:val="heading 4 Char2"/>
    <w:autoRedefine/>
    <w:qFormat/>
    <w:uiPriority w:val="0"/>
    <w:rPr>
      <w:rFonts w:ascii="Cambria" w:hAnsi="Cambria"/>
      <w:b/>
      <w:bCs/>
      <w:kern w:val="2"/>
      <w:sz w:val="28"/>
      <w:szCs w:val="28"/>
    </w:rPr>
  </w:style>
  <w:style w:type="character" w:customStyle="1" w:styleId="141">
    <w:name w:val="heading 6 Char1"/>
    <w:autoRedefine/>
    <w:qFormat/>
    <w:uiPriority w:val="0"/>
    <w:rPr>
      <w:rFonts w:ascii="Arial" w:hAnsi="Arial" w:eastAsia="黑体"/>
      <w:kern w:val="2"/>
      <w:sz w:val="24"/>
      <w:szCs w:val="24"/>
      <w:lang w:val="en-US" w:eastAsia="zh-CN" w:bidi="ar-SA"/>
    </w:rPr>
  </w:style>
  <w:style w:type="character" w:customStyle="1" w:styleId="142">
    <w:name w:val="style21"/>
    <w:autoRedefine/>
    <w:qFormat/>
    <w:uiPriority w:val="0"/>
    <w:rPr>
      <w:sz w:val="15"/>
      <w:szCs w:val="15"/>
    </w:rPr>
  </w:style>
  <w:style w:type="character" w:customStyle="1" w:styleId="143">
    <w:name w:val="正文文本缩进 3 Char"/>
    <w:link w:val="46"/>
    <w:autoRedefine/>
    <w:qFormat/>
    <w:uiPriority w:val="0"/>
    <w:rPr>
      <w:sz w:val="24"/>
      <w:szCs w:val="24"/>
    </w:rPr>
  </w:style>
  <w:style w:type="character" w:customStyle="1" w:styleId="144">
    <w:name w:val="明显强调11"/>
    <w:autoRedefine/>
    <w:qFormat/>
    <w:uiPriority w:val="0"/>
    <w:rPr>
      <w:b/>
      <w:bCs/>
      <w:i/>
      <w:iCs/>
      <w:color w:val="4F81BD"/>
    </w:rPr>
  </w:style>
  <w:style w:type="character" w:customStyle="1" w:styleId="145">
    <w:name w:val="smalltxt1"/>
    <w:autoRedefine/>
    <w:qFormat/>
    <w:uiPriority w:val="0"/>
    <w:rPr>
      <w:rFonts w:hint="default" w:ascii="ˎ̥" w:hAnsi="ˎ̥"/>
      <w:sz w:val="24"/>
      <w:szCs w:val="24"/>
    </w:rPr>
  </w:style>
  <w:style w:type="character" w:customStyle="1" w:styleId="146">
    <w:name w:val="font31"/>
    <w:basedOn w:val="55"/>
    <w:autoRedefine/>
    <w:qFormat/>
    <w:uiPriority w:val="0"/>
    <w:rPr>
      <w:rFonts w:hint="eastAsia" w:ascii="宋体" w:hAnsi="宋体" w:eastAsia="宋体" w:cs="宋体"/>
      <w:color w:val="000000"/>
      <w:sz w:val="24"/>
      <w:szCs w:val="24"/>
      <w:u w:val="single"/>
    </w:rPr>
  </w:style>
  <w:style w:type="character" w:customStyle="1" w:styleId="147">
    <w:name w:val="heading 2 Char"/>
    <w:autoRedefine/>
    <w:qFormat/>
    <w:uiPriority w:val="0"/>
    <w:rPr>
      <w:rFonts w:ascii="Arial" w:hAnsi="Arial" w:eastAsia="黑体" w:cs="Times New Roman"/>
      <w:sz w:val="30"/>
      <w:szCs w:val="24"/>
    </w:rPr>
  </w:style>
  <w:style w:type="character" w:customStyle="1" w:styleId="148">
    <w:name w:val="日期 字符1"/>
    <w:basedOn w:val="55"/>
    <w:autoRedefine/>
    <w:semiHidden/>
    <w:qFormat/>
    <w:uiPriority w:val="99"/>
    <w:rPr>
      <w:rFonts w:ascii="Calibri" w:hAnsi="Calibri" w:eastAsia="宋体" w:cs="Times New Roman"/>
      <w:szCs w:val="24"/>
    </w:rPr>
  </w:style>
  <w:style w:type="character" w:customStyle="1" w:styleId="149">
    <w:name w:val="Char Char6"/>
    <w:autoRedefine/>
    <w:qFormat/>
    <w:uiPriority w:val="0"/>
    <w:rPr>
      <w:rFonts w:ascii="Times New Roman" w:hAnsi="Times New Roman" w:eastAsia="宋体" w:cs="Times New Roman"/>
      <w:szCs w:val="24"/>
    </w:rPr>
  </w:style>
  <w:style w:type="character" w:customStyle="1" w:styleId="150">
    <w:name w:val="样式 宋体"/>
    <w:autoRedefine/>
    <w:qFormat/>
    <w:uiPriority w:val="0"/>
    <w:rPr>
      <w:rFonts w:ascii="宋体" w:hAnsi="宋体" w:eastAsia="宋体"/>
      <w:sz w:val="24"/>
      <w:szCs w:val="24"/>
    </w:rPr>
  </w:style>
  <w:style w:type="character" w:customStyle="1" w:styleId="151">
    <w:name w:val="heading 7 Char1"/>
    <w:autoRedefine/>
    <w:qFormat/>
    <w:uiPriority w:val="0"/>
    <w:rPr>
      <w:rFonts w:ascii="Arial" w:hAnsi="Arial" w:eastAsia="黑体"/>
      <w:sz w:val="21"/>
      <w:szCs w:val="21"/>
      <w:lang w:val="en-US" w:eastAsia="zh-CN" w:bidi="ar-SA"/>
    </w:rPr>
  </w:style>
  <w:style w:type="character" w:customStyle="1" w:styleId="152">
    <w:name w:val="批注主题 Char"/>
    <w:link w:val="52"/>
    <w:autoRedefine/>
    <w:qFormat/>
    <w:uiPriority w:val="0"/>
    <w:rPr>
      <w:b/>
      <w:bCs/>
      <w:szCs w:val="24"/>
    </w:rPr>
  </w:style>
  <w:style w:type="character" w:customStyle="1" w:styleId="153">
    <w:name w:val="正文缩进 Char"/>
    <w:link w:val="9"/>
    <w:autoRedefine/>
    <w:qFormat/>
    <w:uiPriority w:val="0"/>
    <w:rPr>
      <w:rFonts w:ascii="Calibri" w:hAnsi="Calibri" w:eastAsia="宋体" w:cs="Times New Roman"/>
      <w:szCs w:val="24"/>
    </w:rPr>
  </w:style>
  <w:style w:type="character" w:customStyle="1" w:styleId="154">
    <w:name w:val="Char Char Char Char Char Char Char Char Char"/>
    <w:autoRedefine/>
    <w:qFormat/>
    <w:uiPriority w:val="0"/>
    <w:rPr>
      <w:rFonts w:ascii="宋体" w:hAnsi="Courier New" w:eastAsia="宋体"/>
      <w:sz w:val="21"/>
      <w:szCs w:val="21"/>
      <w:lang w:val="en-US" w:eastAsia="zh-CN" w:bidi="ar-SA"/>
    </w:rPr>
  </w:style>
  <w:style w:type="character" w:customStyle="1" w:styleId="155">
    <w:name w:val="PI Char2"/>
    <w:autoRedefine/>
    <w:qFormat/>
    <w:uiPriority w:val="0"/>
    <w:rPr>
      <w:kern w:val="2"/>
      <w:sz w:val="24"/>
      <w:szCs w:val="24"/>
    </w:rPr>
  </w:style>
  <w:style w:type="character" w:customStyle="1" w:styleId="156">
    <w:name w:val="正文文本缩进 3 字符1"/>
    <w:basedOn w:val="55"/>
    <w:autoRedefine/>
    <w:semiHidden/>
    <w:qFormat/>
    <w:uiPriority w:val="99"/>
    <w:rPr>
      <w:rFonts w:ascii="Calibri" w:hAnsi="Calibri" w:eastAsia="宋体" w:cs="Times New Roman"/>
      <w:sz w:val="16"/>
      <w:szCs w:val="16"/>
    </w:rPr>
  </w:style>
  <w:style w:type="character" w:customStyle="1" w:styleId="157">
    <w:name w:val="引用 Char"/>
    <w:link w:val="158"/>
    <w:autoRedefine/>
    <w:qFormat/>
    <w:uiPriority w:val="0"/>
    <w:rPr>
      <w:i/>
      <w:iCs/>
      <w:color w:val="000000"/>
    </w:rPr>
  </w:style>
  <w:style w:type="paragraph" w:customStyle="1" w:styleId="158">
    <w:name w:val="引用1"/>
    <w:basedOn w:val="1"/>
    <w:next w:val="1"/>
    <w:link w:val="157"/>
    <w:autoRedefine/>
    <w:qFormat/>
    <w:uiPriority w:val="0"/>
    <w:rPr>
      <w:rFonts w:ascii="Times New Roman" w:hAnsi="Times New Roman"/>
      <w:i/>
      <w:iCs/>
      <w:color w:val="000000"/>
      <w:kern w:val="0"/>
      <w:sz w:val="20"/>
      <w:szCs w:val="20"/>
    </w:rPr>
  </w:style>
  <w:style w:type="character" w:customStyle="1" w:styleId="159">
    <w:name w:val="正文文本 字符"/>
    <w:autoRedefine/>
    <w:qFormat/>
    <w:uiPriority w:val="0"/>
    <w:rPr>
      <w:rFonts w:ascii="仿宋_GB2312" w:eastAsia="宋体"/>
      <w:b/>
      <w:kern w:val="2"/>
      <w:sz w:val="21"/>
      <w:szCs w:val="24"/>
      <w:lang w:val="en-US" w:eastAsia="zh-CN" w:bidi="ar-SA"/>
    </w:rPr>
  </w:style>
  <w:style w:type="character" w:customStyle="1" w:styleId="160">
    <w:name w:val="Char Char24"/>
    <w:autoRedefine/>
    <w:qFormat/>
    <w:uiPriority w:val="0"/>
    <w:rPr>
      <w:rFonts w:eastAsia="宋体"/>
      <w:b/>
      <w:kern w:val="2"/>
      <w:sz w:val="28"/>
      <w:lang w:val="en-US" w:eastAsia="zh-CN" w:bidi="ar-SA"/>
    </w:rPr>
  </w:style>
  <w:style w:type="character" w:customStyle="1" w:styleId="161">
    <w:name w:val="明显参考1"/>
    <w:autoRedefine/>
    <w:qFormat/>
    <w:uiPriority w:val="0"/>
    <w:rPr>
      <w:b/>
      <w:bCs/>
      <w:smallCaps/>
      <w:color w:val="C0504D"/>
      <w:spacing w:val="5"/>
      <w:u w:val="single"/>
    </w:rPr>
  </w:style>
  <w:style w:type="character" w:customStyle="1" w:styleId="162">
    <w:name w:val="heading 3 Char1"/>
    <w:autoRedefine/>
    <w:qFormat/>
    <w:uiPriority w:val="0"/>
    <w:rPr>
      <w:rFonts w:eastAsia="宋体"/>
      <w:b/>
      <w:bCs/>
      <w:kern w:val="2"/>
      <w:sz w:val="32"/>
      <w:szCs w:val="32"/>
      <w:lang w:val="en-US" w:eastAsia="zh-CN" w:bidi="ar-SA"/>
    </w:rPr>
  </w:style>
  <w:style w:type="character" w:customStyle="1" w:styleId="163">
    <w:name w:val="textcolor1"/>
    <w:autoRedefine/>
    <w:qFormat/>
    <w:uiPriority w:val="0"/>
    <w:rPr>
      <w:rFonts w:ascii="仿宋_GB2312" w:eastAsia="仿宋_GB2312"/>
      <w:b/>
      <w:color w:val="FF6600"/>
      <w:sz w:val="32"/>
      <w:szCs w:val="32"/>
    </w:rPr>
  </w:style>
  <w:style w:type="character" w:customStyle="1" w:styleId="164">
    <w:name w:val="标题 字符1"/>
    <w:basedOn w:val="55"/>
    <w:autoRedefine/>
    <w:qFormat/>
    <w:uiPriority w:val="10"/>
    <w:rPr>
      <w:rFonts w:ascii="等线 Light" w:hAnsi="等线 Light" w:eastAsia="等线 Light" w:cs="Times New Roman"/>
      <w:b/>
      <w:bCs/>
      <w:sz w:val="32"/>
      <w:szCs w:val="32"/>
    </w:rPr>
  </w:style>
  <w:style w:type="character" w:customStyle="1" w:styleId="165">
    <w:name w:val="dandyren_title1"/>
    <w:autoRedefine/>
    <w:qFormat/>
    <w:uiPriority w:val="0"/>
    <w:rPr>
      <w:b/>
      <w:bCs/>
      <w:color w:val="FF6633"/>
      <w:sz w:val="18"/>
      <w:szCs w:val="18"/>
    </w:rPr>
  </w:style>
  <w:style w:type="character" w:customStyle="1" w:styleId="166">
    <w:name w:val="明显引用 字符1"/>
    <w:basedOn w:val="55"/>
    <w:autoRedefine/>
    <w:qFormat/>
    <w:uiPriority w:val="30"/>
    <w:rPr>
      <w:rFonts w:ascii="Calibri" w:hAnsi="Calibri" w:eastAsia="宋体" w:cs="Times New Roman"/>
      <w:i/>
      <w:iCs/>
      <w:color w:val="5B9BD5"/>
      <w:szCs w:val="24"/>
    </w:rPr>
  </w:style>
  <w:style w:type="character" w:customStyle="1" w:styleId="167">
    <w:name w:val="Char Char16"/>
    <w:autoRedefine/>
    <w:qFormat/>
    <w:uiPriority w:val="0"/>
    <w:rPr>
      <w:b/>
      <w:bCs/>
      <w:kern w:val="2"/>
      <w:sz w:val="28"/>
      <w:szCs w:val="28"/>
    </w:rPr>
  </w:style>
  <w:style w:type="character" w:customStyle="1" w:styleId="168">
    <w:name w:val="副标题 Char"/>
    <w:link w:val="43"/>
    <w:qFormat/>
    <w:uiPriority w:val="0"/>
    <w:rPr>
      <w:rFonts w:ascii="Cambria" w:hAnsi="Cambria"/>
      <w:b/>
      <w:bCs/>
      <w:kern w:val="28"/>
      <w:sz w:val="32"/>
      <w:szCs w:val="32"/>
    </w:rPr>
  </w:style>
  <w:style w:type="character" w:customStyle="1" w:styleId="169">
    <w:name w:val="签名 字符1"/>
    <w:basedOn w:val="55"/>
    <w:semiHidden/>
    <w:qFormat/>
    <w:uiPriority w:val="99"/>
    <w:rPr>
      <w:rFonts w:ascii="Calibri" w:hAnsi="Calibri" w:eastAsia="宋体" w:cs="Times New Roman"/>
      <w:szCs w:val="24"/>
    </w:rPr>
  </w:style>
  <w:style w:type="character" w:customStyle="1" w:styleId="170">
    <w:name w:val="heading 4 Char"/>
    <w:qFormat/>
    <w:uiPriority w:val="0"/>
    <w:rPr>
      <w:rFonts w:ascii="Arial" w:hAnsi="Arial" w:eastAsia="黑体" w:cs="Times New Roman"/>
      <w:sz w:val="21"/>
      <w:szCs w:val="21"/>
    </w:rPr>
  </w:style>
  <w:style w:type="character" w:customStyle="1" w:styleId="171">
    <w:name w:val="明显参考11"/>
    <w:qFormat/>
    <w:uiPriority w:val="0"/>
    <w:rPr>
      <w:b/>
      <w:bCs/>
      <w:smallCaps/>
      <w:color w:val="C0504D"/>
      <w:spacing w:val="5"/>
      <w:u w:val="single"/>
    </w:rPr>
  </w:style>
  <w:style w:type="character" w:customStyle="1" w:styleId="172">
    <w:name w:val="pt141"/>
    <w:qFormat/>
    <w:uiPriority w:val="0"/>
    <w:rPr>
      <w:color w:val="330066"/>
      <w:spacing w:val="450"/>
      <w:sz w:val="22"/>
      <w:szCs w:val="22"/>
    </w:rPr>
  </w:style>
  <w:style w:type="character" w:customStyle="1" w:styleId="173">
    <w:name w:val="页脚 Char"/>
    <w:basedOn w:val="55"/>
    <w:link w:val="37"/>
    <w:qFormat/>
    <w:uiPriority w:val="0"/>
    <w:rPr>
      <w:sz w:val="18"/>
      <w:szCs w:val="18"/>
    </w:rPr>
  </w:style>
  <w:style w:type="character" w:customStyle="1" w:styleId="174">
    <w:name w:val="正文1 Char Char"/>
    <w:link w:val="175"/>
    <w:qFormat/>
    <w:uiPriority w:val="0"/>
    <w:rPr>
      <w:rFonts w:ascii="宋体" w:hAnsi="宋体" w:cs="宋体"/>
    </w:rPr>
  </w:style>
  <w:style w:type="paragraph" w:customStyle="1" w:styleId="175">
    <w:name w:val="正文1"/>
    <w:basedOn w:val="1"/>
    <w:link w:val="174"/>
    <w:qFormat/>
    <w:uiPriority w:val="0"/>
    <w:pPr>
      <w:widowControl/>
      <w:spacing w:line="360" w:lineRule="auto"/>
      <w:ind w:left="360" w:firstLine="420"/>
      <w:jc w:val="left"/>
    </w:pPr>
    <w:rPr>
      <w:rFonts w:ascii="宋体" w:hAnsi="宋体"/>
      <w:kern w:val="0"/>
      <w:sz w:val="20"/>
      <w:szCs w:val="20"/>
    </w:rPr>
  </w:style>
  <w:style w:type="character" w:customStyle="1" w:styleId="176">
    <w:name w:val="标题 5 Char"/>
    <w:basedOn w:val="55"/>
    <w:link w:val="7"/>
    <w:qFormat/>
    <w:uiPriority w:val="0"/>
    <w:rPr>
      <w:rFonts w:ascii="Calibri" w:hAnsi="Calibri" w:eastAsia="宋体" w:cs="Times New Roman"/>
      <w:b/>
      <w:bCs/>
      <w:kern w:val="0"/>
      <w:sz w:val="28"/>
      <w:szCs w:val="28"/>
    </w:rPr>
  </w:style>
  <w:style w:type="character" w:customStyle="1" w:styleId="177">
    <w:name w:val="Char Char241"/>
    <w:qFormat/>
    <w:uiPriority w:val="0"/>
    <w:rPr>
      <w:rFonts w:eastAsia="宋体"/>
      <w:b/>
      <w:kern w:val="2"/>
      <w:sz w:val="28"/>
      <w:lang w:val="en-US" w:eastAsia="zh-CN" w:bidi="ar-SA"/>
    </w:rPr>
  </w:style>
  <w:style w:type="character" w:customStyle="1" w:styleId="178">
    <w:name w:val="Char Char Char"/>
    <w:qFormat/>
    <w:uiPriority w:val="0"/>
    <w:rPr>
      <w:rFonts w:ascii="宋体" w:hAnsi="Courier New" w:eastAsia="宋体"/>
      <w:b/>
      <w:sz w:val="21"/>
      <w:szCs w:val="21"/>
      <w:lang w:val="en-US" w:eastAsia="zh-CN" w:bidi="ar-SA"/>
    </w:rPr>
  </w:style>
  <w:style w:type="character" w:customStyle="1" w:styleId="179">
    <w:name w:val="宏文本 Char"/>
    <w:link w:val="2"/>
    <w:qFormat/>
    <w:uiPriority w:val="0"/>
    <w:rPr>
      <w:rFonts w:ascii="Courier New" w:hAnsi="Courier New" w:eastAsia="Times New Roman"/>
      <w:kern w:val="2"/>
      <w:sz w:val="24"/>
      <w:szCs w:val="24"/>
      <w:lang w:val="en-US" w:eastAsia="zh-CN" w:bidi="ar-SA"/>
    </w:rPr>
  </w:style>
  <w:style w:type="character" w:customStyle="1" w:styleId="180">
    <w:name w:val="不明显参考11"/>
    <w:qFormat/>
    <w:uiPriority w:val="0"/>
    <w:rPr>
      <w:smallCaps/>
      <w:color w:val="C0504D"/>
      <w:u w:val="single"/>
    </w:rPr>
  </w:style>
  <w:style w:type="character" w:customStyle="1" w:styleId="181">
    <w:name w:val="Char Char271"/>
    <w:qFormat/>
    <w:uiPriority w:val="0"/>
    <w:rPr>
      <w:rFonts w:eastAsia="宋体"/>
      <w:kern w:val="2"/>
      <w:sz w:val="28"/>
      <w:lang w:val="en-US" w:eastAsia="zh-CN" w:bidi="ar-SA"/>
    </w:rPr>
  </w:style>
  <w:style w:type="character" w:customStyle="1" w:styleId="182">
    <w:name w:val="Table Text Char Char"/>
    <w:link w:val="183"/>
    <w:qFormat/>
    <w:uiPriority w:val="0"/>
    <w:rPr>
      <w:lang w:eastAsia="en-US"/>
    </w:rPr>
  </w:style>
  <w:style w:type="paragraph" w:customStyle="1" w:styleId="183">
    <w:name w:val="Table Text"/>
    <w:basedOn w:val="1"/>
    <w:link w:val="182"/>
    <w:qFormat/>
    <w:uiPriority w:val="0"/>
    <w:pPr>
      <w:widowControl/>
      <w:tabs>
        <w:tab w:val="decimal" w:pos="0"/>
      </w:tabs>
      <w:overflowPunct w:val="0"/>
      <w:autoSpaceDE w:val="0"/>
      <w:autoSpaceDN w:val="0"/>
      <w:adjustRightInd w:val="0"/>
      <w:jc w:val="left"/>
      <w:textAlignment w:val="baseline"/>
    </w:pPr>
    <w:rPr>
      <w:rFonts w:ascii="Times New Roman" w:hAnsi="Times New Roman"/>
      <w:kern w:val="0"/>
      <w:sz w:val="20"/>
      <w:szCs w:val="20"/>
      <w:lang w:eastAsia="en-US"/>
    </w:rPr>
  </w:style>
  <w:style w:type="character" w:customStyle="1" w:styleId="184">
    <w:name w:val="Char Char15"/>
    <w:qFormat/>
    <w:uiPriority w:val="0"/>
    <w:rPr>
      <w:rFonts w:ascii="Arial" w:hAnsi="Arial" w:eastAsia="黑体"/>
      <w:sz w:val="24"/>
      <w:szCs w:val="24"/>
    </w:rPr>
  </w:style>
  <w:style w:type="character" w:customStyle="1" w:styleId="185">
    <w:name w:val="标题 2 Char"/>
    <w:basedOn w:val="55"/>
    <w:link w:val="4"/>
    <w:autoRedefine/>
    <w:qFormat/>
    <w:uiPriority w:val="0"/>
    <w:rPr>
      <w:rFonts w:ascii="仿宋_GB2312" w:hAnsi="Calibri" w:eastAsia="宋体" w:cs="Times New Roman"/>
      <w:b/>
      <w:sz w:val="28"/>
      <w:szCs w:val="32"/>
    </w:rPr>
  </w:style>
  <w:style w:type="character" w:customStyle="1" w:styleId="186">
    <w:name w:val="heading 5 Char1"/>
    <w:autoRedefine/>
    <w:qFormat/>
    <w:uiPriority w:val="0"/>
    <w:rPr>
      <w:rFonts w:eastAsia="宋体"/>
      <w:b/>
      <w:bCs/>
      <w:kern w:val="2"/>
      <w:sz w:val="28"/>
      <w:szCs w:val="28"/>
      <w:lang w:val="en-US" w:eastAsia="zh-CN" w:bidi="ar-SA"/>
    </w:rPr>
  </w:style>
  <w:style w:type="character" w:customStyle="1" w:styleId="187">
    <w:name w:val="Char Char61"/>
    <w:autoRedefine/>
    <w:qFormat/>
    <w:uiPriority w:val="0"/>
    <w:rPr>
      <w:rFonts w:ascii="Times New Roman" w:hAnsi="Times New Roman" w:eastAsia="宋体" w:cs="Times New Roman"/>
      <w:szCs w:val="24"/>
    </w:rPr>
  </w:style>
  <w:style w:type="character" w:customStyle="1" w:styleId="188">
    <w:name w:val="style13"/>
    <w:basedOn w:val="55"/>
    <w:autoRedefine/>
    <w:qFormat/>
    <w:uiPriority w:val="0"/>
  </w:style>
  <w:style w:type="character" w:customStyle="1" w:styleId="189">
    <w:name w:val="不明显参考1"/>
    <w:autoRedefine/>
    <w:qFormat/>
    <w:uiPriority w:val="0"/>
    <w:rPr>
      <w:smallCaps/>
      <w:color w:val="C0504D"/>
      <w:u w:val="single"/>
    </w:rPr>
  </w:style>
  <w:style w:type="character" w:customStyle="1" w:styleId="190">
    <w:name w:val="Footer-Even Char1"/>
    <w:autoRedefine/>
    <w:qFormat/>
    <w:uiPriority w:val="0"/>
    <w:rPr>
      <w:rFonts w:eastAsia="宋体"/>
      <w:kern w:val="2"/>
      <w:sz w:val="18"/>
      <w:szCs w:val="18"/>
      <w:lang w:val="en-US" w:eastAsia="zh-CN" w:bidi="ar-SA"/>
    </w:rPr>
  </w:style>
  <w:style w:type="character" w:customStyle="1" w:styleId="191">
    <w:name w:val="正文文本缩进 2 Char"/>
    <w:link w:val="35"/>
    <w:autoRedefine/>
    <w:qFormat/>
    <w:uiPriority w:val="0"/>
    <w:rPr>
      <w:sz w:val="24"/>
      <w:szCs w:val="24"/>
    </w:rPr>
  </w:style>
  <w:style w:type="character" w:customStyle="1" w:styleId="192">
    <w:name w:val="标题 9 Char"/>
    <w:basedOn w:val="55"/>
    <w:link w:val="12"/>
    <w:qFormat/>
    <w:uiPriority w:val="0"/>
    <w:rPr>
      <w:rFonts w:ascii="Arial" w:hAnsi="Arial" w:eastAsia="黑体" w:cs="Times New Roman"/>
      <w:szCs w:val="20"/>
    </w:rPr>
  </w:style>
  <w:style w:type="character" w:customStyle="1" w:styleId="193">
    <w:name w:val="Ò³Ã¼ Char Char"/>
    <w:qFormat/>
    <w:uiPriority w:val="0"/>
    <w:rPr>
      <w:sz w:val="18"/>
      <w:szCs w:val="18"/>
    </w:rPr>
  </w:style>
  <w:style w:type="character" w:customStyle="1" w:styleId="194">
    <w:name w:val="标题 6 Char"/>
    <w:basedOn w:val="55"/>
    <w:link w:val="8"/>
    <w:qFormat/>
    <w:uiPriority w:val="0"/>
    <w:rPr>
      <w:rFonts w:ascii="Arial" w:hAnsi="Arial" w:eastAsia="黑体" w:cs="Times New Roman"/>
      <w:b/>
      <w:sz w:val="24"/>
      <w:szCs w:val="20"/>
    </w:rPr>
  </w:style>
  <w:style w:type="character" w:customStyle="1" w:styleId="195">
    <w:name w:val="正文文本 2 Char"/>
    <w:basedOn w:val="55"/>
    <w:link w:val="49"/>
    <w:qFormat/>
    <w:uiPriority w:val="0"/>
  </w:style>
  <w:style w:type="character" w:customStyle="1" w:styleId="196">
    <w:name w:val="Style3"/>
    <w:qFormat/>
    <w:uiPriority w:val="0"/>
    <w:rPr>
      <w:rFonts w:ascii="Calibri" w:hAnsi="宋体" w:eastAsia="宋体" w:cs="Times New Roman"/>
      <w:szCs w:val="22"/>
      <w:lang w:eastAsia="zh-CN"/>
    </w:rPr>
  </w:style>
  <w:style w:type="character" w:customStyle="1" w:styleId="197">
    <w:name w:val="样式 标题 3 + 黑体 小四 Char Char"/>
    <w:link w:val="198"/>
    <w:qFormat/>
    <w:uiPriority w:val="0"/>
    <w:rPr>
      <w:rFonts w:ascii="黑体" w:hAnsi="Arial" w:eastAsia="黑体"/>
      <w:bCs/>
      <w:sz w:val="24"/>
      <w:szCs w:val="24"/>
    </w:rPr>
  </w:style>
  <w:style w:type="paragraph" w:customStyle="1" w:styleId="198">
    <w:name w:val="样式 标题 3 + 黑体 小四"/>
    <w:basedOn w:val="5"/>
    <w:link w:val="197"/>
    <w:qFormat/>
    <w:uiPriority w:val="0"/>
    <w:pPr>
      <w:spacing w:before="260" w:after="260" w:line="413" w:lineRule="auto"/>
    </w:pPr>
    <w:rPr>
      <w:rFonts w:ascii="黑体" w:hAnsi="Arial"/>
      <w:b w:val="0"/>
      <w:bCs/>
      <w:kern w:val="0"/>
      <w:sz w:val="24"/>
      <w:szCs w:val="24"/>
    </w:rPr>
  </w:style>
  <w:style w:type="character" w:customStyle="1" w:styleId="199">
    <w:name w:val="Char Char41"/>
    <w:qFormat/>
    <w:uiPriority w:val="0"/>
    <w:rPr>
      <w:rFonts w:ascii="Cambria" w:hAnsi="Cambria" w:eastAsia="宋体"/>
      <w:b/>
      <w:bCs/>
      <w:sz w:val="32"/>
      <w:szCs w:val="32"/>
      <w:lang w:bidi="ar-SA"/>
    </w:rPr>
  </w:style>
  <w:style w:type="character" w:customStyle="1" w:styleId="200">
    <w:name w:val="gray6"/>
    <w:basedOn w:val="55"/>
    <w:qFormat/>
    <w:uiPriority w:val="0"/>
  </w:style>
  <w:style w:type="character" w:customStyle="1" w:styleId="201">
    <w:name w:val="标题 4 Char"/>
    <w:basedOn w:val="55"/>
    <w:link w:val="6"/>
    <w:qFormat/>
    <w:uiPriority w:val="0"/>
    <w:rPr>
      <w:rFonts w:ascii="Calibri" w:hAnsi="Calibri" w:eastAsia="宋体" w:cs="Times New Roman"/>
      <w:sz w:val="28"/>
      <w:szCs w:val="28"/>
    </w:rPr>
  </w:style>
  <w:style w:type="character" w:customStyle="1" w:styleId="202">
    <w:name w:val="PI Char1"/>
    <w:autoRedefine/>
    <w:qFormat/>
    <w:uiPriority w:val="0"/>
    <w:rPr>
      <w:rFonts w:eastAsia="宋体"/>
      <w:kern w:val="2"/>
      <w:sz w:val="24"/>
      <w:szCs w:val="24"/>
      <w:lang w:val="en-US" w:eastAsia="zh-CN" w:bidi="ar-SA"/>
    </w:rPr>
  </w:style>
  <w:style w:type="character" w:customStyle="1" w:styleId="203">
    <w:name w:val="ändrad Char"/>
    <w:qFormat/>
    <w:uiPriority w:val="0"/>
    <w:rPr>
      <w:rFonts w:eastAsia="宋体"/>
      <w:kern w:val="2"/>
      <w:sz w:val="21"/>
      <w:szCs w:val="24"/>
      <w:lang w:val="en-US" w:eastAsia="zh-CN" w:bidi="ar-SA"/>
    </w:rPr>
  </w:style>
  <w:style w:type="character" w:customStyle="1" w:styleId="204">
    <w:name w:val="style111"/>
    <w:qFormat/>
    <w:uiPriority w:val="0"/>
    <w:rPr>
      <w:sz w:val="27"/>
      <w:szCs w:val="27"/>
    </w:rPr>
  </w:style>
  <w:style w:type="character" w:customStyle="1" w:styleId="205">
    <w:name w:val="不明显强调1"/>
    <w:qFormat/>
    <w:uiPriority w:val="0"/>
    <w:rPr>
      <w:i/>
      <w:iCs/>
      <w:color w:val="808080"/>
    </w:rPr>
  </w:style>
  <w:style w:type="character" w:customStyle="1" w:styleId="206">
    <w:name w:val="Char Char19"/>
    <w:qFormat/>
    <w:uiPriority w:val="0"/>
    <w:rPr>
      <w:rFonts w:ascii="Cambria" w:hAnsi="Cambria"/>
      <w:b/>
      <w:bCs/>
      <w:kern w:val="2"/>
      <w:sz w:val="32"/>
      <w:szCs w:val="32"/>
    </w:rPr>
  </w:style>
  <w:style w:type="character" w:customStyle="1" w:styleId="207">
    <w:name w:val="正文文本 2 字符1"/>
    <w:basedOn w:val="55"/>
    <w:semiHidden/>
    <w:qFormat/>
    <w:uiPriority w:val="99"/>
    <w:rPr>
      <w:rFonts w:ascii="Calibri" w:hAnsi="Calibri" w:eastAsia="宋体" w:cs="Times New Roman"/>
      <w:szCs w:val="24"/>
    </w:rPr>
  </w:style>
  <w:style w:type="character" w:customStyle="1" w:styleId="208">
    <w:name w:val="正文文本 Char"/>
    <w:basedOn w:val="55"/>
    <w:link w:val="21"/>
    <w:qFormat/>
    <w:uiPriority w:val="0"/>
    <w:rPr>
      <w:rFonts w:ascii="Calibri" w:hAnsi="Calibri" w:eastAsia="宋体" w:cs="Times New Roman"/>
      <w:szCs w:val="24"/>
    </w:rPr>
  </w:style>
  <w:style w:type="character" w:customStyle="1" w:styleId="209">
    <w:name w:val="正文首行缩进 字符1"/>
    <w:basedOn w:val="208"/>
    <w:semiHidden/>
    <w:qFormat/>
    <w:uiPriority w:val="99"/>
    <w:rPr>
      <w:rFonts w:ascii="Calibri" w:hAnsi="Calibri" w:eastAsia="宋体" w:cs="Times New Roman"/>
      <w:szCs w:val="24"/>
    </w:rPr>
  </w:style>
  <w:style w:type="character" w:customStyle="1" w:styleId="210">
    <w:name w:val="Char Char Char1"/>
    <w:qFormat/>
    <w:uiPriority w:val="0"/>
    <w:rPr>
      <w:rFonts w:ascii="宋体" w:hAnsi="Courier New"/>
      <w:sz w:val="21"/>
      <w:szCs w:val="21"/>
    </w:rPr>
  </w:style>
  <w:style w:type="character" w:customStyle="1" w:styleId="211">
    <w:name w:val="heading 1 Char2"/>
    <w:qFormat/>
    <w:uiPriority w:val="0"/>
    <w:rPr>
      <w:b/>
      <w:bCs/>
      <w:kern w:val="44"/>
      <w:sz w:val="44"/>
      <w:szCs w:val="44"/>
    </w:rPr>
  </w:style>
  <w:style w:type="character" w:customStyle="1" w:styleId="212">
    <w:name w:val="Char Char22"/>
    <w:qFormat/>
    <w:uiPriority w:val="0"/>
    <w:rPr>
      <w:rFonts w:ascii="Arial" w:hAnsi="Arial" w:eastAsia="黑体"/>
      <w:b/>
      <w:bCs/>
      <w:kern w:val="44"/>
      <w:sz w:val="30"/>
      <w:szCs w:val="44"/>
      <w:lang w:val="en-US" w:eastAsia="zh-CN" w:bidi="ar-SA"/>
    </w:rPr>
  </w:style>
  <w:style w:type="character" w:customStyle="1" w:styleId="213">
    <w:name w:val="页脚 字符1"/>
    <w:basedOn w:val="55"/>
    <w:semiHidden/>
    <w:qFormat/>
    <w:uiPriority w:val="99"/>
    <w:rPr>
      <w:kern w:val="2"/>
      <w:sz w:val="18"/>
      <w:szCs w:val="18"/>
    </w:rPr>
  </w:style>
  <w:style w:type="character" w:customStyle="1" w:styleId="214">
    <w:name w:val="Char Char17"/>
    <w:qFormat/>
    <w:uiPriority w:val="0"/>
    <w:rPr>
      <w:rFonts w:ascii="Cambria" w:hAnsi="Cambria"/>
      <w:b/>
      <w:bCs/>
      <w:kern w:val="2"/>
      <w:sz w:val="28"/>
      <w:szCs w:val="28"/>
    </w:rPr>
  </w:style>
  <w:style w:type="character" w:customStyle="1" w:styleId="215">
    <w:name w:val="heading 3 Char2"/>
    <w:qFormat/>
    <w:uiPriority w:val="0"/>
    <w:rPr>
      <w:b/>
      <w:bCs/>
      <w:kern w:val="2"/>
      <w:sz w:val="32"/>
      <w:szCs w:val="32"/>
    </w:rPr>
  </w:style>
  <w:style w:type="character" w:customStyle="1" w:styleId="216">
    <w:name w:val="签名 Char"/>
    <w:link w:val="40"/>
    <w:qFormat/>
    <w:uiPriority w:val="0"/>
    <w:rPr>
      <w:rFonts w:ascii="仿宋_GB2312" w:eastAsia="仿宋_GB2312"/>
      <w:b/>
      <w:sz w:val="24"/>
      <w:szCs w:val="32"/>
    </w:rPr>
  </w:style>
  <w:style w:type="character" w:customStyle="1" w:styleId="217">
    <w:name w:val="批注文字 字符"/>
    <w:qFormat/>
    <w:uiPriority w:val="0"/>
    <w:rPr>
      <w:rFonts w:eastAsia="宋体"/>
      <w:kern w:val="2"/>
      <w:sz w:val="21"/>
      <w:szCs w:val="24"/>
      <w:lang w:val="en-US" w:eastAsia="zh-CN" w:bidi="ar-SA"/>
    </w:rPr>
  </w:style>
  <w:style w:type="character" w:customStyle="1" w:styleId="218">
    <w:name w:val="Char Char1"/>
    <w:qFormat/>
    <w:uiPriority w:val="0"/>
    <w:rPr>
      <w:rFonts w:eastAsia="宋体"/>
      <w:sz w:val="21"/>
      <w:lang w:val="en-US" w:eastAsia="zh-CN" w:bidi="ar-SA"/>
    </w:rPr>
  </w:style>
  <w:style w:type="character" w:customStyle="1" w:styleId="219">
    <w:name w:val="正文首行缩进 2 Char"/>
    <w:basedOn w:val="116"/>
    <w:link w:val="25"/>
    <w:qFormat/>
    <w:uiPriority w:val="0"/>
    <w:rPr>
      <w:rFonts w:ascii="Calibri" w:hAnsi="Calibri" w:eastAsia="宋体" w:cs="宋体"/>
      <w:szCs w:val="21"/>
    </w:rPr>
  </w:style>
  <w:style w:type="character" w:customStyle="1" w:styleId="220">
    <w:name w:val="表格 Char Char"/>
    <w:link w:val="221"/>
    <w:qFormat/>
    <w:uiPriority w:val="0"/>
    <w:rPr>
      <w:rFonts w:ascii="宋体" w:hAnsi="宋体"/>
    </w:rPr>
  </w:style>
  <w:style w:type="paragraph" w:customStyle="1" w:styleId="221">
    <w:name w:val="表格"/>
    <w:basedOn w:val="1"/>
    <w:link w:val="220"/>
    <w:autoRedefine/>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222">
    <w:name w:val="Ò³Ã¼ Char Char1"/>
    <w:qFormat/>
    <w:uiPriority w:val="0"/>
    <w:rPr>
      <w:rFonts w:eastAsia="宋体"/>
      <w:kern w:val="2"/>
      <w:sz w:val="18"/>
      <w:szCs w:val="18"/>
      <w:lang w:val="en-US" w:eastAsia="zh-CN" w:bidi="ar-SA"/>
    </w:rPr>
  </w:style>
  <w:style w:type="character" w:customStyle="1" w:styleId="223">
    <w:name w:val="Char Char27"/>
    <w:qFormat/>
    <w:uiPriority w:val="0"/>
    <w:rPr>
      <w:rFonts w:eastAsia="宋体"/>
      <w:kern w:val="2"/>
      <w:sz w:val="28"/>
      <w:lang w:val="en-US" w:eastAsia="zh-CN" w:bidi="ar-SA"/>
    </w:rPr>
  </w:style>
  <w:style w:type="paragraph" w:customStyle="1" w:styleId="22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25">
    <w:name w:val="列表内容"/>
    <w:basedOn w:val="1"/>
    <w:next w:val="1"/>
    <w:qFormat/>
    <w:uiPriority w:val="0"/>
    <w:pPr>
      <w:widowControl/>
      <w:autoSpaceDE w:val="0"/>
      <w:autoSpaceDN w:val="0"/>
      <w:adjustRightInd w:val="0"/>
      <w:ind w:firstLine="200"/>
      <w:jc w:val="left"/>
    </w:pPr>
    <w:rPr>
      <w:kern w:val="0"/>
      <w:sz w:val="18"/>
      <w:szCs w:val="20"/>
    </w:rPr>
  </w:style>
  <w:style w:type="paragraph" w:customStyle="1" w:styleId="226">
    <w:name w:val="Char11"/>
    <w:basedOn w:val="1"/>
    <w:qFormat/>
    <w:uiPriority w:val="0"/>
    <w:pPr>
      <w:autoSpaceDE w:val="0"/>
      <w:autoSpaceDN w:val="0"/>
      <w:adjustRightInd w:val="0"/>
      <w:jc w:val="left"/>
    </w:pPr>
    <w:rPr>
      <w:rFonts w:ascii="仿宋_GB2312" w:eastAsia="仿宋_GB2312"/>
      <w:b/>
      <w:kern w:val="0"/>
      <w:sz w:val="32"/>
      <w:szCs w:val="32"/>
    </w:rPr>
  </w:style>
  <w:style w:type="paragraph" w:customStyle="1" w:styleId="227">
    <w:name w:val="列出段落1"/>
    <w:basedOn w:val="1"/>
    <w:qFormat/>
    <w:uiPriority w:val="0"/>
    <w:pPr>
      <w:ind w:firstLine="420" w:firstLineChars="200"/>
    </w:pPr>
    <w:rPr>
      <w:szCs w:val="22"/>
    </w:rPr>
  </w:style>
  <w:style w:type="paragraph" w:customStyle="1" w:styleId="228">
    <w:name w:val="Table Paragraph"/>
    <w:basedOn w:val="1"/>
    <w:qFormat/>
    <w:uiPriority w:val="1"/>
  </w:style>
  <w:style w:type="paragraph" w:customStyle="1" w:styleId="229">
    <w:name w:val="BodyText1I"/>
    <w:basedOn w:val="230"/>
    <w:qFormat/>
    <w:uiPriority w:val="0"/>
    <w:pPr>
      <w:ind w:firstLine="420" w:firstLineChars="100"/>
    </w:pPr>
  </w:style>
  <w:style w:type="paragraph" w:customStyle="1" w:styleId="230">
    <w:name w:val="BodyText"/>
    <w:basedOn w:val="1"/>
    <w:qFormat/>
    <w:uiPriority w:val="0"/>
    <w:pPr>
      <w:spacing w:after="120"/>
    </w:pPr>
  </w:style>
  <w:style w:type="paragraph" w:customStyle="1" w:styleId="231">
    <w:name w:val="列出段落3"/>
    <w:basedOn w:val="1"/>
    <w:qFormat/>
    <w:uiPriority w:val="0"/>
    <w:pPr>
      <w:ind w:firstLine="420" w:firstLineChars="200"/>
    </w:pPr>
    <w:rPr>
      <w:lang w:val="zh-CN"/>
    </w:rPr>
  </w:style>
  <w:style w:type="paragraph" w:customStyle="1" w:styleId="232">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33">
    <w:name w:val="前言、引言标题"/>
    <w:next w:val="1"/>
    <w:qFormat/>
    <w:uiPriority w:val="0"/>
    <w:pPr>
      <w:shd w:val="clear" w:color="FFFFFF" w:fill="FFFFFF"/>
      <w:tabs>
        <w:tab w:val="left" w:pos="3349"/>
      </w:tabs>
      <w:spacing w:before="640" w:after="560"/>
      <w:ind w:left="3349" w:hanging="720"/>
      <w:jc w:val="center"/>
      <w:outlineLvl w:val="0"/>
    </w:pPr>
    <w:rPr>
      <w:rFonts w:ascii="黑体" w:hAnsi="Calibri" w:eastAsia="黑体" w:cs="Times New Roman"/>
      <w:sz w:val="32"/>
      <w:lang w:val="en-US" w:eastAsia="zh-CN" w:bidi="ar-SA"/>
    </w:rPr>
  </w:style>
  <w:style w:type="paragraph" w:customStyle="1" w:styleId="234">
    <w:name w:val="样式 样式 正文文本缩进 + 仿宋_GB2312 小四 首行缩进:  0 厘米 行距: 1.5 倍行距 + (中文) 仿宋_GB... Char Char"/>
    <w:basedOn w:val="1"/>
    <w:autoRedefine/>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35">
    <w:name w:val="列项——（一级）"/>
    <w:qFormat/>
    <w:uiPriority w:val="0"/>
    <w:pPr>
      <w:widowControl w:val="0"/>
      <w:tabs>
        <w:tab w:val="left" w:pos="854"/>
        <w:tab w:val="left" w:pos="1260"/>
      </w:tabs>
      <w:ind w:left="1260" w:hanging="420"/>
      <w:jc w:val="both"/>
    </w:pPr>
    <w:rPr>
      <w:rFonts w:ascii="宋体" w:hAnsi="Calibri" w:eastAsia="宋体" w:cs="Times New Roman"/>
      <w:sz w:val="21"/>
      <w:lang w:val="en-US" w:eastAsia="zh-CN" w:bidi="ar-SA"/>
    </w:rPr>
  </w:style>
  <w:style w:type="paragraph" w:customStyle="1" w:styleId="236">
    <w:name w:val="居中表格内容"/>
    <w:basedOn w:val="1"/>
    <w:next w:val="1"/>
    <w:qFormat/>
    <w:uiPriority w:val="0"/>
    <w:pPr>
      <w:jc w:val="left"/>
    </w:pPr>
    <w:rPr>
      <w:szCs w:val="20"/>
    </w:rPr>
  </w:style>
  <w:style w:type="paragraph" w:customStyle="1" w:styleId="237">
    <w:name w:val="Char Char"/>
    <w:basedOn w:val="1"/>
    <w:qFormat/>
    <w:uiPriority w:val="0"/>
    <w:rPr>
      <w:rFonts w:ascii="仿宋_GB2312" w:eastAsia="仿宋_GB2312"/>
      <w:b/>
      <w:sz w:val="32"/>
      <w:szCs w:val="32"/>
    </w:rPr>
  </w:style>
  <w:style w:type="paragraph" w:customStyle="1" w:styleId="238">
    <w:name w:val="样式 标题 3 + 黑色 段前: 5 磅 段后: 5 磅 行距: 1.5 倍行距"/>
    <w:basedOn w:val="1"/>
    <w:qFormat/>
    <w:uiPriority w:val="0"/>
    <w:pPr>
      <w:ind w:left="855" w:hanging="855"/>
    </w:pPr>
    <w:rPr>
      <w:sz w:val="24"/>
      <w:szCs w:val="20"/>
    </w:rPr>
  </w:style>
  <w:style w:type="paragraph" w:customStyle="1" w:styleId="239">
    <w:name w:val="此正文"/>
    <w:basedOn w:val="1"/>
    <w:autoRedefine/>
    <w:qFormat/>
    <w:uiPriority w:val="0"/>
    <w:pPr>
      <w:autoSpaceDE w:val="0"/>
      <w:autoSpaceDN w:val="0"/>
      <w:adjustRightInd w:val="0"/>
      <w:spacing w:line="360" w:lineRule="auto"/>
      <w:ind w:firstLine="200" w:firstLineChars="200"/>
      <w:jc w:val="left"/>
    </w:pPr>
    <w:rPr>
      <w:kern w:val="0"/>
      <w:sz w:val="24"/>
      <w:szCs w:val="20"/>
    </w:rPr>
  </w:style>
  <w:style w:type="paragraph" w:customStyle="1" w:styleId="240">
    <w:name w:val="标书正文带编号"/>
    <w:basedOn w:val="1"/>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41">
    <w:name w:val="样式1"/>
    <w:basedOn w:val="1"/>
    <w:qFormat/>
    <w:uiPriority w:val="0"/>
    <w:pPr>
      <w:autoSpaceDE w:val="0"/>
      <w:autoSpaceDN w:val="0"/>
      <w:adjustRightInd w:val="0"/>
      <w:spacing w:line="400" w:lineRule="exact"/>
    </w:pPr>
    <w:rPr>
      <w:rFonts w:ascii="宋体" w:hAnsi="Times New Roman" w:cs="宋体"/>
      <w:kern w:val="0"/>
    </w:rPr>
  </w:style>
  <w:style w:type="paragraph" w:customStyle="1" w:styleId="242">
    <w:name w:val="!正文"/>
    <w:basedOn w:val="1"/>
    <w:qFormat/>
    <w:uiPriority w:val="0"/>
    <w:pPr>
      <w:ind w:firstLine="480" w:firstLineChars="200"/>
    </w:pPr>
    <w:rPr>
      <w:szCs w:val="21"/>
    </w:rPr>
  </w:style>
  <w:style w:type="paragraph" w:customStyle="1" w:styleId="243">
    <w:name w:val="样式 左侧:  0.85 厘米 首行缩进:  0.85 厘米"/>
    <w:basedOn w:val="1"/>
    <w:qFormat/>
    <w:uiPriority w:val="0"/>
    <w:pPr>
      <w:autoSpaceDE w:val="0"/>
      <w:autoSpaceDN w:val="0"/>
      <w:adjustRightInd w:val="0"/>
      <w:spacing w:line="360" w:lineRule="auto"/>
      <w:ind w:firstLine="482"/>
      <w:jc w:val="left"/>
    </w:pPr>
    <w:rPr>
      <w:rFonts w:cs="宋体"/>
      <w:kern w:val="0"/>
      <w:sz w:val="24"/>
      <w:szCs w:val="20"/>
    </w:rPr>
  </w:style>
  <w:style w:type="paragraph" w:customStyle="1" w:styleId="244">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5">
    <w:name w:val="正文文本缩进 31"/>
    <w:basedOn w:val="1"/>
    <w:qFormat/>
    <w:uiPriority w:val="99"/>
    <w:pPr>
      <w:spacing w:line="300" w:lineRule="auto"/>
      <w:ind w:firstLine="480" w:firstLineChars="200"/>
      <w:jc w:val="left"/>
    </w:pPr>
    <w:rPr>
      <w:kern w:val="0"/>
      <w:sz w:val="24"/>
    </w:rPr>
  </w:style>
  <w:style w:type="paragraph" w:customStyle="1" w:styleId="246">
    <w:name w:val="样式5"/>
    <w:basedOn w:val="9"/>
    <w:qFormat/>
    <w:uiPriority w:val="0"/>
    <w:pPr>
      <w:spacing w:line="360" w:lineRule="auto"/>
      <w:ind w:firstLine="200"/>
    </w:pPr>
    <w:rPr>
      <w:rFonts w:ascii="仿宋_GB2312"/>
      <w:b/>
      <w:sz w:val="28"/>
      <w:szCs w:val="21"/>
    </w:rPr>
  </w:style>
  <w:style w:type="paragraph" w:customStyle="1" w:styleId="247">
    <w:name w:val="1 Char"/>
    <w:basedOn w:val="9"/>
    <w:qFormat/>
    <w:uiPriority w:val="0"/>
    <w:pPr>
      <w:spacing w:line="360" w:lineRule="auto"/>
      <w:ind w:firstLine="200"/>
    </w:pPr>
    <w:rPr>
      <w:rFonts w:ascii="仿宋_GB2312"/>
      <w:b/>
      <w:szCs w:val="32"/>
    </w:rPr>
  </w:style>
  <w:style w:type="paragraph" w:customStyle="1" w:styleId="248">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49">
    <w:name w:val="Char"/>
    <w:basedOn w:val="1"/>
    <w:qFormat/>
    <w:uiPriority w:val="0"/>
    <w:rPr>
      <w:rFonts w:ascii="仿宋_GB2312" w:eastAsia="仿宋_GB2312"/>
      <w:b/>
      <w:sz w:val="32"/>
      <w:szCs w:val="32"/>
    </w:rPr>
  </w:style>
  <w:style w:type="paragraph" w:customStyle="1" w:styleId="250">
    <w:name w:val="纯文本1"/>
    <w:basedOn w:val="1"/>
    <w:qFormat/>
    <w:uiPriority w:val="0"/>
    <w:pPr>
      <w:adjustRightInd w:val="0"/>
      <w:textAlignment w:val="baseline"/>
    </w:pPr>
    <w:rPr>
      <w:rFonts w:ascii="宋体" w:hAnsi="Courier New" w:eastAsia="楷体_GB2312"/>
      <w:sz w:val="28"/>
      <w:szCs w:val="20"/>
    </w:rPr>
  </w:style>
  <w:style w:type="paragraph" w:customStyle="1" w:styleId="251">
    <w:name w:val="xl29"/>
    <w:basedOn w:val="1"/>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52">
    <w:name w:val="Char Char13"/>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53">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254">
    <w:name w:val="正文_0"/>
    <w:qFormat/>
    <w:uiPriority w:val="0"/>
    <w:pPr>
      <w:widowControl w:val="0"/>
      <w:spacing w:line="360" w:lineRule="auto"/>
      <w:jc w:val="both"/>
    </w:pPr>
    <w:rPr>
      <w:rFonts w:ascii="Calibri" w:hAnsi="Calibri" w:eastAsia="微软雅黑" w:cs="Times New Roman"/>
      <w:kern w:val="2"/>
      <w:sz w:val="24"/>
      <w:szCs w:val="24"/>
      <w:lang w:val="en-US" w:eastAsia="zh-CN" w:bidi="ar-SA"/>
    </w:rPr>
  </w:style>
  <w:style w:type="paragraph" w:customStyle="1" w:styleId="255">
    <w:name w:val="四级条标题"/>
    <w:basedOn w:val="256"/>
    <w:next w:val="1"/>
    <w:qFormat/>
    <w:uiPriority w:val="0"/>
    <w:pPr>
      <w:tabs>
        <w:tab w:val="left" w:pos="3889"/>
        <w:tab w:val="left" w:pos="4309"/>
        <w:tab w:val="left" w:pos="4729"/>
        <w:tab w:val="left" w:pos="5149"/>
      </w:tabs>
      <w:ind w:left="5149"/>
      <w:outlineLvl w:val="5"/>
    </w:pPr>
  </w:style>
  <w:style w:type="paragraph" w:customStyle="1" w:styleId="256">
    <w:name w:val="三级条标题"/>
    <w:basedOn w:val="257"/>
    <w:next w:val="1"/>
    <w:qFormat/>
    <w:uiPriority w:val="0"/>
    <w:pPr>
      <w:tabs>
        <w:tab w:val="left" w:pos="3889"/>
        <w:tab w:val="left" w:pos="4309"/>
        <w:tab w:val="left" w:pos="4729"/>
      </w:tabs>
      <w:ind w:left="4729"/>
      <w:outlineLvl w:val="4"/>
    </w:pPr>
  </w:style>
  <w:style w:type="paragraph" w:customStyle="1" w:styleId="257">
    <w:name w:val="二级条标题"/>
    <w:basedOn w:val="258"/>
    <w:next w:val="1"/>
    <w:qFormat/>
    <w:uiPriority w:val="0"/>
    <w:pPr>
      <w:tabs>
        <w:tab w:val="left" w:pos="3889"/>
        <w:tab w:val="left" w:pos="4309"/>
      </w:tabs>
      <w:ind w:left="4309"/>
      <w:outlineLvl w:val="3"/>
    </w:pPr>
  </w:style>
  <w:style w:type="paragraph" w:customStyle="1" w:styleId="258">
    <w:name w:val="一级条标题"/>
    <w:next w:val="1"/>
    <w:qFormat/>
    <w:uiPriority w:val="0"/>
    <w:pPr>
      <w:tabs>
        <w:tab w:val="left" w:pos="3889"/>
      </w:tabs>
      <w:ind w:left="3889" w:hanging="420"/>
      <w:outlineLvl w:val="2"/>
    </w:pPr>
    <w:rPr>
      <w:rFonts w:ascii="Calibri" w:hAnsi="Calibri" w:eastAsia="黑体" w:cs="Times New Roman"/>
      <w:sz w:val="21"/>
      <w:lang w:val="en-US" w:eastAsia="zh-CN" w:bidi="ar-SA"/>
    </w:rPr>
  </w:style>
  <w:style w:type="paragraph" w:customStyle="1" w:styleId="259">
    <w:name w:val="技术报告正文"/>
    <w:basedOn w:val="1"/>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60">
    <w:name w:val="l正文"/>
    <w:basedOn w:val="1"/>
    <w:qFormat/>
    <w:uiPriority w:val="0"/>
    <w:pPr>
      <w:spacing w:line="360" w:lineRule="auto"/>
      <w:ind w:firstLine="200" w:firstLineChars="200"/>
    </w:pPr>
    <w:rPr>
      <w:rFonts w:ascii="宋体" w:hAnsi="宋体"/>
      <w:sz w:val="24"/>
    </w:rPr>
  </w:style>
  <w:style w:type="paragraph" w:customStyle="1" w:styleId="261">
    <w:name w:val="正文字缩2字"/>
    <w:basedOn w:val="1"/>
    <w:qFormat/>
    <w:uiPriority w:val="0"/>
    <w:pPr>
      <w:spacing w:before="60" w:after="60" w:line="360" w:lineRule="auto"/>
      <w:ind w:left="200" w:leftChars="200" w:firstLine="200" w:firstLineChars="200"/>
    </w:pPr>
    <w:rPr>
      <w:sz w:val="24"/>
    </w:rPr>
  </w:style>
  <w:style w:type="paragraph" w:customStyle="1" w:styleId="262">
    <w:name w:val="Char Char Char Char Char Char Char Char Char Char Char Char Char Char Char Char Char Char Char1"/>
    <w:basedOn w:val="1"/>
    <w:qFormat/>
    <w:uiPriority w:val="0"/>
    <w:rPr>
      <w:rFonts w:ascii="仿宋_GB2312" w:eastAsia="仿宋_GB2312"/>
      <w:b/>
      <w:sz w:val="32"/>
      <w:szCs w:val="32"/>
    </w:rPr>
  </w:style>
  <w:style w:type="paragraph" w:customStyle="1" w:styleId="263">
    <w:name w:val="xl9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4">
    <w:name w:val="xl76"/>
    <w:basedOn w:val="1"/>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5">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66">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7">
    <w:name w:val="列出段落2"/>
    <w:basedOn w:val="1"/>
    <w:qFormat/>
    <w:uiPriority w:val="34"/>
    <w:pPr>
      <w:ind w:firstLine="420" w:firstLineChars="200"/>
    </w:pPr>
  </w:style>
  <w:style w:type="paragraph" w:customStyle="1" w:styleId="268">
    <w:name w:val="af17cgridlangnp1033langf"/>
    <w:qFormat/>
    <w:uiPriority w:val="0"/>
    <w:pPr>
      <w:widowControl w:val="0"/>
      <w:autoSpaceDE w:val="0"/>
      <w:autoSpaceDN w:val="0"/>
      <w:adjustRightInd w:val="0"/>
      <w:spacing w:before="156" w:line="360" w:lineRule="atLeast"/>
      <w:ind w:left="567" w:firstLine="510"/>
      <w:jc w:val="both"/>
    </w:pPr>
    <w:rPr>
      <w:rFonts w:ascii="Calibri" w:hAnsi="Calibri" w:eastAsia="宋体" w:cs="Times New Roman"/>
      <w:lang w:val="en-US" w:eastAsia="zh-CN" w:bidi="ar-SA"/>
    </w:rPr>
  </w:style>
  <w:style w:type="paragraph" w:customStyle="1" w:styleId="269">
    <w:name w:val="标书正文格式"/>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270">
    <w:name w:val="Char Char Char Char Char Char Char1"/>
    <w:basedOn w:val="1"/>
    <w:qFormat/>
    <w:uiPriority w:val="0"/>
    <w:rPr>
      <w:rFonts w:ascii="仿宋_GB2312" w:eastAsia="仿宋_GB2312"/>
      <w:b/>
      <w:sz w:val="32"/>
      <w:szCs w:val="32"/>
    </w:rPr>
  </w:style>
  <w:style w:type="paragraph" w:customStyle="1" w:styleId="271">
    <w:name w:val="简单回函地址"/>
    <w:basedOn w:val="1"/>
    <w:qFormat/>
    <w:uiPriority w:val="0"/>
  </w:style>
  <w:style w:type="paragraph" w:customStyle="1" w:styleId="272">
    <w:name w:val="图"/>
    <w:basedOn w:val="1"/>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273">
    <w:name w:val="样式 标题 1Level 1Level 11h1II+IHeading1H1-Heading 1Header 1..."/>
    <w:basedOn w:val="3"/>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74">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75">
    <w:name w:val="TOC 标题1"/>
    <w:basedOn w:val="3"/>
    <w:next w:val="1"/>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76">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77">
    <w:name w:val="È±Ê¡ÎÄ±¾ Char"/>
    <w:basedOn w:val="1"/>
    <w:qFormat/>
    <w:uiPriority w:val="0"/>
    <w:pPr>
      <w:widowControl/>
      <w:overflowPunct w:val="0"/>
      <w:autoSpaceDE w:val="0"/>
      <w:autoSpaceDN w:val="0"/>
      <w:adjustRightInd w:val="0"/>
      <w:textAlignment w:val="baseline"/>
    </w:pPr>
    <w:rPr>
      <w:rFonts w:ascii="Times New Roman" w:hAnsi="Times New Roman"/>
      <w:szCs w:val="21"/>
      <w:lang w:val="zh-CN"/>
    </w:rPr>
  </w:style>
  <w:style w:type="paragraph" w:customStyle="1" w:styleId="278">
    <w:name w:val="正文文本 21"/>
    <w:basedOn w:val="1"/>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9">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80">
    <w:name w:val="正文缩进1"/>
    <w:basedOn w:val="1"/>
    <w:next w:val="24"/>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81">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82">
    <w:name w:val="样式 宋体 小四 段前: 7.8 磅 段后: 7.8 磅 行距: 1.5 倍行距"/>
    <w:basedOn w:val="1"/>
    <w:qFormat/>
    <w:uiPriority w:val="0"/>
    <w:pPr>
      <w:spacing w:line="360" w:lineRule="auto"/>
      <w:ind w:firstLine="480"/>
    </w:pPr>
    <w:rPr>
      <w:rFonts w:ascii="宋体" w:hAnsi="宋体" w:cs="宋体"/>
      <w:sz w:val="24"/>
      <w:szCs w:val="20"/>
    </w:rPr>
  </w:style>
  <w:style w:type="paragraph" w:customStyle="1" w:styleId="283">
    <w:name w:val="button"/>
    <w:basedOn w:val="1"/>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84">
    <w:name w:val="Table Heading"/>
    <w:qFormat/>
    <w:uiPriority w:val="0"/>
    <w:pPr>
      <w:keepNext/>
      <w:snapToGrid w:val="0"/>
      <w:spacing w:before="80" w:after="80"/>
      <w:jc w:val="center"/>
    </w:pPr>
    <w:rPr>
      <w:rFonts w:ascii="Calibri" w:hAnsi="Calibri" w:eastAsia="黑体" w:cs="Arial"/>
      <w:kern w:val="2"/>
      <w:sz w:val="18"/>
      <w:szCs w:val="18"/>
      <w:lang w:val="en-US" w:eastAsia="zh-CN" w:bidi="ar-SA"/>
    </w:rPr>
  </w:style>
  <w:style w:type="paragraph" w:customStyle="1" w:styleId="285">
    <w:name w:val="列出段落11"/>
    <w:basedOn w:val="1"/>
    <w:qFormat/>
    <w:uiPriority w:val="0"/>
    <w:pPr>
      <w:ind w:firstLine="420" w:firstLineChars="200"/>
    </w:pPr>
    <w:rPr>
      <w:szCs w:val="20"/>
    </w:rPr>
  </w:style>
  <w:style w:type="paragraph" w:customStyle="1" w:styleId="286">
    <w:name w:val="文档正文"/>
    <w:basedOn w:val="1"/>
    <w:qFormat/>
    <w:uiPriority w:val="0"/>
    <w:pPr>
      <w:adjustRightInd w:val="0"/>
      <w:spacing w:line="300" w:lineRule="auto"/>
      <w:ind w:firstLine="567"/>
      <w:textAlignment w:val="baseline"/>
    </w:pPr>
    <w:rPr>
      <w:kern w:val="0"/>
      <w:sz w:val="24"/>
      <w:szCs w:val="20"/>
    </w:rPr>
  </w:style>
  <w:style w:type="paragraph" w:customStyle="1" w:styleId="287">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88">
    <w:name w:val="正文－恩普"/>
    <w:basedOn w:val="9"/>
    <w:qFormat/>
    <w:uiPriority w:val="0"/>
    <w:pPr>
      <w:spacing w:line="360" w:lineRule="auto"/>
      <w:ind w:firstLine="200"/>
    </w:pPr>
    <w:rPr>
      <w:rFonts w:ascii="仿宋_GB2312"/>
      <w:b/>
      <w:sz w:val="24"/>
    </w:rPr>
  </w:style>
  <w:style w:type="paragraph" w:customStyle="1" w:styleId="289">
    <w:name w:val="Char Char Char Char Char Char Char Char Char Char Char Char Char"/>
    <w:basedOn w:val="1"/>
    <w:qFormat/>
    <w:uiPriority w:val="0"/>
    <w:rPr>
      <w:rFonts w:ascii="Tahoma" w:hAnsi="Tahoma"/>
      <w:sz w:val="24"/>
      <w:szCs w:val="20"/>
    </w:rPr>
  </w:style>
  <w:style w:type="paragraph" w:customStyle="1" w:styleId="290">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291">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2">
    <w:name w:val="xl83"/>
    <w:basedOn w:val="1"/>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3">
    <w:name w:val="Test2"/>
    <w:basedOn w:val="4"/>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94">
    <w:name w:val="a"/>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95">
    <w:name w:val="正文2"/>
    <w:basedOn w:val="1"/>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6">
    <w:name w:val="xl89"/>
    <w:basedOn w:val="1"/>
    <w:qFormat/>
    <w:uiPriority w:val="0"/>
    <w:pPr>
      <w:widowControl/>
      <w:spacing w:before="100" w:beforeAutospacing="1" w:after="100" w:afterAutospacing="1"/>
      <w:jc w:val="left"/>
    </w:pPr>
    <w:rPr>
      <w:rFonts w:ascii="宋体" w:hAnsi="宋体" w:cs="宋体"/>
      <w:kern w:val="0"/>
      <w:sz w:val="24"/>
    </w:rPr>
  </w:style>
  <w:style w:type="paragraph" w:customStyle="1" w:styleId="297">
    <w:name w:val="Char Char Char Char Char Char Char"/>
    <w:basedOn w:val="1"/>
    <w:qFormat/>
    <w:uiPriority w:val="0"/>
    <w:rPr>
      <w:rFonts w:ascii="仿宋_GB2312" w:eastAsia="仿宋_GB2312"/>
      <w:b/>
      <w:sz w:val="32"/>
      <w:szCs w:val="32"/>
    </w:rPr>
  </w:style>
  <w:style w:type="paragraph" w:customStyle="1" w:styleId="298">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99">
    <w:name w:val="tabletext"/>
    <w:basedOn w:val="1"/>
    <w:qFormat/>
    <w:uiPriority w:val="0"/>
    <w:pPr>
      <w:widowControl/>
      <w:spacing w:line="300" w:lineRule="atLeast"/>
      <w:jc w:val="left"/>
    </w:pPr>
    <w:rPr>
      <w:rFonts w:ascii="宋体" w:hAnsi="宋体" w:cs="宋体"/>
      <w:kern w:val="0"/>
      <w:sz w:val="18"/>
      <w:szCs w:val="18"/>
    </w:rPr>
  </w:style>
  <w:style w:type="paragraph" w:customStyle="1" w:styleId="300">
    <w:name w:val="章标题"/>
    <w:next w:val="1"/>
    <w:qFormat/>
    <w:uiPriority w:val="0"/>
    <w:pPr>
      <w:tabs>
        <w:tab w:val="left" w:pos="3469"/>
      </w:tabs>
      <w:spacing w:beforeLines="50" w:afterLines="50"/>
      <w:ind w:left="3469" w:hanging="420"/>
      <w:jc w:val="both"/>
      <w:outlineLvl w:val="1"/>
    </w:pPr>
    <w:rPr>
      <w:rFonts w:ascii="黑体" w:hAnsi="Calibri" w:eastAsia="黑体" w:cs="Times New Roman"/>
      <w:sz w:val="21"/>
      <w:lang w:val="en-US" w:eastAsia="zh-CN" w:bidi="ar-SA"/>
    </w:rPr>
  </w:style>
  <w:style w:type="paragraph" w:customStyle="1" w:styleId="301">
    <w:name w:val="Item List in Table"/>
    <w:qFormat/>
    <w:uiPriority w:val="0"/>
    <w:pPr>
      <w:tabs>
        <w:tab w:val="left" w:pos="284"/>
        <w:tab w:val="left" w:pos="720"/>
      </w:tabs>
      <w:spacing w:before="40" w:after="40"/>
      <w:ind w:left="720" w:hanging="720"/>
      <w:jc w:val="both"/>
    </w:pPr>
    <w:rPr>
      <w:rFonts w:ascii="Calibri" w:hAnsi="Calibri" w:eastAsia="宋体" w:cs="Arial"/>
      <w:kern w:val="2"/>
      <w:sz w:val="18"/>
      <w:szCs w:val="18"/>
      <w:lang w:val="en-US" w:eastAsia="zh-CN" w:bidi="ar-SA"/>
    </w:rPr>
  </w:style>
  <w:style w:type="paragraph" w:customStyle="1" w:styleId="302">
    <w:name w:val="正文 首行缩进:  2 字符 Char"/>
    <w:basedOn w:val="1"/>
    <w:autoRedefine/>
    <w:qFormat/>
    <w:uiPriority w:val="0"/>
    <w:pPr>
      <w:spacing w:line="360" w:lineRule="auto"/>
      <w:ind w:firstLine="480"/>
    </w:pPr>
    <w:rPr>
      <w:rFonts w:cs="宋体"/>
      <w:sz w:val="24"/>
      <w:szCs w:val="20"/>
    </w:rPr>
  </w:style>
  <w:style w:type="paragraph" w:customStyle="1" w:styleId="303">
    <w:name w:val="正文文字表格居中"/>
    <w:basedOn w:val="1"/>
    <w:next w:val="49"/>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4">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05">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06">
    <w:name w:val="WW-正文文字缩进 2"/>
    <w:basedOn w:val="1"/>
    <w:autoRedefine/>
    <w:qFormat/>
    <w:uiPriority w:val="0"/>
    <w:pPr>
      <w:suppressAutoHyphens/>
      <w:autoSpaceDE w:val="0"/>
      <w:autoSpaceDN w:val="0"/>
      <w:adjustRightInd w:val="0"/>
      <w:ind w:firstLine="420"/>
      <w:jc w:val="left"/>
    </w:pPr>
    <w:rPr>
      <w:kern w:val="1"/>
      <w:sz w:val="20"/>
      <w:szCs w:val="20"/>
    </w:rPr>
  </w:style>
  <w:style w:type="paragraph" w:customStyle="1" w:styleId="307">
    <w:name w:val="NICMAN Body Text"/>
    <w:basedOn w:val="1"/>
    <w:next w:val="21"/>
    <w:qFormat/>
    <w:uiPriority w:val="0"/>
    <w:pPr>
      <w:autoSpaceDE w:val="0"/>
      <w:autoSpaceDN w:val="0"/>
      <w:adjustRightInd w:val="0"/>
      <w:spacing w:after="120"/>
      <w:jc w:val="left"/>
    </w:pPr>
    <w:rPr>
      <w:kern w:val="0"/>
      <w:sz w:val="20"/>
      <w:szCs w:val="20"/>
    </w:rPr>
  </w:style>
  <w:style w:type="paragraph" w:customStyle="1" w:styleId="308">
    <w:name w:val="VIT-Text"/>
    <w:basedOn w:val="1"/>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09">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310">
    <w:name w:val="正文（首行缩进）"/>
    <w:basedOn w:val="24"/>
    <w:qFormat/>
    <w:uiPriority w:val="0"/>
    <w:pPr>
      <w:widowControl/>
      <w:overflowPunct w:val="0"/>
      <w:autoSpaceDE w:val="0"/>
      <w:autoSpaceDN w:val="0"/>
      <w:adjustRightInd w:val="0"/>
      <w:spacing w:beforeLines="50" w:line="400" w:lineRule="exact"/>
      <w:ind w:left="200" w:firstLine="200" w:firstLineChars="200"/>
      <w:jc w:val="left"/>
      <w:textAlignment w:val="baseline"/>
    </w:pPr>
    <w:rPr>
      <w:spacing w:val="10"/>
      <w:kern w:val="0"/>
      <w:sz w:val="24"/>
      <w:szCs w:val="20"/>
    </w:rPr>
  </w:style>
  <w:style w:type="paragraph" w:customStyle="1" w:styleId="31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2">
    <w:name w:val="样式 标题 3 + 黑体 小四 非加粗"/>
    <w:basedOn w:val="5"/>
    <w:qFormat/>
    <w:uiPriority w:val="0"/>
    <w:pPr>
      <w:spacing w:before="260" w:after="260" w:line="413" w:lineRule="auto"/>
    </w:pPr>
    <w:rPr>
      <w:rFonts w:ascii="黑体" w:hAnsi="黑体"/>
      <w:b w:val="0"/>
      <w:kern w:val="0"/>
      <w:sz w:val="24"/>
      <w:szCs w:val="32"/>
    </w:rPr>
  </w:style>
  <w:style w:type="paragraph" w:customStyle="1" w:styleId="313">
    <w:name w:val="保留正文"/>
    <w:basedOn w:val="21"/>
    <w:qFormat/>
    <w:uiPriority w:val="0"/>
    <w:pPr>
      <w:keepNext/>
      <w:spacing w:after="160"/>
    </w:pPr>
    <w:rPr>
      <w:rFonts w:ascii="仿宋_GB2312"/>
      <w:b/>
      <w:szCs w:val="20"/>
    </w:rPr>
  </w:style>
  <w:style w:type="paragraph" w:customStyle="1" w:styleId="314">
    <w:name w:val="Char1 Char Char Char Char Char Char"/>
    <w:basedOn w:val="1"/>
    <w:qFormat/>
    <w:uiPriority w:val="0"/>
    <w:rPr>
      <w:rFonts w:ascii="宋体" w:hAnsi="宋体"/>
      <w:color w:val="000000"/>
      <w:sz w:val="24"/>
    </w:rPr>
  </w:style>
  <w:style w:type="paragraph" w:customStyle="1" w:styleId="31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16">
    <w:name w:val="p0"/>
    <w:basedOn w:val="1"/>
    <w:qFormat/>
    <w:uiPriority w:val="0"/>
    <w:pPr>
      <w:widowControl/>
    </w:pPr>
    <w:rPr>
      <w:kern w:val="0"/>
      <w:szCs w:val="21"/>
    </w:rPr>
  </w:style>
  <w:style w:type="paragraph" w:customStyle="1" w:styleId="317">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8">
    <w:name w:val="Char Char Char Char Char Char Char Char Char Char Char Char Char1"/>
    <w:basedOn w:val="1"/>
    <w:qFormat/>
    <w:uiPriority w:val="0"/>
  </w:style>
  <w:style w:type="paragraph" w:customStyle="1" w:styleId="319">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20">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1">
    <w:name w:val="默认段落字体 Para Char Char Char Char Char Char Char"/>
    <w:basedOn w:val="1"/>
    <w:qFormat/>
    <w:uiPriority w:val="0"/>
  </w:style>
  <w:style w:type="paragraph" w:customStyle="1" w:styleId="322">
    <w:name w:val="Char Char Char Char Char Char Char Char Char Char"/>
    <w:basedOn w:val="1"/>
    <w:qFormat/>
    <w:uiPriority w:val="0"/>
    <w:pPr>
      <w:autoSpaceDE w:val="0"/>
      <w:autoSpaceDN w:val="0"/>
      <w:adjustRightInd w:val="0"/>
      <w:jc w:val="left"/>
    </w:pPr>
    <w:rPr>
      <w:rFonts w:ascii="仿宋_GB2312" w:eastAsia="仿宋_GB2312"/>
      <w:b/>
      <w:kern w:val="0"/>
      <w:sz w:val="32"/>
      <w:szCs w:val="32"/>
    </w:rPr>
  </w:style>
  <w:style w:type="paragraph" w:customStyle="1" w:styleId="323">
    <w:name w:val="封面正文"/>
    <w:qFormat/>
    <w:locked/>
    <w:uiPriority w:val="0"/>
    <w:pPr>
      <w:jc w:val="both"/>
    </w:pPr>
    <w:rPr>
      <w:rFonts w:ascii="Calibri" w:hAnsi="Calibri" w:eastAsia="宋体" w:cs="Times New Roman"/>
      <w:lang w:val="en-US" w:eastAsia="zh-CN" w:bidi="ar-SA"/>
    </w:rPr>
  </w:style>
  <w:style w:type="paragraph" w:customStyle="1" w:styleId="324">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25">
    <w:name w:val="标准段落"/>
    <w:basedOn w:val="1"/>
    <w:qFormat/>
    <w:uiPriority w:val="0"/>
    <w:pPr>
      <w:spacing w:after="120" w:line="360" w:lineRule="auto"/>
      <w:ind w:firstLine="420"/>
    </w:pPr>
    <w:rPr>
      <w:rFonts w:ascii="黑体" w:hAnsi="宋体" w:eastAsia="黑体"/>
      <w:b/>
      <w:spacing w:val="6"/>
      <w:szCs w:val="22"/>
    </w:rPr>
  </w:style>
  <w:style w:type="paragraph" w:customStyle="1" w:styleId="326">
    <w:name w:val="Char3 Char Char Char1"/>
    <w:basedOn w:val="1"/>
    <w:qFormat/>
    <w:uiPriority w:val="0"/>
  </w:style>
  <w:style w:type="paragraph" w:customStyle="1" w:styleId="327">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28">
    <w:name w:val="列出段落12"/>
    <w:basedOn w:val="1"/>
    <w:qFormat/>
    <w:uiPriority w:val="0"/>
    <w:pPr>
      <w:ind w:firstLine="420" w:firstLineChars="200"/>
    </w:pPr>
  </w:style>
  <w:style w:type="paragraph" w:customStyle="1" w:styleId="329">
    <w:name w:val="xl91"/>
    <w:basedOn w:val="1"/>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30">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31">
    <w:name w:val="五级条标题"/>
    <w:basedOn w:val="255"/>
    <w:next w:val="1"/>
    <w:qFormat/>
    <w:uiPriority w:val="0"/>
    <w:pPr>
      <w:tabs>
        <w:tab w:val="left" w:pos="5569"/>
        <w:tab w:val="clear" w:pos="5149"/>
      </w:tabs>
      <w:ind w:left="5569"/>
      <w:outlineLvl w:val="6"/>
    </w:pPr>
  </w:style>
  <w:style w:type="paragraph" w:customStyle="1" w:styleId="332">
    <w:name w:val="列表段落1"/>
    <w:basedOn w:val="1"/>
    <w:qFormat/>
    <w:uiPriority w:val="34"/>
    <w:pPr>
      <w:ind w:firstLine="420" w:firstLineChars="200"/>
    </w:pPr>
    <w:rPr>
      <w:szCs w:val="22"/>
    </w:rPr>
  </w:style>
  <w:style w:type="paragraph" w:customStyle="1" w:styleId="333">
    <w:name w:val="Table caption|1"/>
    <w:basedOn w:val="1"/>
    <w:qFormat/>
    <w:uiPriority w:val="0"/>
    <w:pPr>
      <w:jc w:val="left"/>
    </w:pPr>
    <w:rPr>
      <w:rFonts w:ascii="宋体" w:hAnsi="宋体" w:cs="宋体"/>
      <w:kern w:val="0"/>
      <w:sz w:val="22"/>
      <w:szCs w:val="22"/>
      <w:lang w:val="zh-TW" w:eastAsia="zh-TW" w:bidi="zh-TW"/>
    </w:rPr>
  </w:style>
  <w:style w:type="paragraph" w:customStyle="1" w:styleId="334">
    <w:name w:val="List Paragraph1"/>
    <w:basedOn w:val="1"/>
    <w:qFormat/>
    <w:uiPriority w:val="0"/>
    <w:pPr>
      <w:ind w:firstLine="420" w:firstLineChars="200"/>
    </w:pPr>
    <w:rPr>
      <w:szCs w:val="22"/>
    </w:rPr>
  </w:style>
  <w:style w:type="paragraph" w:customStyle="1" w:styleId="335">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336">
    <w:name w:val="features1"/>
    <w:basedOn w:val="1"/>
    <w:autoRedefine/>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37">
    <w:name w:val="Char1"/>
    <w:basedOn w:val="1"/>
    <w:qFormat/>
    <w:uiPriority w:val="0"/>
    <w:rPr>
      <w:rFonts w:ascii="仿宋_GB2312" w:eastAsia="仿宋_GB2312"/>
      <w:b/>
      <w:sz w:val="32"/>
      <w:szCs w:val="32"/>
    </w:rPr>
  </w:style>
  <w:style w:type="paragraph" w:customStyle="1" w:styleId="338">
    <w:name w:val="小标题"/>
    <w:basedOn w:val="1"/>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339">
    <w:name w:val="aspnumfaautoadjustrightr"/>
    <w:qFormat/>
    <w:uiPriority w:val="0"/>
    <w:pPr>
      <w:widowControl w:val="0"/>
      <w:autoSpaceDE w:val="0"/>
      <w:autoSpaceDN w:val="0"/>
      <w:adjustRightInd w:val="0"/>
      <w:ind w:firstLine="720"/>
      <w:jc w:val="both"/>
    </w:pPr>
    <w:rPr>
      <w:rFonts w:ascii="Calibri" w:hAnsi="Calibri" w:eastAsia="宋体" w:cs="Times New Roman"/>
      <w:lang w:val="en-US" w:eastAsia="zh-CN" w:bidi="ar-SA"/>
    </w:rPr>
  </w:style>
  <w:style w:type="paragraph" w:customStyle="1" w:styleId="340">
    <w:name w:val="排列"/>
    <w:basedOn w:val="1"/>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341">
    <w:name w:val="部分1"/>
    <w:basedOn w:val="1"/>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34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43">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44">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45">
    <w:name w:val="Char Char Char Char"/>
    <w:basedOn w:val="17"/>
    <w:qFormat/>
    <w:uiPriority w:val="0"/>
    <w:rPr>
      <w:rFonts w:ascii="Tahoma" w:hAnsi="Tahoma"/>
      <w:sz w:val="24"/>
    </w:rPr>
  </w:style>
  <w:style w:type="paragraph" w:customStyle="1" w:styleId="346">
    <w:name w:val="1.1.1"/>
    <w:basedOn w:val="1"/>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347">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48">
    <w:name w:val="样式"/>
    <w:basedOn w:val="1"/>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349">
    <w:name w:val="Char2"/>
    <w:basedOn w:val="1"/>
    <w:qFormat/>
    <w:uiPriority w:val="0"/>
    <w:pPr>
      <w:autoSpaceDE w:val="0"/>
      <w:autoSpaceDN w:val="0"/>
      <w:adjustRightInd w:val="0"/>
      <w:jc w:val="left"/>
    </w:pPr>
    <w:rPr>
      <w:rFonts w:ascii="仿宋_GB2312" w:eastAsia="仿宋_GB2312"/>
      <w:b/>
      <w:kern w:val="0"/>
      <w:sz w:val="32"/>
      <w:szCs w:val="32"/>
    </w:rPr>
  </w:style>
  <w:style w:type="paragraph" w:customStyle="1" w:styleId="350">
    <w:name w:val="Char Char Char Char1"/>
    <w:basedOn w:val="1"/>
    <w:qFormat/>
    <w:uiPriority w:val="0"/>
    <w:pPr>
      <w:autoSpaceDE w:val="0"/>
      <w:autoSpaceDN w:val="0"/>
      <w:adjustRightInd w:val="0"/>
      <w:jc w:val="left"/>
    </w:pPr>
    <w:rPr>
      <w:rFonts w:ascii="Tahoma" w:hAnsi="Tahoma"/>
      <w:kern w:val="0"/>
      <w:sz w:val="24"/>
      <w:szCs w:val="20"/>
    </w:rPr>
  </w:style>
  <w:style w:type="paragraph" w:customStyle="1" w:styleId="35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2">
    <w:name w:val="Char Char1 Char Char Char Char Char Char Char Char Char Char Char Char Char Char"/>
    <w:basedOn w:val="1"/>
    <w:qFormat/>
    <w:uiPriority w:val="0"/>
    <w:pPr>
      <w:widowControl/>
      <w:autoSpaceDE w:val="0"/>
      <w:autoSpaceDN w:val="0"/>
      <w:adjustRightInd w:val="0"/>
      <w:spacing w:after="160" w:line="240" w:lineRule="exact"/>
      <w:jc w:val="left"/>
    </w:pPr>
    <w:rPr>
      <w:kern w:val="0"/>
      <w:sz w:val="20"/>
      <w:szCs w:val="20"/>
    </w:rPr>
  </w:style>
  <w:style w:type="paragraph" w:customStyle="1" w:styleId="353">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4">
    <w:name w:val="Body text|1"/>
    <w:basedOn w:val="1"/>
    <w:qFormat/>
    <w:uiPriority w:val="0"/>
    <w:pPr>
      <w:spacing w:line="456" w:lineRule="auto"/>
      <w:ind w:firstLine="400"/>
      <w:jc w:val="left"/>
    </w:pPr>
    <w:rPr>
      <w:rFonts w:ascii="宋体" w:hAnsi="宋体" w:cs="宋体"/>
      <w:kern w:val="0"/>
      <w:sz w:val="22"/>
      <w:szCs w:val="22"/>
      <w:lang w:val="zh-TW" w:eastAsia="zh-TW" w:bidi="zh-TW"/>
    </w:rPr>
  </w:style>
  <w:style w:type="paragraph" w:customStyle="1" w:styleId="35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6">
    <w:name w:val="文字"/>
    <w:basedOn w:val="1"/>
    <w:qFormat/>
    <w:uiPriority w:val="0"/>
    <w:pPr>
      <w:tabs>
        <w:tab w:val="left" w:pos="8520"/>
      </w:tabs>
      <w:spacing w:line="312" w:lineRule="auto"/>
      <w:ind w:right="-210" w:firstLine="556"/>
    </w:pPr>
    <w:rPr>
      <w:rFonts w:ascii="宋体"/>
      <w:sz w:val="28"/>
      <w:szCs w:val="20"/>
    </w:rPr>
  </w:style>
  <w:style w:type="paragraph" w:customStyle="1" w:styleId="357">
    <w:name w:val="表格文字（大）"/>
    <w:basedOn w:val="1"/>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358">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9">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60">
    <w:name w:val="14"/>
    <w:basedOn w:val="1"/>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361">
    <w:name w:val="_Style 3"/>
    <w:basedOn w:val="1"/>
    <w:next w:val="1"/>
    <w:qFormat/>
    <w:uiPriority w:val="34"/>
    <w:pPr>
      <w:spacing w:line="360" w:lineRule="auto"/>
      <w:ind w:firstLine="420" w:firstLineChars="200"/>
    </w:pPr>
  </w:style>
  <w:style w:type="paragraph" w:customStyle="1" w:styleId="362">
    <w:name w:val="正文-宋体四号"/>
    <w:basedOn w:val="1"/>
    <w:qFormat/>
    <w:uiPriority w:val="0"/>
    <w:pPr>
      <w:spacing w:line="360" w:lineRule="auto"/>
      <w:ind w:firstLine="560" w:firstLineChars="200"/>
    </w:pPr>
    <w:rPr>
      <w:rFonts w:cs="宋体"/>
      <w:sz w:val="28"/>
      <w:szCs w:val="20"/>
    </w:rPr>
  </w:style>
  <w:style w:type="paragraph" w:styleId="363">
    <w:name w:val="List Paragraph"/>
    <w:basedOn w:val="1"/>
    <w:unhideWhenUsed/>
    <w:qFormat/>
    <w:uiPriority w:val="99"/>
    <w:pPr>
      <w:ind w:firstLine="420" w:firstLineChars="200"/>
    </w:pPr>
  </w:style>
  <w:style w:type="character" w:customStyle="1" w:styleId="364">
    <w:name w:val="font21"/>
    <w:qFormat/>
    <w:uiPriority w:val="0"/>
    <w:rPr>
      <w:rFonts w:hint="eastAsia" w:ascii="宋体" w:hAnsi="宋体" w:eastAsia="宋体" w:cs="宋体"/>
      <w:b/>
      <w:color w:val="000000"/>
      <w:sz w:val="18"/>
      <w:szCs w:val="18"/>
      <w:u w:val="none"/>
    </w:rPr>
  </w:style>
  <w:style w:type="paragraph" w:customStyle="1" w:styleId="365">
    <w:name w:val="style4"/>
    <w:basedOn w:val="1"/>
    <w:next w:val="366"/>
    <w:qFormat/>
    <w:uiPriority w:val="0"/>
    <w:pPr>
      <w:widowControl/>
      <w:spacing w:before="280" w:after="280"/>
    </w:pPr>
    <w:rPr>
      <w:rFonts w:ascii="宋体"/>
      <w:sz w:val="18"/>
    </w:rPr>
  </w:style>
  <w:style w:type="paragraph" w:customStyle="1" w:styleId="366">
    <w:name w:val="2"/>
    <w:basedOn w:val="1"/>
    <w:next w:val="24"/>
    <w:qFormat/>
    <w:uiPriority w:val="0"/>
    <w:pPr>
      <w:ind w:left="432"/>
    </w:pPr>
    <w:rPr>
      <w:szCs w:val="20"/>
    </w:rPr>
  </w:style>
  <w:style w:type="character" w:customStyle="1" w:styleId="367">
    <w:name w:val="font41"/>
    <w:basedOn w:val="55"/>
    <w:qFormat/>
    <w:uiPriority w:val="0"/>
    <w:rPr>
      <w:rFonts w:hint="eastAsia" w:ascii="微软雅黑" w:hAnsi="微软雅黑" w:eastAsia="微软雅黑" w:cs="微软雅黑"/>
      <w:color w:val="000000"/>
      <w:sz w:val="21"/>
      <w:szCs w:val="21"/>
      <w:u w:val="none"/>
    </w:rPr>
  </w:style>
  <w:style w:type="character" w:customStyle="1" w:styleId="368">
    <w:name w:val="font101"/>
    <w:basedOn w:val="55"/>
    <w:qFormat/>
    <w:uiPriority w:val="0"/>
    <w:rPr>
      <w:rFonts w:ascii="等线" w:hAnsi="等线" w:eastAsia="等线" w:cs="等线"/>
      <w:color w:val="000000"/>
      <w:sz w:val="21"/>
      <w:szCs w:val="21"/>
      <w:u w:val="none"/>
    </w:rPr>
  </w:style>
  <w:style w:type="character" w:customStyle="1" w:styleId="369">
    <w:name w:val="font61"/>
    <w:basedOn w:val="55"/>
    <w:qFormat/>
    <w:uiPriority w:val="0"/>
    <w:rPr>
      <w:rFonts w:hint="eastAsia" w:ascii="宋体" w:hAnsi="宋体" w:eastAsia="宋体" w:cs="宋体"/>
      <w:color w:val="000000"/>
      <w:sz w:val="21"/>
      <w:szCs w:val="21"/>
      <w:u w:val="none"/>
    </w:rPr>
  </w:style>
  <w:style w:type="character" w:customStyle="1" w:styleId="370">
    <w:name w:val="font71"/>
    <w:basedOn w:val="55"/>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 </Company>
  <Pages>52</Pages>
  <Words>7495</Words>
  <Characters>8094</Characters>
  <Lines>286</Lines>
  <Paragraphs>80</Paragraphs>
  <TotalTime>3</TotalTime>
  <ScaleCrop>false</ScaleCrop>
  <LinksUpToDate>false</LinksUpToDate>
  <CharactersWithSpaces>8236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2021-08-17T08:06:00Z</dcterms:created>
  <dc:creator>user</dc:creator>
  <cp:lastModifiedBy>巴西的风筝</cp:lastModifiedBy>
  <cp:lastPrinted>2021-10-29T04:16:00Z</cp:lastPrinted>
  <dcterms:modified xsi:type="dcterms:W3CDTF">2025-01-17T02:20:39Z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5575D9673673472BB6FAB395042E30F0_13</vt:lpwstr>
  </property>
  <property fmtid="{D5CDD505-2E9C-101B-9397-08002B2CF9AE}" pid="4" name="KSOTemplateDocerSaveRecord">
    <vt:lpwstr>eyJoZGlkIjoiN2JlYTVjYmYwZTlkYjdhYjA2YzdkM2U2ZmIwODI4MDciLCJ1c2VySWQiOiI1Njc3NjEzMDAifQ==</vt:lpwstr>
  </property>
</Properties>
</file>