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项目名称：揭牌仪式</w:t>
      </w:r>
      <w:r>
        <w:rPr>
          <w:rFonts w:hint="eastAsia" w:ascii="宋体" w:hAnsi="宋体" w:eastAsia="宋体" w:cs="宋体"/>
          <w:b/>
          <w:bCs/>
          <w:spacing w:val="40"/>
          <w:sz w:val="32"/>
          <w:szCs w:val="32"/>
          <w:highlight w:val="none"/>
          <w:lang w:eastAsia="zh-CN"/>
        </w:rPr>
        <w:t>广告宣传服务项目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十一</w:t>
      </w:r>
      <w:r>
        <w:rPr>
          <w:rFonts w:hint="eastAsia" w:ascii="新宋体" w:hAnsi="新宋体" w:eastAsia="新宋体"/>
          <w:b/>
          <w:bCs/>
          <w:spacing w:val="40"/>
          <w:sz w:val="32"/>
          <w:szCs w:val="28"/>
          <w:highlight w:val="none"/>
        </w:rPr>
        <w:t>月</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05821D1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p>
    <w:p w14:paraId="4DB5B5CD">
      <w:pPr>
        <w:pStyle w:val="2"/>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揭牌仪式广告宣传服务项目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揭牌仪式广告宣传服务项目    </w:t>
      </w:r>
    </w:p>
    <w:p w14:paraId="56294008">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60000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19"/>
          <w:rFonts w:hint="eastAsia" w:ascii="宋体" w:hAnsi="宋体" w:eastAsia="宋体" w:cs="宋体"/>
          <w:color w:val="000000"/>
          <w:sz w:val="24"/>
          <w:szCs w:val="24"/>
          <w:highlight w:val="none"/>
          <w:shd w:val="clear" w:color="auto" w:fill="FFFFFF"/>
        </w:rPr>
      </w:pPr>
      <w:r>
        <w:rPr>
          <w:rStyle w:val="19"/>
          <w:rFonts w:hint="eastAsia" w:ascii="宋体" w:hAnsi="宋体" w:eastAsia="宋体" w:cs="宋体"/>
          <w:color w:val="000000"/>
          <w:sz w:val="24"/>
          <w:szCs w:val="24"/>
          <w:highlight w:val="none"/>
          <w:shd w:val="clear" w:color="auto" w:fill="FFFFFF"/>
        </w:rPr>
        <w:t>投标人报价不得超过</w:t>
      </w:r>
      <w:r>
        <w:rPr>
          <w:rStyle w:val="19"/>
          <w:rFonts w:hint="eastAsia" w:ascii="宋体" w:hAnsi="宋体" w:eastAsia="宋体" w:cs="宋体"/>
          <w:color w:val="000000"/>
          <w:sz w:val="24"/>
          <w:szCs w:val="24"/>
          <w:highlight w:val="none"/>
          <w:shd w:val="clear" w:color="auto" w:fill="FFFFFF"/>
          <w:lang w:eastAsia="zh-CN"/>
        </w:rPr>
        <w:t>最高限价</w:t>
      </w:r>
      <w:r>
        <w:rPr>
          <w:rStyle w:val="19"/>
          <w:rFonts w:hint="eastAsia" w:ascii="宋体" w:hAnsi="宋体" w:eastAsia="宋体" w:cs="宋体"/>
          <w:color w:val="000000"/>
          <w:sz w:val="24"/>
          <w:szCs w:val="24"/>
          <w:highlight w:val="none"/>
          <w:shd w:val="clear" w:color="auto" w:fill="FFFFFF"/>
        </w:rPr>
        <w:t>金额，否则当无效标处理。</w:t>
      </w:r>
    </w:p>
    <w:p w14:paraId="4E89FF6D">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 xml:space="preserve">11 </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 xml:space="preserve"> 14</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w:t>
      </w:r>
      <w:r>
        <w:rPr>
          <w:rFonts w:hint="default" w:ascii="宋体" w:hAnsi="宋体" w:eastAsia="宋体" w:cs="宋体"/>
          <w:i w:val="0"/>
          <w:iCs w:val="0"/>
          <w:caps w:val="0"/>
          <w:color w:val="000000"/>
          <w:spacing w:val="0"/>
          <w:sz w:val="24"/>
          <w:szCs w:val="24"/>
          <w:highlight w:val="none"/>
          <w:shd w:val="clear" w:color="auto" w:fill="FFFFFF"/>
        </w:rPr>
        <w:t>（上午：8:10-11:40；下午：1:00-4:30、双休日不接收）。</w:t>
      </w:r>
    </w:p>
    <w:p w14:paraId="7D03B432">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 xml:space="preserve"> 14</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r>
        <w:rPr>
          <w:rFonts w:hint="eastAsia" w:ascii="宋体" w:hAnsi="宋体" w:eastAsia="宋体" w:cs="宋体"/>
          <w:color w:val="000000"/>
          <w:sz w:val="24"/>
          <w:szCs w:val="24"/>
          <w:highlight w:val="none"/>
        </w:rPr>
        <w:t>；</w:t>
      </w:r>
    </w:p>
    <w:p w14:paraId="442E61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bookmarkStart w:id="6" w:name="_GoBack"/>
      <w:bookmarkEnd w:id="6"/>
    </w:p>
    <w:p w14:paraId="718B7B6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 xml:space="preserve">14 </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r>
        <w:rPr>
          <w:rFonts w:hint="eastAsia" w:ascii="宋体" w:hAnsi="宋体" w:eastAsia="宋体" w:cs="宋体"/>
          <w:color w:val="000000"/>
          <w:sz w:val="24"/>
          <w:szCs w:val="24"/>
          <w:highlight w:val="none"/>
        </w:rPr>
        <w:t>；</w:t>
      </w:r>
    </w:p>
    <w:p w14:paraId="5174915E">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二</w:t>
      </w:r>
      <w:r>
        <w:rPr>
          <w:rFonts w:hint="eastAsia" w:ascii="宋体" w:hAnsi="宋体" w:eastAsia="宋体" w:cs="宋体"/>
          <w:color w:val="000000"/>
          <w:sz w:val="24"/>
          <w:szCs w:val="24"/>
          <w:highlight w:val="none"/>
        </w:rPr>
        <w:t>号会议室</w:t>
      </w:r>
    </w:p>
    <w:p w14:paraId="736BD23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19"/>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 xml:space="preserve">11 </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3"/>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3"/>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4"/>
          <w:szCs w:val="24"/>
          <w:highlight w:val="none"/>
        </w:rPr>
      </w:pPr>
      <w:r>
        <w:rPr>
          <w:rFonts w:hint="eastAsia"/>
          <w:b/>
          <w:bCs/>
          <w:sz w:val="24"/>
          <w:szCs w:val="24"/>
          <w:highlight w:val="none"/>
          <w:lang w:eastAsia="zh-CN"/>
        </w:rPr>
        <w:t>招标内容</w:t>
      </w:r>
    </w:p>
    <w:p w14:paraId="3AB9D84C">
      <w:pPr>
        <w:numPr>
          <w:ilvl w:val="0"/>
          <w:numId w:val="0"/>
        </w:numPr>
        <w:spacing w:line="360" w:lineRule="auto"/>
        <w:rPr>
          <w:rFonts w:ascii="宋体" w:hAnsi="宋体"/>
          <w:sz w:val="24"/>
          <w:szCs w:val="24"/>
          <w:highlight w:val="none"/>
        </w:rPr>
      </w:pPr>
      <w:r>
        <w:rPr>
          <w:rFonts w:hint="eastAsia" w:ascii="宋体" w:hAnsi="宋体"/>
          <w:sz w:val="24"/>
          <w:szCs w:val="24"/>
          <w:highlight w:val="none"/>
        </w:rPr>
        <w:t>（一）招标单位：温州市第七人民医院</w:t>
      </w:r>
    </w:p>
    <w:p w14:paraId="015D1ABF">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（二）项目名称：</w:t>
      </w:r>
      <w:r>
        <w:rPr>
          <w:rFonts w:hint="eastAsia" w:ascii="宋体" w:hAnsi="宋体"/>
          <w:sz w:val="24"/>
          <w:szCs w:val="24"/>
          <w:highlight w:val="none"/>
          <w:lang w:val="en-US" w:eastAsia="zh-CN"/>
        </w:rPr>
        <w:t>揭牌仪式广告宣传服务项目</w:t>
      </w:r>
    </w:p>
    <w:p w14:paraId="341FDFD5">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（三）预算金额：</w:t>
      </w:r>
      <w:r>
        <w:rPr>
          <w:rFonts w:hint="eastAsia" w:ascii="宋体" w:hAnsi="宋体"/>
          <w:sz w:val="24"/>
          <w:szCs w:val="24"/>
          <w:highlight w:val="none"/>
          <w:lang w:val="en-US" w:eastAsia="zh-CN"/>
        </w:rPr>
        <w:t>600</w:t>
      </w:r>
      <w:r>
        <w:rPr>
          <w:rFonts w:hint="eastAsia" w:ascii="宋体" w:hAnsi="宋体"/>
          <w:sz w:val="24"/>
          <w:szCs w:val="24"/>
          <w:highlight w:val="none"/>
        </w:rPr>
        <w:t>00元</w:t>
      </w:r>
    </w:p>
    <w:p w14:paraId="2DEEBDE2">
      <w:pPr>
        <w:numPr>
          <w:ilvl w:val="0"/>
          <w:numId w:val="0"/>
        </w:numPr>
        <w:spacing w:line="360" w:lineRule="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eastAsia="zh-CN"/>
        </w:rPr>
        <w:t>（四）项目概况：因温州市第七人民医院工作需要，现计划在2024年11月20日举办揭牌仪式，</w:t>
      </w:r>
      <w:r>
        <w:rPr>
          <w:rFonts w:hint="eastAsia" w:ascii="宋体" w:hAnsi="宋体" w:eastAsia="宋体" w:cs="Times New Roman"/>
          <w:sz w:val="24"/>
          <w:szCs w:val="24"/>
          <w:highlight w:val="none"/>
          <w:lang w:val="en-US" w:eastAsia="zh-CN"/>
        </w:rPr>
        <w:t>投标人在招标人指定会场提供演讲台搭建、相关物料制作、安装运输等内容，具体以清单为准。</w:t>
      </w:r>
    </w:p>
    <w:p w14:paraId="276DA9BD">
      <w:pPr>
        <w:numPr>
          <w:ilvl w:val="0"/>
          <w:numId w:val="0"/>
        </w:numPr>
        <w:spacing w:line="360" w:lineRule="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（五）响应内容：</w:t>
      </w:r>
    </w:p>
    <w:p w14:paraId="6A0121F8">
      <w:pPr>
        <w:numPr>
          <w:ilvl w:val="0"/>
          <w:numId w:val="0"/>
        </w:numPr>
        <w:spacing w:line="360" w:lineRule="auto"/>
        <w:ind w:firstLine="480" w:firstLineChars="200"/>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1、投标人须在11月19日前对招标人指定场地完成演讲台搭建、相关物料制作、安装运输等内容，场地如有变动，投标人须无条件更改。</w:t>
      </w:r>
    </w:p>
    <w:p w14:paraId="3C9BAEF7">
      <w:pPr>
        <w:numPr>
          <w:ilvl w:val="0"/>
          <w:numId w:val="0"/>
        </w:numPr>
        <w:spacing w:line="360" w:lineRule="auto"/>
        <w:ind w:firstLine="480" w:firstLineChars="200"/>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2、本项目的最终结算价如超投标人的投标价格的，超过部分不予认可；低于投标价格的，按实结算。</w:t>
      </w:r>
    </w:p>
    <w:p w14:paraId="4E5E05D5">
      <w:pPr>
        <w:numPr>
          <w:ilvl w:val="0"/>
          <w:numId w:val="0"/>
        </w:numPr>
        <w:spacing w:line="360" w:lineRule="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 xml:space="preserve">    3、投标人按照招标人提供的元素制作物料或视频，在制作物料或视频之前，需将样品提交招标人认可同意。</w:t>
      </w:r>
    </w:p>
    <w:p w14:paraId="1F84BE8A">
      <w:pPr>
        <w:numPr>
          <w:ilvl w:val="0"/>
          <w:numId w:val="0"/>
        </w:numPr>
        <w:spacing w:line="360" w:lineRule="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 xml:space="preserve">    4、乙方提供的报价单价需包含管理费、利润、税金等一切费用。</w:t>
      </w:r>
    </w:p>
    <w:p w14:paraId="1C3F495E">
      <w:pPr>
        <w:pStyle w:val="5"/>
        <w:rPr>
          <w:rFonts w:hint="eastAsia"/>
          <w:lang w:eastAsia="zh-CN"/>
        </w:rPr>
      </w:pPr>
    </w:p>
    <w:p w14:paraId="5C4BCE50">
      <w:pPr>
        <w:spacing w:line="360" w:lineRule="auto"/>
        <w:rPr>
          <w:rFonts w:hint="eastAsia" w:asciiTheme="majorEastAsia" w:hAnsiTheme="majorEastAsia" w:eastAsiaTheme="majorEastAsia" w:cstheme="majorEastAsia"/>
          <w:b/>
          <w:sz w:val="24"/>
          <w:szCs w:val="24"/>
          <w:highlight w:val="none"/>
          <w:lang w:eastAsia="zh-CN"/>
        </w:rPr>
      </w:pPr>
      <w:r>
        <w:rPr>
          <w:rFonts w:hint="eastAsia" w:asciiTheme="majorEastAsia" w:hAnsiTheme="majorEastAsia" w:eastAsiaTheme="majorEastAsia" w:cstheme="majorEastAsia"/>
          <w:b/>
          <w:sz w:val="24"/>
          <w:szCs w:val="24"/>
          <w:highlight w:val="none"/>
        </w:rPr>
        <w:t>二、采购</w:t>
      </w:r>
      <w:r>
        <w:rPr>
          <w:rFonts w:hint="eastAsia" w:asciiTheme="majorEastAsia" w:hAnsiTheme="majorEastAsia" w:eastAsiaTheme="majorEastAsia" w:cstheme="majorEastAsia"/>
          <w:b/>
          <w:sz w:val="24"/>
          <w:szCs w:val="24"/>
          <w:highlight w:val="none"/>
          <w:lang w:eastAsia="zh-CN"/>
        </w:rPr>
        <w:t>清单</w:t>
      </w:r>
    </w:p>
    <w:tbl>
      <w:tblPr>
        <w:tblStyle w:val="16"/>
        <w:tblW w:w="10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8"/>
        <w:gridCol w:w="1020"/>
        <w:gridCol w:w="1513"/>
        <w:gridCol w:w="2335"/>
        <w:gridCol w:w="736"/>
        <w:gridCol w:w="736"/>
        <w:gridCol w:w="862"/>
        <w:gridCol w:w="698"/>
        <w:gridCol w:w="1762"/>
      </w:tblGrid>
      <w:tr w14:paraId="3BE6B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103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0D1BDE2">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温州市第七人民医院揭牌聘任仪式会场1清单</w:t>
            </w:r>
          </w:p>
        </w:tc>
      </w:tr>
      <w:tr w14:paraId="485CE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2944E">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BC4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7D9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尺寸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18E4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材质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6076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D855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4B1A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04EB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合价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C599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备注</w:t>
            </w:r>
          </w:p>
        </w:tc>
      </w:tr>
      <w:tr w14:paraId="7CB56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3372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98A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会议主题背景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3FAD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330*260cm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A21A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桁架+后工+550喷绘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8C79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CC8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DEDC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3C549">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2EA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场地提供方收取</w:t>
            </w:r>
          </w:p>
        </w:tc>
      </w:tr>
      <w:tr w14:paraId="65594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060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B0E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主持台装饰</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A086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120*150cm</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3119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20mm雪弗板UV雕刻</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033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A411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座</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E543">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F83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6C589">
            <w:pPr>
              <w:jc w:val="center"/>
              <w:rPr>
                <w:rFonts w:hint="eastAsia" w:ascii="微软雅黑" w:hAnsi="微软雅黑" w:eastAsia="微软雅黑" w:cs="微软雅黑"/>
                <w:i w:val="0"/>
                <w:iCs w:val="0"/>
                <w:color w:val="000000"/>
                <w:sz w:val="22"/>
                <w:szCs w:val="22"/>
                <w:u w:val="none"/>
              </w:rPr>
            </w:pPr>
          </w:p>
        </w:tc>
      </w:tr>
      <w:tr w14:paraId="3805E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7C9A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04F5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音响、音控</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D431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01AD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高音一对+低音一对，音控人员</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81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88E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F9B4">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10EAD">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7CE8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场地提供方收取</w:t>
            </w:r>
          </w:p>
        </w:tc>
      </w:tr>
      <w:tr w14:paraId="6FA75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A8A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F6E4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席签</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943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21*23cm</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F5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300g铜版纸</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C81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767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80A2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56EA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5C9CA">
            <w:pPr>
              <w:jc w:val="center"/>
              <w:rPr>
                <w:rFonts w:hint="eastAsia" w:ascii="微软雅黑" w:hAnsi="微软雅黑" w:eastAsia="微软雅黑" w:cs="微软雅黑"/>
                <w:i w:val="0"/>
                <w:iCs w:val="0"/>
                <w:color w:val="000000"/>
                <w:sz w:val="22"/>
                <w:szCs w:val="22"/>
                <w:u w:val="none"/>
              </w:rPr>
            </w:pPr>
          </w:p>
        </w:tc>
      </w:tr>
      <w:tr w14:paraId="1FCC6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226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8D38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道路指引牌</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AB3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80x200cm</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95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铝合金易拉宝</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5F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897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EDD8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CCC3">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6DA29">
            <w:pPr>
              <w:jc w:val="center"/>
              <w:rPr>
                <w:rFonts w:hint="eastAsia" w:ascii="微软雅黑" w:hAnsi="微软雅黑" w:eastAsia="微软雅黑" w:cs="微软雅黑"/>
                <w:i w:val="0"/>
                <w:iCs w:val="0"/>
                <w:color w:val="000000"/>
                <w:sz w:val="22"/>
                <w:szCs w:val="22"/>
                <w:u w:val="none"/>
              </w:rPr>
            </w:pPr>
          </w:p>
        </w:tc>
      </w:tr>
      <w:tr w14:paraId="34454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111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30E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宣传展架</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AC5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80x200cm</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4472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铝合金易拉宝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547A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5A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64BD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F8A30">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143A">
            <w:pPr>
              <w:jc w:val="center"/>
              <w:rPr>
                <w:rFonts w:hint="eastAsia" w:ascii="微软雅黑" w:hAnsi="微软雅黑" w:eastAsia="微软雅黑" w:cs="微软雅黑"/>
                <w:i w:val="0"/>
                <w:iCs w:val="0"/>
                <w:color w:val="000000"/>
                <w:sz w:val="22"/>
                <w:szCs w:val="22"/>
                <w:u w:val="none"/>
              </w:rPr>
            </w:pPr>
          </w:p>
        </w:tc>
      </w:tr>
      <w:tr w14:paraId="43DEE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D718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10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F88BF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主持手卡</w:t>
            </w:r>
          </w:p>
        </w:tc>
        <w:tc>
          <w:tcPr>
            <w:tcW w:w="15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BEC7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300g铜版纸单面打印</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7CA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11*8cm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319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34C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BC3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7AFC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5DF10">
            <w:pPr>
              <w:jc w:val="center"/>
              <w:rPr>
                <w:rFonts w:hint="eastAsia" w:ascii="微软雅黑" w:hAnsi="微软雅黑" w:eastAsia="微软雅黑" w:cs="微软雅黑"/>
                <w:i w:val="0"/>
                <w:iCs w:val="0"/>
                <w:color w:val="000000"/>
                <w:sz w:val="22"/>
                <w:szCs w:val="22"/>
                <w:u w:val="none"/>
              </w:rPr>
            </w:pPr>
          </w:p>
        </w:tc>
      </w:tr>
      <w:tr w14:paraId="091D4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C39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C35F4">
            <w:pPr>
              <w:jc w:val="center"/>
              <w:rPr>
                <w:rFonts w:hint="eastAsia" w:ascii="微软雅黑" w:hAnsi="微软雅黑" w:eastAsia="微软雅黑" w:cs="微软雅黑"/>
                <w:i w:val="0"/>
                <w:iCs w:val="0"/>
                <w:color w:val="000000"/>
                <w:sz w:val="22"/>
                <w:szCs w:val="22"/>
                <w:u w:val="none"/>
              </w:rPr>
            </w:pPr>
          </w:p>
        </w:tc>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76C008">
            <w:pPr>
              <w:jc w:val="center"/>
              <w:rPr>
                <w:rFonts w:hint="eastAsia" w:ascii="微软雅黑" w:hAnsi="微软雅黑" w:eastAsia="微软雅黑" w:cs="微软雅黑"/>
                <w:i w:val="0"/>
                <w:iCs w:val="0"/>
                <w:color w:val="000000"/>
                <w:sz w:val="22"/>
                <w:szCs w:val="22"/>
                <w:u w:val="none"/>
              </w:rPr>
            </w:pP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6FE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21*14.85cm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DCE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CB9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14833">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1468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793E">
            <w:pPr>
              <w:jc w:val="center"/>
              <w:rPr>
                <w:rFonts w:hint="eastAsia" w:ascii="微软雅黑" w:hAnsi="微软雅黑" w:eastAsia="微软雅黑" w:cs="微软雅黑"/>
                <w:i w:val="0"/>
                <w:iCs w:val="0"/>
                <w:color w:val="000000"/>
                <w:sz w:val="22"/>
                <w:szCs w:val="22"/>
                <w:u w:val="none"/>
              </w:rPr>
            </w:pPr>
          </w:p>
        </w:tc>
      </w:tr>
      <w:tr w14:paraId="4A5CB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E14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D93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闭幕会视频</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C855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FE6F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时长15秒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E69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20C0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条</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3BAD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09BB4">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36069">
            <w:pPr>
              <w:jc w:val="center"/>
              <w:rPr>
                <w:rFonts w:hint="eastAsia" w:ascii="微软雅黑" w:hAnsi="微软雅黑" w:eastAsia="微软雅黑" w:cs="微软雅黑"/>
                <w:i w:val="0"/>
                <w:iCs w:val="0"/>
                <w:color w:val="000000"/>
                <w:sz w:val="22"/>
                <w:szCs w:val="22"/>
                <w:u w:val="none"/>
              </w:rPr>
            </w:pPr>
          </w:p>
        </w:tc>
      </w:tr>
      <w:tr w14:paraId="7D7A5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77E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578E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设计及服务费</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13C1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A9D1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企划、执行、现场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BB14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5F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FDAC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C1C4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D449">
            <w:pPr>
              <w:jc w:val="center"/>
              <w:rPr>
                <w:rFonts w:hint="eastAsia" w:ascii="微软雅黑" w:hAnsi="微软雅黑" w:eastAsia="微软雅黑" w:cs="微软雅黑"/>
                <w:i w:val="0"/>
                <w:iCs w:val="0"/>
                <w:color w:val="000000"/>
                <w:sz w:val="22"/>
                <w:szCs w:val="22"/>
                <w:u w:val="none"/>
              </w:rPr>
            </w:pPr>
          </w:p>
        </w:tc>
      </w:tr>
      <w:tr w14:paraId="6E77B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738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3FDE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安装人工及运输</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2E0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0CBD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22DE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732B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工</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ECA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28AE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FCC94">
            <w:pPr>
              <w:jc w:val="center"/>
              <w:rPr>
                <w:rFonts w:hint="eastAsia" w:ascii="微软雅黑" w:hAnsi="微软雅黑" w:eastAsia="微软雅黑" w:cs="微软雅黑"/>
                <w:i w:val="0"/>
                <w:iCs w:val="0"/>
                <w:color w:val="000000"/>
                <w:sz w:val="22"/>
                <w:szCs w:val="22"/>
                <w:u w:val="none"/>
              </w:rPr>
            </w:pPr>
          </w:p>
        </w:tc>
      </w:tr>
      <w:tr w14:paraId="30D37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418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6E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手提袋</w:t>
            </w:r>
          </w:p>
        </w:tc>
        <w:tc>
          <w:tcPr>
            <w:tcW w:w="0" w:type="auto"/>
            <w:tcBorders>
              <w:top w:val="nil"/>
              <w:left w:val="nil"/>
              <w:bottom w:val="nil"/>
              <w:right w:val="nil"/>
            </w:tcBorders>
            <w:shd w:val="clear" w:color="auto" w:fill="auto"/>
            <w:noWrap/>
            <w:vAlign w:val="center"/>
          </w:tcPr>
          <w:p w14:paraId="18845C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30*40cm</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9544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帆布袋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1B1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406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EC5EB">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B0C7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CF62">
            <w:pPr>
              <w:jc w:val="center"/>
              <w:rPr>
                <w:rFonts w:hint="eastAsia" w:ascii="微软雅黑" w:hAnsi="微软雅黑" w:eastAsia="微软雅黑" w:cs="微软雅黑"/>
                <w:i w:val="0"/>
                <w:iCs w:val="0"/>
                <w:color w:val="000000"/>
                <w:sz w:val="22"/>
                <w:szCs w:val="22"/>
                <w:u w:val="none"/>
              </w:rPr>
            </w:pPr>
          </w:p>
        </w:tc>
      </w:tr>
      <w:tr w14:paraId="26D5A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663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015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笔、矿泉水</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1223E">
            <w:pPr>
              <w:jc w:val="center"/>
              <w:rPr>
                <w:rFonts w:hint="eastAsia" w:ascii="微软雅黑" w:hAnsi="微软雅黑" w:eastAsia="微软雅黑" w:cs="微软雅黑"/>
                <w:i w:val="0"/>
                <w:iCs w:val="0"/>
                <w:color w:val="000000"/>
                <w:sz w:val="22"/>
                <w:szCs w:val="22"/>
                <w:u w:val="none"/>
              </w:rPr>
            </w:pP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E4BC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矿泉水300瓶、笔300支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8E91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3D9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D03D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2AFD7">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13CE5">
            <w:pPr>
              <w:jc w:val="center"/>
              <w:rPr>
                <w:rFonts w:hint="eastAsia" w:ascii="微软雅黑" w:hAnsi="微软雅黑" w:eastAsia="微软雅黑" w:cs="微软雅黑"/>
                <w:i w:val="0"/>
                <w:iCs w:val="0"/>
                <w:color w:val="000000"/>
                <w:sz w:val="22"/>
                <w:szCs w:val="22"/>
                <w:u w:val="none"/>
              </w:rPr>
            </w:pPr>
          </w:p>
        </w:tc>
      </w:tr>
      <w:tr w14:paraId="6F4A6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937C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A04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屏风背景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4D13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330*260cm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1D01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桁架+后工+550喷绘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D8ED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4F7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座</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4E25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B81A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65987">
            <w:pPr>
              <w:jc w:val="center"/>
              <w:rPr>
                <w:rFonts w:hint="eastAsia" w:ascii="微软雅黑" w:hAnsi="微软雅黑" w:eastAsia="微软雅黑" w:cs="微软雅黑"/>
                <w:i w:val="0"/>
                <w:iCs w:val="0"/>
                <w:color w:val="000000"/>
                <w:sz w:val="22"/>
                <w:szCs w:val="22"/>
                <w:u w:val="none"/>
              </w:rPr>
            </w:pPr>
          </w:p>
        </w:tc>
      </w:tr>
      <w:tr w14:paraId="4A9A9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4517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FDC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餐券</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693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15x8cm</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F9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157g铜版纸双面印</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FC1D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28F8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17CC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A4BA4">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1EA15">
            <w:pPr>
              <w:jc w:val="center"/>
              <w:rPr>
                <w:rFonts w:hint="eastAsia" w:ascii="微软雅黑" w:hAnsi="微软雅黑" w:eastAsia="微软雅黑" w:cs="微软雅黑"/>
                <w:i w:val="0"/>
                <w:iCs w:val="0"/>
                <w:color w:val="000000"/>
                <w:sz w:val="22"/>
                <w:szCs w:val="22"/>
                <w:u w:val="none"/>
              </w:rPr>
            </w:pPr>
          </w:p>
        </w:tc>
      </w:tr>
      <w:tr w14:paraId="44D44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0FC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50D5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舞台斜坡</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7F6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60*700cm</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7A9D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10mm木板+喷绘反包+背架支撑</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1D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5AA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D24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74F3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CC7DA">
            <w:pPr>
              <w:jc w:val="center"/>
              <w:rPr>
                <w:rFonts w:hint="eastAsia" w:ascii="微软雅黑" w:hAnsi="微软雅黑" w:eastAsia="微软雅黑" w:cs="微软雅黑"/>
                <w:i w:val="0"/>
                <w:iCs w:val="0"/>
                <w:color w:val="000000"/>
                <w:sz w:val="22"/>
                <w:szCs w:val="22"/>
                <w:u w:val="none"/>
              </w:rPr>
            </w:pPr>
          </w:p>
        </w:tc>
      </w:tr>
      <w:tr w14:paraId="3A48E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AD7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0B16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舞台斜坡字</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0A1A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单字45cm</w:t>
            </w:r>
          </w:p>
        </w:tc>
        <w:tc>
          <w:tcPr>
            <w:tcW w:w="23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CC5D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20mmPVC烤漆</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BDCF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46C3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0A68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82FE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6A815">
            <w:pPr>
              <w:jc w:val="center"/>
              <w:rPr>
                <w:rFonts w:hint="eastAsia" w:ascii="微软雅黑" w:hAnsi="微软雅黑" w:eastAsia="微软雅黑" w:cs="微软雅黑"/>
                <w:i w:val="0"/>
                <w:iCs w:val="0"/>
                <w:color w:val="000000"/>
                <w:sz w:val="22"/>
                <w:szCs w:val="22"/>
                <w:u w:val="none"/>
              </w:rPr>
            </w:pPr>
          </w:p>
        </w:tc>
      </w:tr>
      <w:tr w14:paraId="41BAD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144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总计</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7067A">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6DEFB">
            <w:pPr>
              <w:jc w:val="center"/>
              <w:rPr>
                <w:rFonts w:hint="eastAsia" w:ascii="微软雅黑" w:hAnsi="微软雅黑" w:eastAsia="微软雅黑" w:cs="微软雅黑"/>
                <w:i w:val="0"/>
                <w:iCs w:val="0"/>
                <w:color w:val="000000"/>
                <w:sz w:val="22"/>
                <w:szCs w:val="22"/>
                <w:u w:val="none"/>
              </w:rPr>
            </w:pPr>
          </w:p>
        </w:tc>
      </w:tr>
    </w:tbl>
    <w:p w14:paraId="4E0B402D">
      <w:pPr>
        <w:pStyle w:val="26"/>
        <w:spacing w:line="360" w:lineRule="auto"/>
        <w:ind w:left="0" w:leftChars="0" w:firstLine="480" w:firstLineChars="200"/>
        <w:rPr>
          <w:rFonts w:hint="eastAsia" w:asciiTheme="majorEastAsia" w:hAnsiTheme="majorEastAsia" w:eastAsiaTheme="majorEastAsia" w:cstheme="majorEastAsia"/>
          <w:bCs/>
          <w:sz w:val="24"/>
          <w:szCs w:val="24"/>
          <w:highlight w:val="none"/>
        </w:rPr>
      </w:pPr>
    </w:p>
    <w:tbl>
      <w:tblPr>
        <w:tblStyle w:val="16"/>
        <w:tblW w:w="10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1535"/>
        <w:gridCol w:w="1767"/>
        <w:gridCol w:w="2129"/>
        <w:gridCol w:w="846"/>
        <w:gridCol w:w="846"/>
        <w:gridCol w:w="1149"/>
        <w:gridCol w:w="696"/>
        <w:gridCol w:w="696"/>
      </w:tblGrid>
      <w:tr w14:paraId="38969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10360" w:type="dxa"/>
            <w:gridSpan w:val="9"/>
            <w:tcBorders>
              <w:top w:val="nil"/>
              <w:left w:val="nil"/>
              <w:bottom w:val="nil"/>
              <w:right w:val="nil"/>
            </w:tcBorders>
            <w:shd w:val="clear" w:color="auto" w:fill="auto"/>
            <w:vAlign w:val="center"/>
          </w:tcPr>
          <w:p w14:paraId="1E201278">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温州市第七人民医院会场2清单</w:t>
            </w:r>
          </w:p>
        </w:tc>
      </w:tr>
      <w:tr w14:paraId="6C78B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48FD4">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C75D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A349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尺寸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9556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材质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8C34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7F65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74FA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EF5D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合价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2072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备注</w:t>
            </w:r>
          </w:p>
        </w:tc>
      </w:tr>
      <w:tr w14:paraId="045C1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CADC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4673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桁架主背景</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F31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700*300cm</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86C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桁架+550喷绘</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8026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D8B6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77B6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0281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5794">
            <w:pPr>
              <w:jc w:val="center"/>
              <w:rPr>
                <w:rFonts w:hint="eastAsia" w:ascii="微软雅黑" w:hAnsi="微软雅黑" w:eastAsia="微软雅黑" w:cs="微软雅黑"/>
                <w:i w:val="0"/>
                <w:iCs w:val="0"/>
                <w:color w:val="000000"/>
                <w:sz w:val="22"/>
                <w:szCs w:val="22"/>
                <w:u w:val="none"/>
              </w:rPr>
            </w:pPr>
          </w:p>
        </w:tc>
      </w:tr>
      <w:tr w14:paraId="7E903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4DC7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727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桁架签到背景</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655D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700*300cm</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17F9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桁架+550喷绘</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94FB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580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6867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25D9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0887F">
            <w:pPr>
              <w:jc w:val="center"/>
              <w:rPr>
                <w:rFonts w:hint="eastAsia" w:ascii="微软雅黑" w:hAnsi="微软雅黑" w:eastAsia="微软雅黑" w:cs="微软雅黑"/>
                <w:i w:val="0"/>
                <w:iCs w:val="0"/>
                <w:color w:val="000000"/>
                <w:sz w:val="22"/>
                <w:szCs w:val="22"/>
                <w:u w:val="none"/>
              </w:rPr>
            </w:pPr>
          </w:p>
        </w:tc>
      </w:tr>
      <w:tr w14:paraId="36151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5425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E448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主持演讲台装饰</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6C94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120*150cm</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61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20mm雪弗板UV雕刻</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31FA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D9B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DD14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5B7F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3B637">
            <w:pPr>
              <w:jc w:val="center"/>
              <w:rPr>
                <w:rFonts w:hint="eastAsia" w:ascii="微软雅黑" w:hAnsi="微软雅黑" w:eastAsia="微软雅黑" w:cs="微软雅黑"/>
                <w:i w:val="0"/>
                <w:iCs w:val="0"/>
                <w:color w:val="000000"/>
                <w:sz w:val="22"/>
                <w:szCs w:val="22"/>
                <w:u w:val="none"/>
              </w:rPr>
            </w:pPr>
          </w:p>
        </w:tc>
      </w:tr>
      <w:tr w14:paraId="06F5E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C8B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BA2B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启动仪式道具及揭牌道具</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AB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含运费即调试及彩排</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48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电动铜牌架+两台触摸仪</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D0C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69F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B78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A79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06AFE">
            <w:pPr>
              <w:jc w:val="center"/>
              <w:rPr>
                <w:rFonts w:hint="eastAsia" w:ascii="微软雅黑" w:hAnsi="微软雅黑" w:eastAsia="微软雅黑" w:cs="微软雅黑"/>
                <w:i w:val="0"/>
                <w:iCs w:val="0"/>
                <w:color w:val="000000"/>
                <w:sz w:val="22"/>
                <w:szCs w:val="22"/>
                <w:u w:val="none"/>
              </w:rPr>
            </w:pPr>
          </w:p>
        </w:tc>
      </w:tr>
      <w:tr w14:paraId="4AFA1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FA21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6532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签字台</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8193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120*40cm</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815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课桌+红布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423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7D2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C16A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5A39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D2383">
            <w:pPr>
              <w:jc w:val="center"/>
              <w:rPr>
                <w:rFonts w:hint="eastAsia" w:ascii="微软雅黑" w:hAnsi="微软雅黑" w:eastAsia="微软雅黑" w:cs="微软雅黑"/>
                <w:i w:val="0"/>
                <w:iCs w:val="0"/>
                <w:color w:val="000000"/>
                <w:sz w:val="22"/>
                <w:szCs w:val="22"/>
                <w:u w:val="none"/>
              </w:rPr>
            </w:pPr>
          </w:p>
        </w:tc>
      </w:tr>
      <w:tr w14:paraId="5366F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2DF2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89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启动视频制作</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47DF">
            <w:pPr>
              <w:jc w:val="center"/>
              <w:rPr>
                <w:rFonts w:hint="eastAsia" w:ascii="微软雅黑" w:hAnsi="微软雅黑" w:eastAsia="微软雅黑" w:cs="微软雅黑"/>
                <w:i w:val="0"/>
                <w:iCs w:val="0"/>
                <w:color w:val="000000"/>
                <w:sz w:val="22"/>
                <w:szCs w:val="22"/>
                <w:u w:val="none"/>
              </w:rPr>
            </w:pP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3D9B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时长约15秒定制</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A1F4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017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FAC9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EB606">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E6E82">
            <w:pPr>
              <w:jc w:val="center"/>
              <w:rPr>
                <w:rFonts w:hint="eastAsia" w:ascii="微软雅黑" w:hAnsi="微软雅黑" w:eastAsia="微软雅黑" w:cs="微软雅黑"/>
                <w:i w:val="0"/>
                <w:iCs w:val="0"/>
                <w:color w:val="000000"/>
                <w:sz w:val="22"/>
                <w:szCs w:val="22"/>
                <w:u w:val="none"/>
              </w:rPr>
            </w:pPr>
          </w:p>
        </w:tc>
      </w:tr>
      <w:tr w14:paraId="57FBF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DF1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1A17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音、屏控及控台</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F478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含排练一天+活动一天</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4556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音控人员</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C77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DFC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人</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229E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8FE27">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4711C">
            <w:pPr>
              <w:jc w:val="center"/>
              <w:rPr>
                <w:rFonts w:hint="eastAsia" w:ascii="微软雅黑" w:hAnsi="微软雅黑" w:eastAsia="微软雅黑" w:cs="微软雅黑"/>
                <w:i w:val="0"/>
                <w:iCs w:val="0"/>
                <w:color w:val="000000"/>
                <w:sz w:val="22"/>
                <w:szCs w:val="22"/>
                <w:u w:val="none"/>
              </w:rPr>
            </w:pPr>
          </w:p>
        </w:tc>
      </w:tr>
      <w:tr w14:paraId="7AD84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52D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9B06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会议议程及内页</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C4ED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A4</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4C4C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封面300g铜版纸+80g道林纸内页（书写）50p</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E691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985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本</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BD5A">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FB4CE">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472D5">
            <w:pPr>
              <w:jc w:val="center"/>
              <w:rPr>
                <w:rFonts w:hint="eastAsia" w:ascii="微软雅黑" w:hAnsi="微软雅黑" w:eastAsia="微软雅黑" w:cs="微软雅黑"/>
                <w:i w:val="0"/>
                <w:iCs w:val="0"/>
                <w:color w:val="000000"/>
                <w:sz w:val="22"/>
                <w:szCs w:val="22"/>
                <w:u w:val="none"/>
              </w:rPr>
            </w:pPr>
          </w:p>
        </w:tc>
      </w:tr>
      <w:tr w14:paraId="5EE85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4D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2928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席签</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218E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24*21cm</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442A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300g铜版纸凹痕三道</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DD2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081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C14ED">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764B9">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84575">
            <w:pPr>
              <w:jc w:val="center"/>
              <w:rPr>
                <w:rFonts w:hint="eastAsia" w:ascii="微软雅黑" w:hAnsi="微软雅黑" w:eastAsia="微软雅黑" w:cs="微软雅黑"/>
                <w:i w:val="0"/>
                <w:iCs w:val="0"/>
                <w:color w:val="000000"/>
                <w:sz w:val="22"/>
                <w:szCs w:val="22"/>
                <w:u w:val="none"/>
              </w:rPr>
            </w:pPr>
          </w:p>
        </w:tc>
      </w:tr>
      <w:tr w14:paraId="3DD04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49D8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950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证书</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BA9B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A4</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BEC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皮质内页+外壳</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F6D2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0A58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E2EA8">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C42D">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F11AD">
            <w:pPr>
              <w:jc w:val="center"/>
              <w:rPr>
                <w:rFonts w:hint="eastAsia" w:ascii="微软雅黑" w:hAnsi="微软雅黑" w:eastAsia="微软雅黑" w:cs="微软雅黑"/>
                <w:i w:val="0"/>
                <w:iCs w:val="0"/>
                <w:color w:val="000000"/>
                <w:sz w:val="22"/>
                <w:szCs w:val="22"/>
                <w:u w:val="none"/>
              </w:rPr>
            </w:pPr>
          </w:p>
        </w:tc>
      </w:tr>
      <w:tr w14:paraId="4CB5F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969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FDE0E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主持手卡</w:t>
            </w:r>
          </w:p>
        </w:tc>
        <w:tc>
          <w:tcPr>
            <w:tcW w:w="18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D2665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300g铜版纸单面打印</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A562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11*8cm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B711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99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77DA7">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F068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B5CD6">
            <w:pPr>
              <w:jc w:val="center"/>
              <w:rPr>
                <w:rFonts w:hint="eastAsia" w:ascii="微软雅黑" w:hAnsi="微软雅黑" w:eastAsia="微软雅黑" w:cs="微软雅黑"/>
                <w:i w:val="0"/>
                <w:iCs w:val="0"/>
                <w:color w:val="000000"/>
                <w:sz w:val="22"/>
                <w:szCs w:val="22"/>
                <w:u w:val="none"/>
              </w:rPr>
            </w:pPr>
          </w:p>
        </w:tc>
      </w:tr>
      <w:tr w14:paraId="10827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73E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657B4C">
            <w:pPr>
              <w:jc w:val="center"/>
              <w:rPr>
                <w:rFonts w:hint="eastAsia" w:ascii="微软雅黑" w:hAnsi="微软雅黑" w:eastAsia="微软雅黑" w:cs="微软雅黑"/>
                <w:i w:val="0"/>
                <w:iCs w:val="0"/>
                <w:color w:val="000000"/>
                <w:sz w:val="22"/>
                <w:szCs w:val="22"/>
                <w:u w:val="none"/>
              </w:rPr>
            </w:pPr>
          </w:p>
        </w:tc>
        <w:tc>
          <w:tcPr>
            <w:tcW w:w="18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3D450">
            <w:pPr>
              <w:jc w:val="center"/>
              <w:rPr>
                <w:rFonts w:hint="eastAsia" w:ascii="微软雅黑" w:hAnsi="微软雅黑" w:eastAsia="微软雅黑" w:cs="微软雅黑"/>
                <w:i w:val="0"/>
                <w:iCs w:val="0"/>
                <w:color w:val="000000"/>
                <w:sz w:val="22"/>
                <w:szCs w:val="22"/>
                <w:u w:val="none"/>
              </w:rPr>
            </w:pP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D833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21*14.85cm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C0B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4F3B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张</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DC4D">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4632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90495">
            <w:pPr>
              <w:jc w:val="center"/>
              <w:rPr>
                <w:rFonts w:hint="eastAsia" w:ascii="微软雅黑" w:hAnsi="微软雅黑" w:eastAsia="微软雅黑" w:cs="微软雅黑"/>
                <w:i w:val="0"/>
                <w:iCs w:val="0"/>
                <w:color w:val="000000"/>
                <w:sz w:val="22"/>
                <w:szCs w:val="22"/>
                <w:u w:val="none"/>
              </w:rPr>
            </w:pPr>
          </w:p>
        </w:tc>
      </w:tr>
      <w:tr w14:paraId="49D3F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ABC4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34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专家介绍易拉宝</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12E5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200*80cm</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50B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铝合金易拉宝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3998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77D5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8CFD3">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A159C">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7E1C0">
            <w:pPr>
              <w:jc w:val="center"/>
              <w:rPr>
                <w:rFonts w:hint="eastAsia" w:ascii="微软雅黑" w:hAnsi="微软雅黑" w:eastAsia="微软雅黑" w:cs="微软雅黑"/>
                <w:i w:val="0"/>
                <w:iCs w:val="0"/>
                <w:color w:val="000000"/>
                <w:sz w:val="22"/>
                <w:szCs w:val="22"/>
                <w:u w:val="none"/>
              </w:rPr>
            </w:pPr>
          </w:p>
        </w:tc>
      </w:tr>
      <w:tr w14:paraId="6C146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E0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CA6A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策划及设计服务费</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65B2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会议PPT、背景设计、现场执行、管理</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DC9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5BA4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645D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0CAD">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1DC47">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D7A6B">
            <w:pPr>
              <w:jc w:val="center"/>
              <w:rPr>
                <w:rFonts w:hint="eastAsia" w:ascii="微软雅黑" w:hAnsi="微软雅黑" w:eastAsia="微软雅黑" w:cs="微软雅黑"/>
                <w:i w:val="0"/>
                <w:iCs w:val="0"/>
                <w:color w:val="000000"/>
                <w:sz w:val="22"/>
                <w:szCs w:val="22"/>
                <w:u w:val="none"/>
              </w:rPr>
            </w:pPr>
          </w:p>
        </w:tc>
      </w:tr>
      <w:tr w14:paraId="57EE2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032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0E9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摄影摄像</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2F92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含后期制作及出片</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6FCB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E19E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554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机位</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F07D">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D9C00">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68416">
            <w:pPr>
              <w:jc w:val="center"/>
              <w:rPr>
                <w:rFonts w:hint="eastAsia" w:ascii="微软雅黑" w:hAnsi="微软雅黑" w:eastAsia="微软雅黑" w:cs="微软雅黑"/>
                <w:i w:val="0"/>
                <w:iCs w:val="0"/>
                <w:color w:val="000000"/>
                <w:sz w:val="22"/>
                <w:szCs w:val="22"/>
                <w:u w:val="none"/>
              </w:rPr>
            </w:pPr>
          </w:p>
        </w:tc>
      </w:tr>
      <w:tr w14:paraId="51591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771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F365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礼仪人员</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9DA5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91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含服装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4122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2477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位</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C4483">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6AE54">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48404">
            <w:pPr>
              <w:jc w:val="center"/>
              <w:rPr>
                <w:rFonts w:hint="eastAsia" w:ascii="微软雅黑" w:hAnsi="微软雅黑" w:eastAsia="微软雅黑" w:cs="微软雅黑"/>
                <w:i w:val="0"/>
                <w:iCs w:val="0"/>
                <w:color w:val="000000"/>
                <w:sz w:val="22"/>
                <w:szCs w:val="22"/>
                <w:u w:val="none"/>
              </w:rPr>
            </w:pPr>
          </w:p>
        </w:tc>
      </w:tr>
      <w:tr w14:paraId="2B5F6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7389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D65A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参会证</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819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13*8cm</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588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1mm亚克力双面UV+绳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27B2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F0D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份</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5B24F">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82ACB">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70332">
            <w:pPr>
              <w:jc w:val="center"/>
              <w:rPr>
                <w:rFonts w:hint="eastAsia" w:ascii="微软雅黑" w:hAnsi="微软雅黑" w:eastAsia="微软雅黑" w:cs="微软雅黑"/>
                <w:i w:val="0"/>
                <w:iCs w:val="0"/>
                <w:color w:val="000000"/>
                <w:sz w:val="22"/>
                <w:szCs w:val="22"/>
                <w:u w:val="none"/>
              </w:rPr>
            </w:pPr>
          </w:p>
        </w:tc>
      </w:tr>
      <w:tr w14:paraId="5CA30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63D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90B0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安装人工（进退场）</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4120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E77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402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35CE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工</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FD5CB">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820F6">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7FF4C">
            <w:pPr>
              <w:jc w:val="center"/>
              <w:rPr>
                <w:rFonts w:hint="eastAsia" w:ascii="微软雅黑" w:hAnsi="微软雅黑" w:eastAsia="微软雅黑" w:cs="微软雅黑"/>
                <w:i w:val="0"/>
                <w:iCs w:val="0"/>
                <w:color w:val="000000"/>
                <w:sz w:val="22"/>
                <w:szCs w:val="22"/>
                <w:u w:val="none"/>
              </w:rPr>
            </w:pPr>
          </w:p>
        </w:tc>
      </w:tr>
      <w:tr w14:paraId="5457C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EC6A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1080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笔、矿泉水</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9756F">
            <w:pPr>
              <w:jc w:val="center"/>
              <w:rPr>
                <w:rFonts w:hint="eastAsia" w:ascii="微软雅黑" w:hAnsi="微软雅黑" w:eastAsia="微软雅黑" w:cs="微软雅黑"/>
                <w:i w:val="0"/>
                <w:iCs w:val="0"/>
                <w:color w:val="000000"/>
                <w:sz w:val="22"/>
                <w:szCs w:val="22"/>
                <w:u w:val="none"/>
              </w:rPr>
            </w:pP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75DE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矿泉水300瓶、笔300支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32B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300</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A962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04E27">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0796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CA5A5">
            <w:pPr>
              <w:jc w:val="center"/>
              <w:rPr>
                <w:rFonts w:hint="eastAsia" w:ascii="微软雅黑" w:hAnsi="微软雅黑" w:eastAsia="微软雅黑" w:cs="微软雅黑"/>
                <w:i w:val="0"/>
                <w:iCs w:val="0"/>
                <w:color w:val="000000"/>
                <w:sz w:val="22"/>
                <w:szCs w:val="22"/>
                <w:u w:val="none"/>
              </w:rPr>
            </w:pPr>
          </w:p>
        </w:tc>
      </w:tr>
      <w:tr w14:paraId="50D55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FAEB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EBA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铜牌</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30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50*70cm</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EAD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铜牌+腐蚀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A901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36F9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个</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9D4E2">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13AB5">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CBFAD">
            <w:pPr>
              <w:jc w:val="center"/>
              <w:rPr>
                <w:rFonts w:hint="eastAsia" w:ascii="微软雅黑" w:hAnsi="微软雅黑" w:eastAsia="微软雅黑" w:cs="微软雅黑"/>
                <w:i w:val="0"/>
                <w:iCs w:val="0"/>
                <w:color w:val="000000"/>
                <w:sz w:val="22"/>
                <w:szCs w:val="22"/>
                <w:u w:val="none"/>
              </w:rPr>
            </w:pPr>
          </w:p>
        </w:tc>
      </w:tr>
      <w:tr w14:paraId="1C5BF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DC9B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A7B4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聘书</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27F0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21*29</w:t>
            </w:r>
          </w:p>
        </w:tc>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254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内页+皮质外壳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A91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CA6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本</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1AC14">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5C781">
            <w:pPr>
              <w:jc w:val="center"/>
              <w:rPr>
                <w:rFonts w:hint="eastAsia" w:ascii="微软雅黑" w:hAnsi="微软雅黑" w:eastAsia="微软雅黑" w:cs="微软雅黑"/>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5F2D7">
            <w:pPr>
              <w:jc w:val="center"/>
              <w:rPr>
                <w:rFonts w:hint="eastAsia" w:ascii="微软雅黑" w:hAnsi="微软雅黑" w:eastAsia="微软雅黑" w:cs="微软雅黑"/>
                <w:i w:val="0"/>
                <w:iCs w:val="0"/>
                <w:color w:val="000000"/>
                <w:sz w:val="22"/>
                <w:szCs w:val="22"/>
                <w:u w:val="none"/>
              </w:rPr>
            </w:pPr>
          </w:p>
        </w:tc>
      </w:tr>
      <w:tr w14:paraId="286B2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0" w:type="auto"/>
            <w:gridSpan w:val="6"/>
            <w:tcBorders>
              <w:top w:val="nil"/>
              <w:left w:val="single" w:color="000000" w:sz="4" w:space="0"/>
              <w:bottom w:val="single" w:color="000000" w:sz="4" w:space="0"/>
              <w:right w:val="single" w:color="000000" w:sz="4" w:space="0"/>
            </w:tcBorders>
            <w:shd w:val="clear" w:color="auto" w:fill="auto"/>
            <w:noWrap/>
            <w:vAlign w:val="center"/>
          </w:tcPr>
          <w:p w14:paraId="030D7EA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总计</w:t>
            </w:r>
          </w:p>
        </w:tc>
        <w:tc>
          <w:tcPr>
            <w:tcW w:w="0" w:type="auto"/>
            <w:gridSpan w:val="2"/>
            <w:tcBorders>
              <w:top w:val="nil"/>
              <w:left w:val="single" w:color="000000" w:sz="4" w:space="0"/>
              <w:bottom w:val="single" w:color="000000" w:sz="4" w:space="0"/>
              <w:right w:val="single" w:color="000000" w:sz="4" w:space="0"/>
            </w:tcBorders>
            <w:shd w:val="clear" w:color="auto" w:fill="auto"/>
            <w:noWrap/>
            <w:vAlign w:val="center"/>
          </w:tcPr>
          <w:p w14:paraId="6614C912">
            <w:pPr>
              <w:jc w:val="center"/>
              <w:rPr>
                <w:rFonts w:hint="eastAsia" w:ascii="微软雅黑" w:hAnsi="微软雅黑" w:eastAsia="微软雅黑" w:cs="微软雅黑"/>
                <w:i w:val="0"/>
                <w:iCs w:val="0"/>
                <w:color w:val="000000"/>
                <w:sz w:val="22"/>
                <w:szCs w:val="22"/>
                <w:u w:val="none"/>
              </w:rP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62777EC6">
            <w:pPr>
              <w:rPr>
                <w:rFonts w:hint="eastAsia" w:ascii="宋体" w:hAnsi="宋体" w:eastAsia="宋体" w:cs="宋体"/>
                <w:i w:val="0"/>
                <w:iCs w:val="0"/>
                <w:color w:val="000000"/>
                <w:sz w:val="24"/>
                <w:szCs w:val="24"/>
                <w:u w:val="none"/>
              </w:rPr>
            </w:pPr>
          </w:p>
        </w:tc>
      </w:tr>
    </w:tbl>
    <w:p w14:paraId="2C81BB10">
      <w:pPr>
        <w:pStyle w:val="26"/>
        <w:spacing w:line="360" w:lineRule="auto"/>
        <w:ind w:left="0" w:leftChars="0" w:firstLine="480" w:firstLineChars="200"/>
        <w:rPr>
          <w:rFonts w:hint="eastAsia" w:asciiTheme="majorEastAsia" w:hAnsiTheme="majorEastAsia" w:eastAsiaTheme="majorEastAsia" w:cstheme="majorEastAsia"/>
          <w:bCs/>
          <w:sz w:val="24"/>
          <w:szCs w:val="24"/>
          <w:highlight w:val="none"/>
        </w:rPr>
      </w:pPr>
    </w:p>
    <w:p w14:paraId="2940DDCD">
      <w:pPr>
        <w:pStyle w:val="26"/>
        <w:spacing w:line="360" w:lineRule="auto"/>
        <w:ind w:left="0" w:leftChars="0" w:firstLine="480" w:firstLineChars="200"/>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★投标人可根据以上所列采购要求作为提供货物依据，但所提供货物应相当于或高于招标文件要求，并满足采购需求，否则将作为无效投标。</w:t>
      </w:r>
    </w:p>
    <w:p w14:paraId="0E2364A1">
      <w:pPr>
        <w:pStyle w:val="26"/>
        <w:spacing w:line="360" w:lineRule="auto"/>
        <w:ind w:left="0" w:leftChars="0" w:firstLine="480" w:firstLineChars="200"/>
        <w:rPr>
          <w:rFonts w:hint="eastAsia" w:asciiTheme="majorEastAsia" w:hAnsiTheme="majorEastAsia" w:eastAsiaTheme="majorEastAsia" w:cstheme="majorEastAsia"/>
          <w:bCs/>
          <w:sz w:val="24"/>
          <w:szCs w:val="24"/>
          <w:highlight w:val="none"/>
        </w:rPr>
      </w:pPr>
    </w:p>
    <w:p w14:paraId="404CD7BF">
      <w:pPr>
        <w:spacing w:line="360" w:lineRule="auto"/>
        <w:rPr>
          <w:rFonts w:hint="eastAsia" w:asciiTheme="majorEastAsia" w:hAnsiTheme="majorEastAsia" w:eastAsiaTheme="majorEastAsia" w:cstheme="majorEastAsia"/>
          <w:b/>
          <w:sz w:val="24"/>
          <w:szCs w:val="24"/>
          <w:highlight w:val="none"/>
          <w:lang w:val="en-US" w:eastAsia="zh-CN"/>
        </w:rPr>
      </w:pPr>
      <w:r>
        <w:rPr>
          <w:rFonts w:hint="eastAsia" w:asciiTheme="majorEastAsia" w:hAnsiTheme="majorEastAsia" w:eastAsiaTheme="majorEastAsia" w:cstheme="majorEastAsia"/>
          <w:b/>
          <w:sz w:val="24"/>
          <w:szCs w:val="24"/>
          <w:highlight w:val="none"/>
          <w:lang w:val="en-US" w:eastAsia="zh-CN"/>
        </w:rPr>
        <w:t>三、投标文件组成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6"/>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6"/>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5"/>
        <w:rPr>
          <w:rFonts w:hint="eastAsia" w:ascii="新宋体" w:hAnsi="新宋体" w:eastAsia="新宋体" w:cs="宋体"/>
          <w:b/>
          <w:bCs/>
          <w:kern w:val="0"/>
          <w:sz w:val="32"/>
          <w:szCs w:val="32"/>
          <w:highlight w:val="none"/>
          <w:lang w:val="en-US" w:eastAsia="zh-CN" w:bidi="ar-SA"/>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3"/>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11306"/>
      <w:bookmarkStart w:id="3" w:name="_Toc24825"/>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6"/>
        <w:tblW w:w="11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2443"/>
        <w:gridCol w:w="1117"/>
        <w:gridCol w:w="6559"/>
      </w:tblGrid>
      <w:tr w14:paraId="26859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33CB3234">
            <w:pPr>
              <w:keepLines w:val="0"/>
              <w:pageBreakBefore w:val="0"/>
              <w:kinsoku/>
              <w:overflowPunct/>
              <w:topLinePunct w:val="0"/>
              <w:bidi w:val="0"/>
              <w:snapToGrid w:val="0"/>
              <w:spacing w:line="400" w:lineRule="exact"/>
              <w:ind w:left="-50"/>
              <w:jc w:val="center"/>
              <w:rPr>
                <w:rFonts w:ascii="宋体" w:hAnsi="宋体" w:cs="宋体"/>
                <w:color w:val="000000"/>
                <w:sz w:val="22"/>
                <w:szCs w:val="22"/>
                <w:highlight w:val="none"/>
              </w:rPr>
            </w:pPr>
            <w:r>
              <w:rPr>
                <w:rFonts w:hint="eastAsia" w:ascii="宋体" w:hAnsi="宋体" w:cs="宋体"/>
                <w:color w:val="000000"/>
                <w:sz w:val="22"/>
                <w:szCs w:val="22"/>
                <w:highlight w:val="none"/>
              </w:rPr>
              <w:t>序号</w:t>
            </w:r>
          </w:p>
        </w:tc>
        <w:tc>
          <w:tcPr>
            <w:tcW w:w="2443" w:type="dxa"/>
            <w:tcBorders>
              <w:top w:val="single" w:color="auto" w:sz="4" w:space="0"/>
              <w:left w:val="nil"/>
              <w:bottom w:val="single" w:color="auto" w:sz="4" w:space="0"/>
              <w:right w:val="single" w:color="auto" w:sz="4" w:space="0"/>
            </w:tcBorders>
            <w:noWrap/>
            <w:vAlign w:val="center"/>
          </w:tcPr>
          <w:p w14:paraId="71C803E0">
            <w:pPr>
              <w:keepLines w:val="0"/>
              <w:pageBreakBefore w:val="0"/>
              <w:kinsoku/>
              <w:overflowPunct/>
              <w:topLinePunct w:val="0"/>
              <w:bidi w:val="0"/>
              <w:snapToGrid w:val="0"/>
              <w:spacing w:line="400" w:lineRule="exact"/>
              <w:ind w:left="-50"/>
              <w:jc w:val="center"/>
              <w:rPr>
                <w:rFonts w:ascii="宋体" w:hAnsi="宋体" w:cs="宋体"/>
                <w:color w:val="000000"/>
                <w:sz w:val="22"/>
                <w:szCs w:val="22"/>
                <w:highlight w:val="none"/>
              </w:rPr>
            </w:pPr>
            <w:r>
              <w:rPr>
                <w:rFonts w:hint="eastAsia" w:ascii="宋体" w:hAnsi="宋体" w:cs="宋体"/>
                <w:color w:val="000000"/>
                <w:sz w:val="22"/>
                <w:szCs w:val="22"/>
                <w:highlight w:val="none"/>
              </w:rPr>
              <w:t>评分内容</w:t>
            </w:r>
          </w:p>
        </w:tc>
        <w:tc>
          <w:tcPr>
            <w:tcW w:w="1117" w:type="dxa"/>
            <w:tcBorders>
              <w:top w:val="single" w:color="auto" w:sz="4" w:space="0"/>
              <w:left w:val="nil"/>
              <w:bottom w:val="single" w:color="auto" w:sz="4" w:space="0"/>
              <w:right w:val="single" w:color="auto" w:sz="4" w:space="0"/>
            </w:tcBorders>
            <w:noWrap/>
            <w:vAlign w:val="center"/>
          </w:tcPr>
          <w:p w14:paraId="40467986">
            <w:pPr>
              <w:keepLines w:val="0"/>
              <w:pageBreakBefore w:val="0"/>
              <w:kinsoku/>
              <w:overflowPunct/>
              <w:topLinePunct w:val="0"/>
              <w:bidi w:val="0"/>
              <w:snapToGrid w:val="0"/>
              <w:spacing w:line="400" w:lineRule="exact"/>
              <w:ind w:left="-50"/>
              <w:jc w:val="center"/>
              <w:rPr>
                <w:rFonts w:ascii="宋体" w:hAnsi="宋体" w:cs="宋体"/>
                <w:color w:val="000000"/>
                <w:sz w:val="22"/>
                <w:szCs w:val="22"/>
                <w:highlight w:val="none"/>
              </w:rPr>
            </w:pPr>
            <w:r>
              <w:rPr>
                <w:rFonts w:hint="eastAsia" w:ascii="宋体" w:hAnsi="宋体" w:cs="宋体"/>
                <w:color w:val="000000"/>
                <w:sz w:val="22"/>
                <w:szCs w:val="22"/>
                <w:highlight w:val="none"/>
              </w:rPr>
              <w:t>分值范围</w:t>
            </w:r>
          </w:p>
        </w:tc>
        <w:tc>
          <w:tcPr>
            <w:tcW w:w="6559" w:type="dxa"/>
            <w:tcBorders>
              <w:top w:val="single" w:color="auto" w:sz="4" w:space="0"/>
              <w:left w:val="nil"/>
              <w:bottom w:val="single" w:color="auto" w:sz="4" w:space="0"/>
              <w:right w:val="single" w:color="auto" w:sz="4" w:space="0"/>
            </w:tcBorders>
            <w:noWrap/>
            <w:vAlign w:val="center"/>
          </w:tcPr>
          <w:p w14:paraId="3DAFEC44">
            <w:pPr>
              <w:keepLines w:val="0"/>
              <w:pageBreakBefore w:val="0"/>
              <w:kinsoku/>
              <w:overflowPunct/>
              <w:topLinePunct w:val="0"/>
              <w:bidi w:val="0"/>
              <w:snapToGrid w:val="0"/>
              <w:spacing w:line="400" w:lineRule="exact"/>
              <w:jc w:val="center"/>
              <w:rPr>
                <w:rFonts w:ascii="宋体" w:hAnsi="宋体" w:cs="宋体"/>
                <w:color w:val="000000"/>
                <w:sz w:val="22"/>
                <w:szCs w:val="22"/>
                <w:highlight w:val="none"/>
              </w:rPr>
            </w:pPr>
            <w:r>
              <w:rPr>
                <w:rFonts w:hint="eastAsia" w:ascii="宋体" w:hAnsi="宋体" w:cs="宋体"/>
                <w:color w:val="000000"/>
                <w:sz w:val="22"/>
                <w:szCs w:val="22"/>
                <w:highlight w:val="none"/>
              </w:rPr>
              <w:t>备注</w:t>
            </w:r>
          </w:p>
        </w:tc>
      </w:tr>
      <w:tr w14:paraId="4BB79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267BB0E4">
            <w:pPr>
              <w:keepLines w:val="0"/>
              <w:pageBreakBefore w:val="0"/>
              <w:kinsoku/>
              <w:overflowPunct/>
              <w:topLinePunct w:val="0"/>
              <w:bidi w:val="0"/>
              <w:snapToGrid w:val="0"/>
              <w:spacing w:line="400" w:lineRule="exact"/>
              <w:ind w:left="-50"/>
              <w:jc w:val="center"/>
              <w:rPr>
                <w:rFonts w:hint="eastAsia"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1</w:t>
            </w:r>
          </w:p>
        </w:tc>
        <w:tc>
          <w:tcPr>
            <w:tcW w:w="2443" w:type="dxa"/>
            <w:tcBorders>
              <w:top w:val="single" w:color="auto" w:sz="4" w:space="0"/>
              <w:left w:val="nil"/>
              <w:bottom w:val="single" w:color="auto" w:sz="4" w:space="0"/>
              <w:right w:val="single" w:color="auto" w:sz="4" w:space="0"/>
            </w:tcBorders>
            <w:noWrap/>
            <w:vAlign w:val="center"/>
          </w:tcPr>
          <w:p w14:paraId="1AD05100">
            <w:pPr>
              <w:keepLines w:val="0"/>
              <w:pageBreakBefore w:val="0"/>
              <w:kinsoku/>
              <w:overflowPunct/>
              <w:topLinePunct w:val="0"/>
              <w:bidi w:val="0"/>
              <w:snapToGrid w:val="0"/>
              <w:spacing w:line="400" w:lineRule="exact"/>
              <w:ind w:left="-50"/>
              <w:jc w:val="left"/>
              <w:rPr>
                <w:rFonts w:hint="eastAsia" w:ascii="宋体" w:hAnsi="宋体" w:cs="宋体"/>
                <w:color w:val="000000"/>
                <w:sz w:val="22"/>
                <w:szCs w:val="22"/>
                <w:highlight w:val="none"/>
                <w:lang w:eastAsia="zh-CN"/>
              </w:rPr>
            </w:pPr>
            <w:r>
              <w:rPr>
                <w:rFonts w:hint="eastAsia" w:ascii="新宋体" w:hAnsi="新宋体" w:eastAsia="新宋体" w:cs="新宋体"/>
                <w:color w:val="auto"/>
                <w:sz w:val="22"/>
                <w:szCs w:val="22"/>
                <w:highlight w:val="none"/>
                <w:lang w:val="zh-CN"/>
              </w:rPr>
              <w:t>投标</w:t>
            </w:r>
            <w:r>
              <w:rPr>
                <w:rFonts w:hint="eastAsia" w:ascii="新宋体" w:hAnsi="新宋体" w:eastAsia="新宋体" w:cs="新宋体"/>
                <w:color w:val="auto"/>
                <w:sz w:val="22"/>
                <w:szCs w:val="22"/>
                <w:highlight w:val="none"/>
              </w:rPr>
              <w:t>人情况</w:t>
            </w:r>
          </w:p>
        </w:tc>
        <w:tc>
          <w:tcPr>
            <w:tcW w:w="1117" w:type="dxa"/>
            <w:tcBorders>
              <w:top w:val="single" w:color="auto" w:sz="4" w:space="0"/>
              <w:left w:val="nil"/>
              <w:bottom w:val="single" w:color="auto" w:sz="4" w:space="0"/>
              <w:right w:val="single" w:color="auto" w:sz="4" w:space="0"/>
            </w:tcBorders>
            <w:noWrap/>
            <w:vAlign w:val="center"/>
          </w:tcPr>
          <w:p w14:paraId="7DD1E368">
            <w:pPr>
              <w:keepLines w:val="0"/>
              <w:pageBreakBefore w:val="0"/>
              <w:kinsoku/>
              <w:overflowPunct/>
              <w:topLinePunct w:val="0"/>
              <w:bidi w:val="0"/>
              <w:snapToGrid w:val="0"/>
              <w:spacing w:line="400" w:lineRule="exact"/>
              <w:ind w:left="-50"/>
              <w:jc w:val="center"/>
              <w:rPr>
                <w:rFonts w:hint="eastAsia" w:ascii="宋体" w:hAnsi="宋体" w:eastAsia="新宋体" w:cs="宋体"/>
                <w:color w:val="000000"/>
                <w:sz w:val="22"/>
                <w:szCs w:val="22"/>
                <w:highlight w:val="none"/>
                <w:lang w:eastAsia="zh-CN"/>
              </w:rPr>
            </w:pPr>
            <w:r>
              <w:rPr>
                <w:rFonts w:hint="eastAsia" w:ascii="新宋体" w:hAnsi="新宋体" w:eastAsia="新宋体" w:cs="新宋体"/>
                <w:color w:val="auto"/>
                <w:sz w:val="22"/>
                <w:szCs w:val="22"/>
                <w:highlight w:val="none"/>
                <w:lang w:val="en-US" w:eastAsia="zh-CN"/>
              </w:rPr>
              <w:t>0-3</w:t>
            </w:r>
            <w:r>
              <w:rPr>
                <w:rFonts w:hint="eastAsia" w:ascii="新宋体" w:hAnsi="新宋体" w:eastAsia="新宋体" w:cs="新宋体"/>
                <w:color w:val="auto"/>
                <w:sz w:val="22"/>
                <w:szCs w:val="22"/>
                <w:highlight w:val="none"/>
                <w:lang w:eastAsia="zh-CN"/>
              </w:rPr>
              <w:t>分</w:t>
            </w:r>
          </w:p>
        </w:tc>
        <w:tc>
          <w:tcPr>
            <w:tcW w:w="6559" w:type="dxa"/>
            <w:tcBorders>
              <w:top w:val="single" w:color="auto" w:sz="4" w:space="0"/>
              <w:left w:val="nil"/>
              <w:bottom w:val="single" w:color="auto" w:sz="4" w:space="0"/>
              <w:right w:val="single" w:color="auto" w:sz="4" w:space="0"/>
            </w:tcBorders>
            <w:noWrap/>
            <w:vAlign w:val="center"/>
          </w:tcPr>
          <w:p w14:paraId="0C8E7C25">
            <w:pPr>
              <w:keepLines w:val="0"/>
              <w:pageBreakBefore w:val="0"/>
              <w:kinsoku/>
              <w:overflowPunct/>
              <w:topLinePunct w:val="0"/>
              <w:bidi w:val="0"/>
              <w:spacing w:line="400" w:lineRule="exact"/>
              <w:rPr>
                <w:rFonts w:hint="eastAsia" w:ascii="宋体" w:hAnsi="宋体" w:cs="宋体"/>
                <w:color w:val="000000"/>
                <w:sz w:val="22"/>
                <w:szCs w:val="22"/>
                <w:highlight w:val="none"/>
                <w:lang w:eastAsia="zh-CN"/>
              </w:rPr>
            </w:pPr>
            <w:r>
              <w:rPr>
                <w:rFonts w:hint="eastAsia" w:ascii="新宋体" w:hAnsi="新宋体" w:eastAsia="新宋体" w:cs="新宋体"/>
                <w:color w:val="auto"/>
                <w:sz w:val="22"/>
                <w:szCs w:val="22"/>
                <w:highlight w:val="none"/>
              </w:rPr>
              <w:t>根据投标供应商的企业概况、</w:t>
            </w:r>
            <w:r>
              <w:rPr>
                <w:rFonts w:hint="eastAsia" w:ascii="新宋体" w:hAnsi="新宋体" w:eastAsia="新宋体" w:cs="新宋体"/>
                <w:color w:val="auto"/>
                <w:sz w:val="22"/>
                <w:szCs w:val="22"/>
                <w:highlight w:val="none"/>
                <w:lang w:eastAsia="zh-CN"/>
              </w:rPr>
              <w:t>企业场地等情况</w:t>
            </w:r>
            <w:r>
              <w:rPr>
                <w:rFonts w:hint="eastAsia" w:ascii="新宋体" w:hAnsi="新宋体" w:eastAsia="新宋体" w:cs="新宋体"/>
                <w:color w:val="auto"/>
                <w:sz w:val="22"/>
                <w:szCs w:val="22"/>
                <w:highlight w:val="none"/>
              </w:rPr>
              <w:t>（需提供租赁合同或房产证明复印件加盖公章）等情况进行打分。</w:t>
            </w:r>
          </w:p>
        </w:tc>
      </w:tr>
      <w:tr w14:paraId="664C0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3260D4DD">
            <w:pPr>
              <w:keepLines w:val="0"/>
              <w:pageBreakBefore w:val="0"/>
              <w:kinsoku/>
              <w:overflowPunct/>
              <w:topLinePunct w:val="0"/>
              <w:bidi w:val="0"/>
              <w:snapToGrid w:val="0"/>
              <w:spacing w:line="400" w:lineRule="exact"/>
              <w:ind w:left="-50"/>
              <w:jc w:val="center"/>
              <w:rPr>
                <w:rFonts w:hint="eastAsia" w:ascii="宋体" w:hAnsi="宋体" w:eastAsia="宋体" w:cs="宋体"/>
                <w:color w:val="000000"/>
                <w:sz w:val="22"/>
                <w:szCs w:val="22"/>
                <w:highlight w:val="none"/>
                <w:lang w:eastAsia="zh-CN"/>
              </w:rPr>
            </w:pPr>
            <w:r>
              <w:rPr>
                <w:rFonts w:hint="eastAsia" w:ascii="宋体" w:hAnsi="宋体" w:cs="宋体"/>
                <w:color w:val="000000"/>
                <w:sz w:val="22"/>
                <w:szCs w:val="22"/>
                <w:highlight w:val="none"/>
                <w:lang w:val="en-US" w:eastAsia="zh-CN"/>
              </w:rPr>
              <w:t>2</w:t>
            </w:r>
          </w:p>
        </w:tc>
        <w:tc>
          <w:tcPr>
            <w:tcW w:w="2443" w:type="dxa"/>
            <w:tcBorders>
              <w:top w:val="single" w:color="auto" w:sz="4" w:space="0"/>
              <w:left w:val="nil"/>
              <w:bottom w:val="single" w:color="auto" w:sz="4" w:space="0"/>
              <w:right w:val="single" w:color="auto" w:sz="4" w:space="0"/>
            </w:tcBorders>
            <w:noWrap/>
            <w:vAlign w:val="center"/>
          </w:tcPr>
          <w:p w14:paraId="10902BA6">
            <w:pPr>
              <w:keepLines w:val="0"/>
              <w:pageBreakBefore w:val="0"/>
              <w:kinsoku/>
              <w:overflowPunct/>
              <w:topLinePunct w:val="0"/>
              <w:bidi w:val="0"/>
              <w:snapToGrid w:val="0"/>
              <w:spacing w:line="400" w:lineRule="exact"/>
              <w:ind w:left="-50"/>
              <w:jc w:val="left"/>
              <w:rPr>
                <w:rFonts w:hint="eastAsia" w:ascii="宋体" w:hAnsi="宋体" w:eastAsia="宋体" w:cs="宋体"/>
                <w:color w:val="000000"/>
                <w:sz w:val="22"/>
                <w:szCs w:val="22"/>
                <w:highlight w:val="none"/>
                <w:lang w:eastAsia="zh-CN"/>
              </w:rPr>
            </w:pPr>
            <w:r>
              <w:rPr>
                <w:rFonts w:hint="eastAsia" w:ascii="宋体" w:hAnsi="宋体" w:eastAsia="宋体" w:cs="宋体"/>
                <w:color w:val="auto"/>
                <w:sz w:val="21"/>
                <w:szCs w:val="21"/>
              </w:rPr>
              <w:t>项目人员的安排</w:t>
            </w:r>
          </w:p>
        </w:tc>
        <w:tc>
          <w:tcPr>
            <w:tcW w:w="1117" w:type="dxa"/>
            <w:tcBorders>
              <w:top w:val="single" w:color="auto" w:sz="4" w:space="0"/>
              <w:left w:val="nil"/>
              <w:bottom w:val="single" w:color="auto" w:sz="4" w:space="0"/>
              <w:right w:val="single" w:color="auto" w:sz="4" w:space="0"/>
            </w:tcBorders>
            <w:noWrap/>
            <w:vAlign w:val="center"/>
          </w:tcPr>
          <w:p w14:paraId="63A23A6A">
            <w:pPr>
              <w:keepLines w:val="0"/>
              <w:pageBreakBefore w:val="0"/>
              <w:kinsoku/>
              <w:overflowPunct/>
              <w:topLinePunct w:val="0"/>
              <w:bidi w:val="0"/>
              <w:snapToGrid w:val="0"/>
              <w:spacing w:line="400" w:lineRule="exact"/>
              <w:ind w:left="-50"/>
              <w:jc w:val="center"/>
              <w:rPr>
                <w:rFonts w:ascii="宋体" w:hAnsi="宋体" w:cs="宋体"/>
                <w:color w:val="000000"/>
                <w:sz w:val="22"/>
                <w:szCs w:val="22"/>
                <w:highlight w:val="none"/>
              </w:rPr>
            </w:pPr>
            <w:r>
              <w:rPr>
                <w:rFonts w:hint="eastAsia" w:ascii="宋体" w:hAnsi="宋体" w:cs="宋体"/>
                <w:color w:val="000000"/>
                <w:sz w:val="22"/>
                <w:szCs w:val="22"/>
                <w:highlight w:val="none"/>
              </w:rPr>
              <w:t>0-5分</w:t>
            </w:r>
          </w:p>
        </w:tc>
        <w:tc>
          <w:tcPr>
            <w:tcW w:w="6559" w:type="dxa"/>
            <w:tcBorders>
              <w:top w:val="single" w:color="auto" w:sz="4" w:space="0"/>
              <w:left w:val="nil"/>
              <w:bottom w:val="single" w:color="auto" w:sz="4" w:space="0"/>
              <w:right w:val="single" w:color="auto" w:sz="4" w:space="0"/>
            </w:tcBorders>
            <w:noWrap/>
            <w:vAlign w:val="center"/>
          </w:tcPr>
          <w:p w14:paraId="3A226806">
            <w:pPr>
              <w:pageBreakBefore w:val="0"/>
              <w:kinsoku/>
              <w:overflowPunct w:val="0"/>
              <w:topLinePunct w:val="0"/>
              <w:bidi w:val="0"/>
              <w:spacing w:line="400" w:lineRule="exact"/>
              <w:rPr>
                <w:rFonts w:hint="default" w:ascii="宋体" w:hAnsi="宋体" w:eastAsia="宋体" w:cs="宋体"/>
                <w:b/>
                <w:bCs/>
                <w:color w:val="000000"/>
                <w:sz w:val="22"/>
                <w:szCs w:val="22"/>
                <w:highlight w:val="none"/>
                <w:lang w:val="en-US" w:eastAsia="zh-CN"/>
              </w:rPr>
            </w:pPr>
            <w:r>
              <w:rPr>
                <w:rFonts w:hint="eastAsia" w:ascii="宋体" w:hAnsi="宋体" w:eastAsia="宋体" w:cs="宋体"/>
                <w:color w:val="auto"/>
                <w:sz w:val="21"/>
                <w:szCs w:val="21"/>
              </w:rPr>
              <w:t>由评委根据投标供应商拟投入本项目人员情况进行评议</w:t>
            </w:r>
            <w:r>
              <w:rPr>
                <w:rFonts w:hint="eastAsia" w:ascii="宋体" w:hAnsi="宋体" w:eastAsia="宋体" w:cs="宋体"/>
                <w:color w:val="auto"/>
                <w:sz w:val="21"/>
                <w:szCs w:val="21"/>
                <w:lang w:eastAsia="zh-CN"/>
              </w:rPr>
              <w:t>。</w:t>
            </w:r>
          </w:p>
        </w:tc>
      </w:tr>
      <w:tr w14:paraId="2BA8C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3FA759B9">
            <w:pPr>
              <w:keepLines w:val="0"/>
              <w:pageBreakBefore w:val="0"/>
              <w:kinsoku/>
              <w:overflowPunct/>
              <w:topLinePunct w:val="0"/>
              <w:bidi w:val="0"/>
              <w:snapToGrid w:val="0"/>
              <w:spacing w:line="400" w:lineRule="exact"/>
              <w:ind w:left="-50"/>
              <w:jc w:val="center"/>
              <w:rPr>
                <w:rFonts w:hint="default" w:ascii="宋体" w:hAnsi="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3</w:t>
            </w:r>
          </w:p>
        </w:tc>
        <w:tc>
          <w:tcPr>
            <w:tcW w:w="2443" w:type="dxa"/>
            <w:tcBorders>
              <w:top w:val="single" w:color="auto" w:sz="4" w:space="0"/>
              <w:left w:val="nil"/>
              <w:bottom w:val="single" w:color="auto" w:sz="4" w:space="0"/>
              <w:right w:val="single" w:color="auto" w:sz="4" w:space="0"/>
            </w:tcBorders>
            <w:noWrap/>
            <w:vAlign w:val="center"/>
          </w:tcPr>
          <w:p w14:paraId="37CA50FA">
            <w:pPr>
              <w:keepLines w:val="0"/>
              <w:pageBreakBefore w:val="0"/>
              <w:kinsoku/>
              <w:overflowPunct/>
              <w:topLinePunct w:val="0"/>
              <w:bidi w:val="0"/>
              <w:snapToGrid w:val="0"/>
              <w:spacing w:line="400" w:lineRule="exact"/>
              <w:jc w:val="left"/>
              <w:rPr>
                <w:rStyle w:val="28"/>
                <w:rFonts w:hint="eastAsia" w:ascii="宋体" w:hAnsi="宋体" w:eastAsia="宋体" w:cs="宋体"/>
                <w:b w:val="0"/>
                <w:bCs w:val="0"/>
                <w:lang w:val="en-US" w:eastAsia="zh-CN" w:bidi="ar"/>
              </w:rPr>
            </w:pPr>
            <w:r>
              <w:rPr>
                <w:rStyle w:val="28"/>
                <w:rFonts w:hint="eastAsia" w:ascii="宋体" w:hAnsi="宋体" w:eastAsia="宋体" w:cs="宋体"/>
                <w:b w:val="0"/>
                <w:bCs w:val="0"/>
                <w:lang w:val="en-US" w:eastAsia="zh-CN" w:bidi="ar"/>
              </w:rPr>
              <w:t>设计方案科学性、合理性及效果</w:t>
            </w:r>
          </w:p>
        </w:tc>
        <w:tc>
          <w:tcPr>
            <w:tcW w:w="1117" w:type="dxa"/>
            <w:tcBorders>
              <w:top w:val="single" w:color="auto" w:sz="4" w:space="0"/>
              <w:left w:val="nil"/>
              <w:bottom w:val="single" w:color="auto" w:sz="4" w:space="0"/>
              <w:right w:val="single" w:color="auto" w:sz="4" w:space="0"/>
            </w:tcBorders>
            <w:noWrap/>
            <w:vAlign w:val="center"/>
          </w:tcPr>
          <w:p w14:paraId="63452723">
            <w:pPr>
              <w:keepLines w:val="0"/>
              <w:pageBreakBefore w:val="0"/>
              <w:kinsoku/>
              <w:overflowPunct/>
              <w:topLinePunct w:val="0"/>
              <w:bidi w:val="0"/>
              <w:snapToGrid w:val="0"/>
              <w:spacing w:line="400" w:lineRule="exact"/>
              <w:ind w:left="-50"/>
              <w:jc w:val="center"/>
              <w:rPr>
                <w:rFonts w:hint="default" w:ascii="宋体" w:hAnsi="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0-20分</w:t>
            </w:r>
          </w:p>
        </w:tc>
        <w:tc>
          <w:tcPr>
            <w:tcW w:w="6559" w:type="dxa"/>
            <w:tcBorders>
              <w:top w:val="single" w:color="auto" w:sz="4" w:space="0"/>
              <w:left w:val="nil"/>
              <w:bottom w:val="single" w:color="auto" w:sz="4" w:space="0"/>
              <w:right w:val="single" w:color="auto" w:sz="4" w:space="0"/>
            </w:tcBorders>
            <w:noWrap/>
            <w:vAlign w:val="center"/>
          </w:tcPr>
          <w:p w14:paraId="677691E0">
            <w:pPr>
              <w:keepLines w:val="0"/>
              <w:pageBreakBefore w:val="0"/>
              <w:widowControl/>
              <w:kinsoku/>
              <w:overflowPunct/>
              <w:topLinePunct w:val="0"/>
              <w:bidi w:val="0"/>
              <w:adjustRightInd w:val="0"/>
              <w:snapToGrid w:val="0"/>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由评委根据投标供应商</w:t>
            </w:r>
            <w:r>
              <w:rPr>
                <w:rStyle w:val="28"/>
                <w:rFonts w:hint="eastAsia" w:ascii="宋体" w:hAnsi="宋体" w:eastAsia="宋体" w:cs="宋体"/>
                <w:b w:val="0"/>
                <w:bCs w:val="0"/>
                <w:lang w:val="en-US" w:eastAsia="zh-CN" w:bidi="ar"/>
              </w:rPr>
              <w:t>针对场地的策划、设计方案</w:t>
            </w:r>
            <w:r>
              <w:rPr>
                <w:rFonts w:hint="eastAsia" w:ascii="宋体" w:hAnsi="宋体" w:eastAsia="宋体" w:cs="宋体"/>
                <w:color w:val="auto"/>
                <w:sz w:val="21"/>
                <w:szCs w:val="21"/>
              </w:rPr>
              <w:t>进行评议</w:t>
            </w:r>
            <w:r>
              <w:rPr>
                <w:rFonts w:hint="eastAsia" w:ascii="宋体" w:hAnsi="宋体" w:eastAsia="宋体" w:cs="宋体"/>
                <w:color w:val="auto"/>
                <w:sz w:val="21"/>
                <w:szCs w:val="21"/>
                <w:lang w:eastAsia="zh-CN"/>
              </w:rPr>
              <w:t>。</w:t>
            </w:r>
          </w:p>
        </w:tc>
      </w:tr>
      <w:tr w14:paraId="2CBF7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7B3A74D6">
            <w:pPr>
              <w:keepLines w:val="0"/>
              <w:pageBreakBefore w:val="0"/>
              <w:kinsoku/>
              <w:overflowPunct/>
              <w:topLinePunct w:val="0"/>
              <w:bidi w:val="0"/>
              <w:snapToGrid w:val="0"/>
              <w:spacing w:line="400" w:lineRule="exact"/>
              <w:ind w:left="-50"/>
              <w:jc w:val="center"/>
              <w:rPr>
                <w:rFonts w:hint="eastAsia"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4</w:t>
            </w:r>
          </w:p>
        </w:tc>
        <w:tc>
          <w:tcPr>
            <w:tcW w:w="2443" w:type="dxa"/>
            <w:tcBorders>
              <w:top w:val="single" w:color="auto" w:sz="4" w:space="0"/>
              <w:left w:val="nil"/>
              <w:bottom w:val="single" w:color="auto" w:sz="4" w:space="0"/>
              <w:right w:val="single" w:color="auto" w:sz="4" w:space="0"/>
            </w:tcBorders>
            <w:noWrap/>
            <w:vAlign w:val="center"/>
          </w:tcPr>
          <w:p w14:paraId="1561B7D2">
            <w:pPr>
              <w:keepLines w:val="0"/>
              <w:pageBreakBefore w:val="0"/>
              <w:kinsoku/>
              <w:overflowPunct/>
              <w:topLinePunct w:val="0"/>
              <w:bidi w:val="0"/>
              <w:snapToGrid w:val="0"/>
              <w:spacing w:line="400" w:lineRule="exact"/>
              <w:jc w:val="left"/>
              <w:rPr>
                <w:rFonts w:hint="eastAsia" w:ascii="宋体" w:hAnsi="宋体" w:eastAsia="宋体" w:cs="宋体"/>
                <w:color w:val="000000"/>
                <w:sz w:val="22"/>
                <w:szCs w:val="22"/>
                <w:highlight w:val="none"/>
                <w:lang w:eastAsia="zh-CN"/>
              </w:rPr>
            </w:pPr>
            <w:r>
              <w:rPr>
                <w:rStyle w:val="28"/>
                <w:rFonts w:hint="eastAsia" w:ascii="宋体" w:hAnsi="宋体" w:eastAsia="宋体" w:cs="宋体"/>
                <w:b w:val="0"/>
                <w:bCs w:val="0"/>
                <w:lang w:val="en-US" w:eastAsia="zh-CN" w:bidi="ar"/>
              </w:rPr>
              <w:t>样品设计效果图</w:t>
            </w:r>
            <w:r>
              <w:rPr>
                <w:rFonts w:hint="eastAsia" w:ascii="宋体" w:hAnsi="宋体" w:cs="宋体"/>
                <w:color w:val="000000"/>
                <w:sz w:val="22"/>
                <w:szCs w:val="22"/>
                <w:highlight w:val="none"/>
                <w:lang w:eastAsia="zh-CN"/>
              </w:rPr>
              <w:t>美观度</w:t>
            </w:r>
          </w:p>
        </w:tc>
        <w:tc>
          <w:tcPr>
            <w:tcW w:w="1117" w:type="dxa"/>
            <w:tcBorders>
              <w:top w:val="single" w:color="auto" w:sz="4" w:space="0"/>
              <w:left w:val="nil"/>
              <w:bottom w:val="single" w:color="auto" w:sz="4" w:space="0"/>
              <w:right w:val="single" w:color="auto" w:sz="4" w:space="0"/>
            </w:tcBorders>
            <w:noWrap/>
            <w:vAlign w:val="center"/>
          </w:tcPr>
          <w:p w14:paraId="6670928E">
            <w:pPr>
              <w:keepLines w:val="0"/>
              <w:pageBreakBefore w:val="0"/>
              <w:kinsoku/>
              <w:overflowPunct/>
              <w:topLinePunct w:val="0"/>
              <w:bidi w:val="0"/>
              <w:snapToGrid w:val="0"/>
              <w:spacing w:line="400" w:lineRule="exact"/>
              <w:ind w:left="-50"/>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0-20</w:t>
            </w:r>
            <w:r>
              <w:rPr>
                <w:rFonts w:hint="eastAsia" w:ascii="宋体" w:hAnsi="宋体" w:cs="宋体"/>
                <w:color w:val="000000"/>
                <w:sz w:val="22"/>
                <w:szCs w:val="22"/>
                <w:highlight w:val="none"/>
              </w:rPr>
              <w:t>分</w:t>
            </w:r>
          </w:p>
        </w:tc>
        <w:tc>
          <w:tcPr>
            <w:tcW w:w="6559" w:type="dxa"/>
            <w:tcBorders>
              <w:top w:val="single" w:color="auto" w:sz="4" w:space="0"/>
              <w:left w:val="nil"/>
              <w:bottom w:val="single" w:color="auto" w:sz="4" w:space="0"/>
              <w:right w:val="single" w:color="auto" w:sz="4" w:space="0"/>
            </w:tcBorders>
            <w:noWrap/>
            <w:vAlign w:val="center"/>
          </w:tcPr>
          <w:p w14:paraId="762EC4AB">
            <w:pPr>
              <w:keepLines w:val="0"/>
              <w:pageBreakBefore w:val="0"/>
              <w:widowControl/>
              <w:kinsoku/>
              <w:overflowPunct/>
              <w:topLinePunct w:val="0"/>
              <w:bidi w:val="0"/>
              <w:adjustRightInd w:val="0"/>
              <w:snapToGrid w:val="0"/>
              <w:spacing w:line="400" w:lineRule="exact"/>
              <w:rPr>
                <w:rFonts w:hint="eastAsia" w:ascii="宋体" w:hAnsi="宋体" w:eastAsia="宋体" w:cs="宋体"/>
                <w:color w:val="000000"/>
                <w:sz w:val="22"/>
                <w:szCs w:val="22"/>
                <w:highlight w:val="none"/>
                <w:lang w:eastAsia="zh-CN"/>
              </w:rPr>
            </w:pPr>
            <w:r>
              <w:rPr>
                <w:rFonts w:hint="eastAsia" w:ascii="宋体" w:hAnsi="宋体" w:eastAsia="宋体" w:cs="宋体"/>
                <w:color w:val="auto"/>
                <w:sz w:val="21"/>
                <w:szCs w:val="21"/>
              </w:rPr>
              <w:t>投标供应商</w:t>
            </w:r>
            <w:r>
              <w:rPr>
                <w:rStyle w:val="28"/>
                <w:rFonts w:hint="eastAsia" w:ascii="宋体" w:hAnsi="宋体" w:eastAsia="宋体" w:cs="宋体"/>
                <w:b w:val="0"/>
                <w:bCs w:val="0"/>
                <w:lang w:val="en-US" w:eastAsia="zh-CN" w:bidi="ar"/>
              </w:rPr>
              <w:t>结合过往项目经验、清单内容及温州市第七人民医院特色，提供的样品设计效果图参考。评委依据投标人提供的资料评分。</w:t>
            </w:r>
          </w:p>
        </w:tc>
      </w:tr>
      <w:tr w14:paraId="64412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7354DD2C">
            <w:pPr>
              <w:keepLines w:val="0"/>
              <w:pageBreakBefore w:val="0"/>
              <w:kinsoku/>
              <w:overflowPunct/>
              <w:topLinePunct w:val="0"/>
              <w:bidi w:val="0"/>
              <w:snapToGrid w:val="0"/>
              <w:spacing w:line="400" w:lineRule="exact"/>
              <w:ind w:left="-50"/>
              <w:jc w:val="center"/>
              <w:rPr>
                <w:rFonts w:hint="default" w:ascii="宋体" w:hAnsi="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5</w:t>
            </w:r>
          </w:p>
        </w:tc>
        <w:tc>
          <w:tcPr>
            <w:tcW w:w="2443" w:type="dxa"/>
            <w:tcBorders>
              <w:top w:val="single" w:color="auto" w:sz="4" w:space="0"/>
              <w:left w:val="nil"/>
              <w:bottom w:val="single" w:color="auto" w:sz="4" w:space="0"/>
              <w:right w:val="single" w:color="auto" w:sz="4" w:space="0"/>
            </w:tcBorders>
            <w:noWrap/>
            <w:vAlign w:val="center"/>
          </w:tcPr>
          <w:p w14:paraId="17C26084">
            <w:pPr>
              <w:keepLines w:val="0"/>
              <w:pageBreakBefore w:val="0"/>
              <w:kinsoku/>
              <w:overflowPunct/>
              <w:topLinePunct w:val="0"/>
              <w:bidi w:val="0"/>
              <w:snapToGrid w:val="0"/>
              <w:spacing w:line="400" w:lineRule="exact"/>
              <w:ind w:left="-50"/>
              <w:jc w:val="left"/>
              <w:rPr>
                <w:rFonts w:hint="eastAsia" w:ascii="宋体" w:hAnsi="宋体" w:cs="宋体"/>
                <w:color w:val="000000"/>
                <w:sz w:val="22"/>
                <w:szCs w:val="22"/>
                <w:highlight w:val="none"/>
                <w:lang w:eastAsia="zh-CN"/>
              </w:rPr>
            </w:pPr>
            <w:r>
              <w:rPr>
                <w:rFonts w:hint="eastAsia" w:ascii="宋体" w:hAnsi="宋体" w:cs="宋体"/>
                <w:color w:val="000000"/>
                <w:sz w:val="22"/>
                <w:szCs w:val="22"/>
                <w:highlight w:val="none"/>
                <w:lang w:eastAsia="zh-CN"/>
              </w:rPr>
              <w:t>实施方案的合理性、可实施性</w:t>
            </w:r>
          </w:p>
        </w:tc>
        <w:tc>
          <w:tcPr>
            <w:tcW w:w="1117" w:type="dxa"/>
            <w:tcBorders>
              <w:top w:val="single" w:color="auto" w:sz="4" w:space="0"/>
              <w:left w:val="nil"/>
              <w:bottom w:val="single" w:color="auto" w:sz="4" w:space="0"/>
              <w:right w:val="single" w:color="auto" w:sz="4" w:space="0"/>
            </w:tcBorders>
            <w:noWrap/>
            <w:vAlign w:val="center"/>
          </w:tcPr>
          <w:p w14:paraId="3EB753F5">
            <w:pPr>
              <w:keepLines w:val="0"/>
              <w:pageBreakBefore w:val="0"/>
              <w:kinsoku/>
              <w:overflowPunct/>
              <w:topLinePunct w:val="0"/>
              <w:bidi w:val="0"/>
              <w:snapToGrid w:val="0"/>
              <w:spacing w:line="400" w:lineRule="exact"/>
              <w:ind w:left="-50"/>
              <w:jc w:val="center"/>
              <w:rPr>
                <w:rFonts w:hint="default" w:ascii="宋体" w:hAnsi="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0-20</w:t>
            </w:r>
            <w:r>
              <w:rPr>
                <w:rFonts w:hint="eastAsia" w:ascii="宋体" w:hAnsi="宋体" w:cs="宋体"/>
                <w:color w:val="000000"/>
                <w:sz w:val="22"/>
                <w:szCs w:val="22"/>
                <w:highlight w:val="none"/>
              </w:rPr>
              <w:t>分</w:t>
            </w:r>
          </w:p>
        </w:tc>
        <w:tc>
          <w:tcPr>
            <w:tcW w:w="6559" w:type="dxa"/>
            <w:tcBorders>
              <w:top w:val="single" w:color="auto" w:sz="4" w:space="0"/>
              <w:left w:val="nil"/>
              <w:bottom w:val="single" w:color="auto" w:sz="4" w:space="0"/>
              <w:right w:val="single" w:color="auto" w:sz="4" w:space="0"/>
            </w:tcBorders>
            <w:noWrap/>
            <w:vAlign w:val="center"/>
          </w:tcPr>
          <w:p w14:paraId="6CAAF77C">
            <w:pPr>
              <w:keepLines w:val="0"/>
              <w:pageBreakBefore w:val="0"/>
              <w:widowControl/>
              <w:kinsoku/>
              <w:overflowPunct/>
              <w:topLinePunct w:val="0"/>
              <w:bidi w:val="0"/>
              <w:adjustRightInd w:val="0"/>
              <w:snapToGrid w:val="0"/>
              <w:spacing w:line="400" w:lineRule="exact"/>
              <w:rPr>
                <w:rStyle w:val="28"/>
                <w:rFonts w:hint="eastAsia" w:ascii="宋体" w:hAnsi="宋体" w:eastAsia="宋体" w:cs="宋体"/>
                <w:b w:val="0"/>
                <w:bCs w:val="0"/>
                <w:lang w:val="en-US" w:eastAsia="zh-CN" w:bidi="ar"/>
              </w:rPr>
            </w:pPr>
            <w:r>
              <w:rPr>
                <w:rStyle w:val="28"/>
                <w:rFonts w:hint="eastAsia" w:ascii="宋体" w:hAnsi="宋体" w:eastAsia="宋体" w:cs="宋体"/>
                <w:b w:val="0"/>
                <w:bCs w:val="0"/>
                <w:lang w:val="en-US" w:eastAsia="zh-CN" w:bidi="ar"/>
              </w:rPr>
              <w:t>评委依据</w:t>
            </w:r>
            <w:r>
              <w:rPr>
                <w:rFonts w:hint="eastAsia" w:ascii="宋体" w:hAnsi="宋体" w:eastAsia="宋体" w:cs="宋体"/>
                <w:color w:val="auto"/>
                <w:sz w:val="21"/>
                <w:szCs w:val="21"/>
              </w:rPr>
              <w:t>投标供应商</w:t>
            </w:r>
            <w:r>
              <w:rPr>
                <w:rStyle w:val="28"/>
                <w:rFonts w:hint="eastAsia" w:ascii="宋体" w:hAnsi="宋体" w:eastAsia="宋体" w:cs="宋体"/>
                <w:b w:val="0"/>
                <w:bCs w:val="0"/>
                <w:lang w:val="en-US" w:eastAsia="zh-CN" w:bidi="ar"/>
              </w:rPr>
              <w:t>针本项目的实施方案的</w:t>
            </w:r>
            <w:r>
              <w:rPr>
                <w:rFonts w:hint="eastAsia" w:ascii="宋体" w:hAnsi="宋体" w:cs="宋体"/>
                <w:color w:val="000000"/>
                <w:sz w:val="22"/>
                <w:szCs w:val="22"/>
                <w:highlight w:val="none"/>
                <w:lang w:eastAsia="zh-CN"/>
              </w:rPr>
              <w:t>合理性、可实施性予以评分</w:t>
            </w:r>
            <w:r>
              <w:rPr>
                <w:rStyle w:val="28"/>
                <w:rFonts w:hint="eastAsia" w:ascii="宋体" w:hAnsi="宋体" w:eastAsia="宋体" w:cs="宋体"/>
                <w:b w:val="0"/>
                <w:bCs w:val="0"/>
                <w:lang w:val="en-US" w:eastAsia="zh-CN" w:bidi="ar"/>
              </w:rPr>
              <w:t>。</w:t>
            </w:r>
          </w:p>
        </w:tc>
      </w:tr>
      <w:tr w14:paraId="23A67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5C9720F4">
            <w:pPr>
              <w:keepLines w:val="0"/>
              <w:pageBreakBefore w:val="0"/>
              <w:kinsoku/>
              <w:overflowPunct/>
              <w:topLinePunct w:val="0"/>
              <w:bidi w:val="0"/>
              <w:snapToGrid w:val="0"/>
              <w:spacing w:line="400" w:lineRule="exact"/>
              <w:ind w:left="-50"/>
              <w:jc w:val="center"/>
              <w:rPr>
                <w:rFonts w:hint="default" w:ascii="宋体" w:hAnsi="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6</w:t>
            </w:r>
          </w:p>
        </w:tc>
        <w:tc>
          <w:tcPr>
            <w:tcW w:w="2443" w:type="dxa"/>
            <w:tcBorders>
              <w:top w:val="single" w:color="auto" w:sz="4" w:space="0"/>
              <w:left w:val="nil"/>
              <w:bottom w:val="single" w:color="auto" w:sz="4" w:space="0"/>
              <w:right w:val="single" w:color="auto" w:sz="4" w:space="0"/>
            </w:tcBorders>
            <w:noWrap/>
            <w:vAlign w:val="center"/>
          </w:tcPr>
          <w:p w14:paraId="2422FD5A">
            <w:pPr>
              <w:keepLines w:val="0"/>
              <w:pageBreakBefore w:val="0"/>
              <w:kinsoku/>
              <w:overflowPunct/>
              <w:topLinePunct w:val="0"/>
              <w:bidi w:val="0"/>
              <w:snapToGrid w:val="0"/>
              <w:spacing w:line="400" w:lineRule="exact"/>
              <w:ind w:left="-50"/>
              <w:jc w:val="left"/>
              <w:rPr>
                <w:rFonts w:hint="eastAsia" w:ascii="宋体" w:hAnsi="宋体" w:cs="宋体"/>
                <w:color w:val="000000"/>
                <w:sz w:val="22"/>
                <w:szCs w:val="22"/>
                <w:highlight w:val="none"/>
                <w:lang w:eastAsia="zh-CN"/>
              </w:rPr>
            </w:pPr>
            <w:r>
              <w:rPr>
                <w:rFonts w:hint="eastAsia" w:ascii="新宋体" w:hAnsi="新宋体" w:eastAsia="新宋体" w:cs="新宋体"/>
                <w:color w:val="auto"/>
                <w:sz w:val="22"/>
                <w:szCs w:val="22"/>
                <w:highlight w:val="none"/>
              </w:rPr>
              <w:t>应急预案</w:t>
            </w:r>
          </w:p>
        </w:tc>
        <w:tc>
          <w:tcPr>
            <w:tcW w:w="1117" w:type="dxa"/>
            <w:tcBorders>
              <w:top w:val="single" w:color="auto" w:sz="4" w:space="0"/>
              <w:left w:val="nil"/>
              <w:bottom w:val="single" w:color="auto" w:sz="4" w:space="0"/>
              <w:right w:val="single" w:color="auto" w:sz="4" w:space="0"/>
            </w:tcBorders>
            <w:noWrap/>
            <w:vAlign w:val="center"/>
          </w:tcPr>
          <w:p w14:paraId="281CAFF6">
            <w:pPr>
              <w:keepLines w:val="0"/>
              <w:pageBreakBefore w:val="0"/>
              <w:kinsoku/>
              <w:overflowPunct/>
              <w:topLinePunct w:val="0"/>
              <w:bidi w:val="0"/>
              <w:snapToGrid w:val="0"/>
              <w:spacing w:line="400" w:lineRule="exact"/>
              <w:ind w:left="-50"/>
              <w:jc w:val="center"/>
              <w:rPr>
                <w:rFonts w:hint="default" w:ascii="宋体" w:hAnsi="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0-12</w:t>
            </w:r>
            <w:r>
              <w:rPr>
                <w:rFonts w:hint="eastAsia" w:ascii="宋体" w:hAnsi="宋体" w:cs="宋体"/>
                <w:color w:val="000000"/>
                <w:sz w:val="22"/>
                <w:szCs w:val="22"/>
                <w:highlight w:val="none"/>
              </w:rPr>
              <w:t>分</w:t>
            </w:r>
          </w:p>
        </w:tc>
        <w:tc>
          <w:tcPr>
            <w:tcW w:w="6559" w:type="dxa"/>
            <w:tcBorders>
              <w:top w:val="single" w:color="auto" w:sz="4" w:space="0"/>
              <w:left w:val="nil"/>
              <w:bottom w:val="single" w:color="auto" w:sz="4" w:space="0"/>
              <w:right w:val="single" w:color="auto" w:sz="4" w:space="0"/>
            </w:tcBorders>
            <w:noWrap/>
            <w:vAlign w:val="center"/>
          </w:tcPr>
          <w:p w14:paraId="597CD298">
            <w:pPr>
              <w:keepLines w:val="0"/>
              <w:pageBreakBefore w:val="0"/>
              <w:widowControl/>
              <w:kinsoku/>
              <w:overflowPunct/>
              <w:topLinePunct w:val="0"/>
              <w:bidi w:val="0"/>
              <w:adjustRightInd w:val="0"/>
              <w:snapToGrid w:val="0"/>
              <w:spacing w:line="400" w:lineRule="exact"/>
              <w:rPr>
                <w:rStyle w:val="28"/>
                <w:rFonts w:hint="eastAsia" w:ascii="宋体" w:hAnsi="宋体" w:eastAsia="宋体" w:cs="宋体"/>
                <w:b w:val="0"/>
                <w:bCs w:val="0"/>
                <w:lang w:val="en-US" w:eastAsia="zh-CN" w:bidi="ar"/>
              </w:rPr>
            </w:pPr>
            <w:r>
              <w:rPr>
                <w:rFonts w:hint="eastAsia" w:ascii="宋体" w:hAnsi="宋体" w:eastAsia="宋体" w:cs="宋体"/>
                <w:color w:val="auto"/>
                <w:sz w:val="21"/>
                <w:szCs w:val="21"/>
              </w:rPr>
              <w:t>投标供应商</w:t>
            </w:r>
            <w:r>
              <w:rPr>
                <w:rStyle w:val="28"/>
                <w:rFonts w:hint="eastAsia" w:ascii="宋体" w:hAnsi="宋体" w:eastAsia="宋体" w:cs="宋体"/>
                <w:b w:val="0"/>
                <w:bCs w:val="0"/>
                <w:lang w:val="en-US" w:eastAsia="zh-CN" w:bidi="ar"/>
              </w:rPr>
              <w:t>针对本项目实施过程中可能发生的问题所制定的应急方案、瑕疵品解决方案，如场地临时变动等情况的处理。</w:t>
            </w:r>
          </w:p>
        </w:tc>
      </w:tr>
    </w:tbl>
    <w:p w14:paraId="297D94E3">
      <w:pPr>
        <w:bidi w:val="0"/>
        <w:spacing w:line="360" w:lineRule="auto"/>
        <w:rPr>
          <w:rFonts w:hint="eastAsia" w:asciiTheme="majorEastAsia" w:hAnsiTheme="majorEastAsia" w:eastAsiaTheme="majorEastAsia" w:cstheme="majorEastAsia"/>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20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（4）投标人所报总价不得超过预算金额，否则当无效标处理。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3EB56DF5">
      <w:pPr>
        <w:spacing w:line="360" w:lineRule="auto"/>
        <w:rPr>
          <w:rFonts w:hint="default"/>
          <w:highlight w:val="none"/>
          <w:lang w:val="en-US" w:eastAsia="zh-CN"/>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06FFCED7">
      <w:pPr>
        <w:rPr>
          <w:rFonts w:hint="default"/>
          <w:highlight w:val="none"/>
          <w:lang w:val="en-US" w:eastAsia="zh-CN"/>
        </w:rPr>
      </w:pPr>
      <w:r>
        <w:rPr>
          <w:rFonts w:hint="eastAsia" w:ascii="新宋体" w:hAnsi="新宋体" w:eastAsia="新宋体" w:cs="宋体"/>
          <w:b/>
          <w:bCs/>
          <w:kern w:val="0"/>
          <w:sz w:val="32"/>
          <w:szCs w:val="32"/>
          <w:highlight w:val="none"/>
          <w:lang w:val="en-US" w:eastAsia="zh-CN" w:bidi="ar-SA"/>
        </w:rPr>
        <w:br w:type="page"/>
      </w:r>
    </w:p>
    <w:p w14:paraId="02E7E808">
      <w:pPr>
        <w:rPr>
          <w:rFonts w:hint="default"/>
          <w:highlight w:val="none"/>
          <w:lang w:val="en-US" w:eastAsia="zh-CN"/>
        </w:rPr>
      </w:pPr>
    </w:p>
    <w:p w14:paraId="3D39A930">
      <w:pPr>
        <w:rPr>
          <w:rFonts w:hint="default"/>
          <w:highlight w:val="none"/>
          <w:lang w:val="en-US" w:eastAsia="zh-CN"/>
        </w:rPr>
      </w:pPr>
    </w:p>
    <w:p w14:paraId="7992F6A3">
      <w:pPr>
        <w:rPr>
          <w:rFonts w:hint="default"/>
          <w:highlight w:val="none"/>
          <w:lang w:val="en-US" w:eastAsia="zh-CN"/>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0932B61D">
      <w:pPr>
        <w:widowControl/>
        <w:spacing w:line="360" w:lineRule="auto"/>
        <w:jc w:val="left"/>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3"/>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3"/>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6"/>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0CA478D"/>
    <w:rsid w:val="01735F55"/>
    <w:rsid w:val="01920F12"/>
    <w:rsid w:val="02444CFE"/>
    <w:rsid w:val="02702D13"/>
    <w:rsid w:val="02AE55E9"/>
    <w:rsid w:val="03A32C74"/>
    <w:rsid w:val="03B81543"/>
    <w:rsid w:val="03BE5308"/>
    <w:rsid w:val="04137DFA"/>
    <w:rsid w:val="041E1407"/>
    <w:rsid w:val="043A5387"/>
    <w:rsid w:val="046C7126"/>
    <w:rsid w:val="048177A5"/>
    <w:rsid w:val="05104339"/>
    <w:rsid w:val="05252DE6"/>
    <w:rsid w:val="054935FC"/>
    <w:rsid w:val="057D45C7"/>
    <w:rsid w:val="05B2719F"/>
    <w:rsid w:val="05B41DF3"/>
    <w:rsid w:val="063437DC"/>
    <w:rsid w:val="063F15D1"/>
    <w:rsid w:val="0663284C"/>
    <w:rsid w:val="06770E4D"/>
    <w:rsid w:val="07F608F1"/>
    <w:rsid w:val="084367D4"/>
    <w:rsid w:val="09181A0E"/>
    <w:rsid w:val="09682EB8"/>
    <w:rsid w:val="09701596"/>
    <w:rsid w:val="09EF276F"/>
    <w:rsid w:val="09F47D86"/>
    <w:rsid w:val="0ABB16FD"/>
    <w:rsid w:val="0B280B93"/>
    <w:rsid w:val="0B9E1294"/>
    <w:rsid w:val="0C3E373D"/>
    <w:rsid w:val="0C48260B"/>
    <w:rsid w:val="0C811679"/>
    <w:rsid w:val="0C9814B5"/>
    <w:rsid w:val="0CD74F4E"/>
    <w:rsid w:val="0DCF4D92"/>
    <w:rsid w:val="0DD57DA6"/>
    <w:rsid w:val="0E1D50C2"/>
    <w:rsid w:val="0E2B3F92"/>
    <w:rsid w:val="0FC6104D"/>
    <w:rsid w:val="102D3FF1"/>
    <w:rsid w:val="10F36FE9"/>
    <w:rsid w:val="110E0BAC"/>
    <w:rsid w:val="114C494B"/>
    <w:rsid w:val="11CB32F9"/>
    <w:rsid w:val="127B54E8"/>
    <w:rsid w:val="12B22195"/>
    <w:rsid w:val="13823917"/>
    <w:rsid w:val="13CA1F19"/>
    <w:rsid w:val="13DD44F2"/>
    <w:rsid w:val="144E2A5F"/>
    <w:rsid w:val="14E32ED1"/>
    <w:rsid w:val="16325C9C"/>
    <w:rsid w:val="16B234A2"/>
    <w:rsid w:val="173845ED"/>
    <w:rsid w:val="17FD24FB"/>
    <w:rsid w:val="182201B4"/>
    <w:rsid w:val="187B02C7"/>
    <w:rsid w:val="18F00A8A"/>
    <w:rsid w:val="19431CF1"/>
    <w:rsid w:val="196C08F1"/>
    <w:rsid w:val="19A54BF8"/>
    <w:rsid w:val="1A846F04"/>
    <w:rsid w:val="1AAF0E80"/>
    <w:rsid w:val="1AC51655"/>
    <w:rsid w:val="1ADA6B24"/>
    <w:rsid w:val="1B6D2EC4"/>
    <w:rsid w:val="1B943177"/>
    <w:rsid w:val="1BCD3B84"/>
    <w:rsid w:val="1BD532AE"/>
    <w:rsid w:val="1C275729"/>
    <w:rsid w:val="1C8431EB"/>
    <w:rsid w:val="1D525097"/>
    <w:rsid w:val="1E05197A"/>
    <w:rsid w:val="1EEA7AC6"/>
    <w:rsid w:val="1F090697"/>
    <w:rsid w:val="1F7B5265"/>
    <w:rsid w:val="1FD92A7D"/>
    <w:rsid w:val="20140D2A"/>
    <w:rsid w:val="203B6D03"/>
    <w:rsid w:val="20AC4ABE"/>
    <w:rsid w:val="20BE4494"/>
    <w:rsid w:val="21116909"/>
    <w:rsid w:val="213056EF"/>
    <w:rsid w:val="214B19AF"/>
    <w:rsid w:val="21E30D42"/>
    <w:rsid w:val="22201238"/>
    <w:rsid w:val="22617B2B"/>
    <w:rsid w:val="23FA2DFB"/>
    <w:rsid w:val="24156E1F"/>
    <w:rsid w:val="242D0576"/>
    <w:rsid w:val="24BE3012"/>
    <w:rsid w:val="250003E1"/>
    <w:rsid w:val="250032EF"/>
    <w:rsid w:val="25396B3D"/>
    <w:rsid w:val="25C12DBA"/>
    <w:rsid w:val="2601367E"/>
    <w:rsid w:val="260E1459"/>
    <w:rsid w:val="26647BE9"/>
    <w:rsid w:val="26CB1FFA"/>
    <w:rsid w:val="277327DA"/>
    <w:rsid w:val="278A02F5"/>
    <w:rsid w:val="27BA6FBE"/>
    <w:rsid w:val="282707F3"/>
    <w:rsid w:val="290B7C96"/>
    <w:rsid w:val="29CC6E69"/>
    <w:rsid w:val="2A24600D"/>
    <w:rsid w:val="2A4B17EC"/>
    <w:rsid w:val="2B0D5F6D"/>
    <w:rsid w:val="2B683928"/>
    <w:rsid w:val="2C025EDA"/>
    <w:rsid w:val="2C8402CC"/>
    <w:rsid w:val="2C9F3729"/>
    <w:rsid w:val="2CD25DAF"/>
    <w:rsid w:val="2D381852"/>
    <w:rsid w:val="2DDA4C9A"/>
    <w:rsid w:val="2DE55AB4"/>
    <w:rsid w:val="2DFA155F"/>
    <w:rsid w:val="2E0C3A22"/>
    <w:rsid w:val="2E0D1483"/>
    <w:rsid w:val="2EBB4BEE"/>
    <w:rsid w:val="319C6045"/>
    <w:rsid w:val="31B41C0A"/>
    <w:rsid w:val="31D54EF7"/>
    <w:rsid w:val="31EB11BF"/>
    <w:rsid w:val="32351D06"/>
    <w:rsid w:val="32A83B15"/>
    <w:rsid w:val="33395E7A"/>
    <w:rsid w:val="3345781A"/>
    <w:rsid w:val="33950813"/>
    <w:rsid w:val="33CD3272"/>
    <w:rsid w:val="33EA7980"/>
    <w:rsid w:val="356419B4"/>
    <w:rsid w:val="3648297A"/>
    <w:rsid w:val="365A27C8"/>
    <w:rsid w:val="3694744F"/>
    <w:rsid w:val="36A80E8E"/>
    <w:rsid w:val="376D7696"/>
    <w:rsid w:val="37894282"/>
    <w:rsid w:val="378C2AA9"/>
    <w:rsid w:val="38C43CA9"/>
    <w:rsid w:val="3B781D15"/>
    <w:rsid w:val="3BE55E13"/>
    <w:rsid w:val="3C4B3FC2"/>
    <w:rsid w:val="3C990FCB"/>
    <w:rsid w:val="3D7E46A8"/>
    <w:rsid w:val="3DF81D2A"/>
    <w:rsid w:val="3E0B58B7"/>
    <w:rsid w:val="3E5E1BF9"/>
    <w:rsid w:val="3E75078E"/>
    <w:rsid w:val="3ECF1148"/>
    <w:rsid w:val="3F1F65DD"/>
    <w:rsid w:val="3FB757CD"/>
    <w:rsid w:val="3FEE56D0"/>
    <w:rsid w:val="40034CE0"/>
    <w:rsid w:val="40D7128C"/>
    <w:rsid w:val="413F4786"/>
    <w:rsid w:val="41DF2AEE"/>
    <w:rsid w:val="42162BD2"/>
    <w:rsid w:val="423A5616"/>
    <w:rsid w:val="42E12896"/>
    <w:rsid w:val="42E303BC"/>
    <w:rsid w:val="436B215F"/>
    <w:rsid w:val="43703F00"/>
    <w:rsid w:val="43F319C0"/>
    <w:rsid w:val="43F53D29"/>
    <w:rsid w:val="45B84D5C"/>
    <w:rsid w:val="46217054"/>
    <w:rsid w:val="46226C7C"/>
    <w:rsid w:val="46254F1A"/>
    <w:rsid w:val="47B02837"/>
    <w:rsid w:val="48A905A4"/>
    <w:rsid w:val="49044BE8"/>
    <w:rsid w:val="491D3EFC"/>
    <w:rsid w:val="498D2E30"/>
    <w:rsid w:val="49F45D1E"/>
    <w:rsid w:val="4A5C0AFE"/>
    <w:rsid w:val="4B2D35EC"/>
    <w:rsid w:val="4B3F63AB"/>
    <w:rsid w:val="4B6173B9"/>
    <w:rsid w:val="4BA12BC2"/>
    <w:rsid w:val="4BF1634C"/>
    <w:rsid w:val="4C7240D0"/>
    <w:rsid w:val="4D4C6D24"/>
    <w:rsid w:val="4D8412CA"/>
    <w:rsid w:val="4DD17574"/>
    <w:rsid w:val="4E53118F"/>
    <w:rsid w:val="4E535E94"/>
    <w:rsid w:val="4EBC7D13"/>
    <w:rsid w:val="4ED67027"/>
    <w:rsid w:val="4EDE2193"/>
    <w:rsid w:val="4EE01C53"/>
    <w:rsid w:val="4F156EDC"/>
    <w:rsid w:val="4FA17CA6"/>
    <w:rsid w:val="4FEB04D1"/>
    <w:rsid w:val="514840EF"/>
    <w:rsid w:val="51E97071"/>
    <w:rsid w:val="524547A9"/>
    <w:rsid w:val="525613B6"/>
    <w:rsid w:val="52741FD4"/>
    <w:rsid w:val="54ED444E"/>
    <w:rsid w:val="55961CE5"/>
    <w:rsid w:val="56B72E79"/>
    <w:rsid w:val="57DF67F9"/>
    <w:rsid w:val="585039A6"/>
    <w:rsid w:val="5A807902"/>
    <w:rsid w:val="5B044F1C"/>
    <w:rsid w:val="5B235531"/>
    <w:rsid w:val="5BB300C0"/>
    <w:rsid w:val="5C3F2F33"/>
    <w:rsid w:val="5C7E30BB"/>
    <w:rsid w:val="5C7E5810"/>
    <w:rsid w:val="5CA54D24"/>
    <w:rsid w:val="5D5B41FF"/>
    <w:rsid w:val="5D7F0889"/>
    <w:rsid w:val="5D944335"/>
    <w:rsid w:val="5DBF01BE"/>
    <w:rsid w:val="5DEE5043"/>
    <w:rsid w:val="5E117222"/>
    <w:rsid w:val="5E4775F9"/>
    <w:rsid w:val="5E5674C7"/>
    <w:rsid w:val="5EA17159"/>
    <w:rsid w:val="5EEB267A"/>
    <w:rsid w:val="5F8748DA"/>
    <w:rsid w:val="5FDE1234"/>
    <w:rsid w:val="61E6537B"/>
    <w:rsid w:val="621E2D67"/>
    <w:rsid w:val="62AA45FB"/>
    <w:rsid w:val="63604C33"/>
    <w:rsid w:val="63653CAD"/>
    <w:rsid w:val="63F7532D"/>
    <w:rsid w:val="647B1A55"/>
    <w:rsid w:val="65561E5B"/>
    <w:rsid w:val="6573295C"/>
    <w:rsid w:val="6582360D"/>
    <w:rsid w:val="65B5026D"/>
    <w:rsid w:val="65C14135"/>
    <w:rsid w:val="65D17642"/>
    <w:rsid w:val="661701F9"/>
    <w:rsid w:val="667761EE"/>
    <w:rsid w:val="669D6869"/>
    <w:rsid w:val="66EB7B2A"/>
    <w:rsid w:val="67201A8D"/>
    <w:rsid w:val="673E0C66"/>
    <w:rsid w:val="675170DC"/>
    <w:rsid w:val="68413EEA"/>
    <w:rsid w:val="69643755"/>
    <w:rsid w:val="69DC26B1"/>
    <w:rsid w:val="6A2151A2"/>
    <w:rsid w:val="6C6D4A58"/>
    <w:rsid w:val="6D154D66"/>
    <w:rsid w:val="6D905053"/>
    <w:rsid w:val="6E542593"/>
    <w:rsid w:val="6E573888"/>
    <w:rsid w:val="6ECD3B4B"/>
    <w:rsid w:val="6F556684"/>
    <w:rsid w:val="70134ABB"/>
    <w:rsid w:val="70377E36"/>
    <w:rsid w:val="70B3479D"/>
    <w:rsid w:val="70F75741"/>
    <w:rsid w:val="712029B9"/>
    <w:rsid w:val="7174432C"/>
    <w:rsid w:val="728C5ACB"/>
    <w:rsid w:val="7298621E"/>
    <w:rsid w:val="72B76A57"/>
    <w:rsid w:val="745B5217"/>
    <w:rsid w:val="74C01E69"/>
    <w:rsid w:val="74D64461"/>
    <w:rsid w:val="74DE02E5"/>
    <w:rsid w:val="755C628B"/>
    <w:rsid w:val="755E58D5"/>
    <w:rsid w:val="75995B4F"/>
    <w:rsid w:val="76036494"/>
    <w:rsid w:val="761360D7"/>
    <w:rsid w:val="76992E80"/>
    <w:rsid w:val="76DE455C"/>
    <w:rsid w:val="77F03ED5"/>
    <w:rsid w:val="78A44248"/>
    <w:rsid w:val="78C935D5"/>
    <w:rsid w:val="78C95383"/>
    <w:rsid w:val="794E57F6"/>
    <w:rsid w:val="79BF70EF"/>
    <w:rsid w:val="7A434CC1"/>
    <w:rsid w:val="7A9A058E"/>
    <w:rsid w:val="7ADB139D"/>
    <w:rsid w:val="7B68601A"/>
    <w:rsid w:val="7B713AB0"/>
    <w:rsid w:val="7BE349AD"/>
    <w:rsid w:val="7C38637B"/>
    <w:rsid w:val="7C4C159F"/>
    <w:rsid w:val="7C857813"/>
    <w:rsid w:val="7CC935D6"/>
    <w:rsid w:val="7DE25B31"/>
    <w:rsid w:val="7E1F77F3"/>
    <w:rsid w:val="7E9D2BEE"/>
    <w:rsid w:val="7F361298"/>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4">
    <w:name w:val="Body Text First Indent"/>
    <w:basedOn w:val="6"/>
    <w:qFormat/>
    <w:uiPriority w:val="0"/>
    <w:pPr>
      <w:ind w:firstLine="420" w:firstLineChars="100"/>
    </w:pPr>
    <w:rPr>
      <w:b/>
      <w:bCs/>
      <w:szCs w:val="24"/>
    </w:rPr>
  </w:style>
  <w:style w:type="paragraph" w:styleId="15">
    <w:name w:val="Body Text First Indent 2"/>
    <w:basedOn w:val="7"/>
    <w:qFormat/>
    <w:uiPriority w:val="0"/>
    <w:pPr>
      <w:spacing w:after="120"/>
      <w:ind w:left="420" w:leftChars="200" w:firstLine="420"/>
    </w:pPr>
    <w:rPr>
      <w:rFonts w:cs="宋体"/>
      <w:sz w:val="21"/>
      <w:szCs w:val="21"/>
    </w:rPr>
  </w:style>
  <w:style w:type="table" w:styleId="17">
    <w:name w:val="Table Grid"/>
    <w:basedOn w:val="16"/>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paragraph" w:customStyle="1" w:styleId="20">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1">
    <w:name w:val="标题 1 字符"/>
    <w:link w:val="2"/>
    <w:qFormat/>
    <w:uiPriority w:val="0"/>
    <w:rPr>
      <w:rFonts w:eastAsia="黑体"/>
      <w:b/>
      <w:sz w:val="32"/>
      <w:szCs w:val="20"/>
    </w:rPr>
  </w:style>
  <w:style w:type="paragraph" w:styleId="22">
    <w:name w:val="List Paragraph"/>
    <w:basedOn w:val="1"/>
    <w:qFormat/>
    <w:uiPriority w:val="0"/>
    <w:pPr>
      <w:ind w:firstLine="420" w:firstLineChars="200"/>
    </w:pPr>
    <w:rPr>
      <w:rFonts w:ascii="Calibri" w:hAnsi="Calibri"/>
      <w:szCs w:val="22"/>
    </w:rPr>
  </w:style>
  <w:style w:type="paragraph" w:customStyle="1" w:styleId="23">
    <w:name w:val="保留正文"/>
    <w:basedOn w:val="6"/>
    <w:qFormat/>
    <w:uiPriority w:val="0"/>
  </w:style>
  <w:style w:type="table" w:customStyle="1" w:styleId="24">
    <w:name w:val="Table Normal"/>
    <w:unhideWhenUsed/>
    <w:qFormat/>
    <w:uiPriority w:val="0"/>
    <w:tblPr>
      <w:tblCellMar>
        <w:top w:w="0" w:type="dxa"/>
        <w:left w:w="0" w:type="dxa"/>
        <w:bottom w:w="0" w:type="dxa"/>
        <w:right w:w="0" w:type="dxa"/>
      </w:tblCellMar>
    </w:tblPr>
  </w:style>
  <w:style w:type="paragraph" w:customStyle="1" w:styleId="25">
    <w:name w:val="Table Text"/>
    <w:basedOn w:val="1"/>
    <w:semiHidden/>
    <w:qFormat/>
    <w:uiPriority w:val="0"/>
    <w:rPr>
      <w:rFonts w:ascii="宋体" w:hAnsi="宋体" w:eastAsia="宋体" w:cs="宋体"/>
      <w:sz w:val="21"/>
      <w:szCs w:val="21"/>
      <w:lang w:val="en-US" w:eastAsia="en-US" w:bidi="ar-SA"/>
    </w:rPr>
  </w:style>
  <w:style w:type="paragraph" w:customStyle="1" w:styleId="26">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7">
    <w:name w:val="列出段落1"/>
    <w:basedOn w:val="1"/>
    <w:qFormat/>
    <w:uiPriority w:val="0"/>
    <w:pPr>
      <w:ind w:firstLine="420" w:firstLineChars="200"/>
    </w:pPr>
    <w:rPr>
      <w:szCs w:val="21"/>
    </w:rPr>
  </w:style>
  <w:style w:type="character" w:customStyle="1" w:styleId="28">
    <w:name w:val="font21"/>
    <w:basedOn w:val="18"/>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4354</Words>
  <Characters>4794</Characters>
  <Lines>0</Lines>
  <Paragraphs>0</Paragraphs>
  <TotalTime>8</TotalTime>
  <ScaleCrop>false</ScaleCrop>
  <LinksUpToDate>false</LinksUpToDate>
  <CharactersWithSpaces>5555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2024-11-11T00:02:20Z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