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0FE231">
      <w:pPr>
        <w:rPr>
          <w:rFonts w:ascii="新宋体" w:hAnsi="新宋体" w:eastAsia="新宋体" w:cs="新宋体"/>
          <w:b/>
          <w:bCs/>
          <w:spacing w:val="30"/>
          <w:sz w:val="56"/>
          <w:szCs w:val="56"/>
        </w:rPr>
      </w:pPr>
    </w:p>
    <w:p w14:paraId="22703E11">
      <w:pPr>
        <w:jc w:val="center"/>
        <w:rPr>
          <w:rFonts w:ascii="新宋体" w:hAnsi="新宋体" w:eastAsia="新宋体"/>
          <w:b/>
          <w:bCs/>
          <w:spacing w:val="140"/>
          <w:sz w:val="72"/>
        </w:rPr>
      </w:pPr>
      <w:r>
        <w:rPr>
          <w:rFonts w:hint="eastAsia" w:ascii="新宋体" w:hAnsi="新宋体" w:eastAsia="新宋体" w:cs="新宋体"/>
          <w:b/>
          <w:bCs/>
          <w:spacing w:val="30"/>
          <w:sz w:val="56"/>
          <w:szCs w:val="56"/>
        </w:rPr>
        <w:t>温 州 市 第 七 人 民 医 院</w:t>
      </w:r>
    </w:p>
    <w:p w14:paraId="2962A730">
      <w:pPr>
        <w:adjustRightInd w:val="0"/>
        <w:snapToGrid w:val="0"/>
        <w:spacing w:line="480" w:lineRule="auto"/>
        <w:ind w:right="361"/>
        <w:rPr>
          <w:rFonts w:ascii="新宋体" w:hAnsi="新宋体" w:eastAsia="新宋体"/>
          <w:b/>
          <w:bCs/>
          <w:sz w:val="84"/>
          <w:szCs w:val="84"/>
        </w:rPr>
      </w:pPr>
    </w:p>
    <w:p w14:paraId="41BFF21B">
      <w:pPr>
        <w:adjustRightInd w:val="0"/>
        <w:snapToGrid w:val="0"/>
        <w:spacing w:line="480" w:lineRule="auto"/>
        <w:ind w:right="361"/>
        <w:jc w:val="center"/>
        <w:rPr>
          <w:rFonts w:ascii="新宋体" w:hAnsi="新宋体" w:eastAsia="新宋体"/>
          <w:sz w:val="84"/>
          <w:szCs w:val="84"/>
        </w:rPr>
      </w:pPr>
      <w:r>
        <w:rPr>
          <w:rFonts w:hint="eastAsia" w:ascii="新宋体" w:hAnsi="新宋体" w:eastAsia="新宋体"/>
          <w:b/>
          <w:bCs/>
          <w:sz w:val="84"/>
          <w:szCs w:val="84"/>
        </w:rPr>
        <w:t>比 选 文 件</w:t>
      </w:r>
    </w:p>
    <w:p w14:paraId="0DDFD44C">
      <w:pPr>
        <w:ind w:firstLine="1140" w:firstLineChars="300"/>
        <w:rPr>
          <w:rFonts w:ascii="新宋体" w:hAnsi="新宋体" w:eastAsia="新宋体"/>
          <w:spacing w:val="40"/>
          <w:sz w:val="30"/>
          <w:szCs w:val="30"/>
        </w:rPr>
      </w:pPr>
    </w:p>
    <w:p w14:paraId="14353D7C">
      <w:pPr>
        <w:ind w:firstLine="1140" w:firstLineChars="300"/>
        <w:rPr>
          <w:rFonts w:ascii="新宋体" w:hAnsi="新宋体" w:eastAsia="新宋体"/>
          <w:spacing w:val="40"/>
          <w:sz w:val="30"/>
          <w:szCs w:val="30"/>
        </w:rPr>
      </w:pPr>
    </w:p>
    <w:p w14:paraId="17DB3382">
      <w:pPr>
        <w:ind w:firstLine="1140" w:firstLineChars="300"/>
        <w:rPr>
          <w:rFonts w:ascii="新宋体" w:hAnsi="新宋体" w:eastAsia="新宋体"/>
          <w:spacing w:val="40"/>
          <w:sz w:val="30"/>
          <w:szCs w:val="30"/>
        </w:rPr>
      </w:pPr>
    </w:p>
    <w:p w14:paraId="436D8F7B">
      <w:pPr>
        <w:adjustRightInd w:val="0"/>
        <w:snapToGrid w:val="0"/>
        <w:spacing w:line="720" w:lineRule="auto"/>
        <w:ind w:firstLine="1285" w:firstLineChars="400"/>
        <w:rPr>
          <w:rFonts w:ascii="宋体" w:hAnsi="宋体" w:cs="宋体"/>
          <w:b/>
          <w:bCs/>
          <w:spacing w:val="40"/>
          <w:sz w:val="28"/>
          <w:szCs w:val="28"/>
          <w:highlight w:val="yellow"/>
        </w:rPr>
      </w:pPr>
      <w:r>
        <w:rPr>
          <w:rFonts w:hint="eastAsia" w:ascii="宋体" w:hAnsi="宋体" w:cs="宋体"/>
          <w:b/>
          <w:bCs/>
          <w:color w:val="000000"/>
          <w:kern w:val="0"/>
          <w:sz w:val="32"/>
          <w:szCs w:val="32"/>
        </w:rPr>
        <w:t>项目名称：</w:t>
      </w:r>
      <w:bookmarkStart w:id="0" w:name="OLE_LINK1"/>
      <w:r>
        <w:rPr>
          <w:rFonts w:hint="eastAsia" w:ascii="宋体" w:hAnsi="宋体" w:cs="宋体"/>
          <w:b/>
          <w:bCs/>
          <w:color w:val="000000"/>
          <w:kern w:val="0"/>
          <w:sz w:val="28"/>
          <w:szCs w:val="28"/>
          <w:lang w:eastAsia="zh-CN"/>
        </w:rPr>
        <w:t>鹿城区</w:t>
      </w:r>
      <w:bookmarkStart w:id="1" w:name="OLE_LINK2"/>
      <w:r>
        <w:rPr>
          <w:rFonts w:hint="eastAsia" w:ascii="宋体" w:hAnsi="宋体" w:eastAsia="宋体" w:cs="宋体"/>
          <w:b/>
          <w:bCs/>
          <w:color w:val="000000"/>
          <w:kern w:val="0"/>
          <w:sz w:val="28"/>
          <w:szCs w:val="28"/>
          <w:lang w:val="en-US" w:eastAsia="zh-CN"/>
        </w:rPr>
        <w:t>人民路及市区重点商圈户外LED</w:t>
      </w:r>
      <w:bookmarkEnd w:id="0"/>
      <w:r>
        <w:rPr>
          <w:rFonts w:hint="eastAsia" w:ascii="宋体" w:hAnsi="宋体" w:eastAsia="宋体" w:cs="宋体"/>
          <w:b/>
          <w:bCs/>
          <w:color w:val="000000"/>
          <w:kern w:val="0"/>
          <w:sz w:val="28"/>
          <w:szCs w:val="28"/>
          <w:lang w:val="en-US" w:eastAsia="zh-CN"/>
        </w:rPr>
        <w:t>广告投播项目</w:t>
      </w:r>
      <w:bookmarkEnd w:id="1"/>
    </w:p>
    <w:p w14:paraId="089AD347">
      <w:pPr>
        <w:adjustRightInd w:val="0"/>
        <w:snapToGrid w:val="0"/>
        <w:spacing w:line="720" w:lineRule="auto"/>
        <w:ind w:firstLine="1204" w:firstLineChars="300"/>
        <w:rPr>
          <w:rFonts w:ascii="宋体" w:hAnsi="宋体" w:cs="宋体"/>
          <w:b/>
          <w:bCs/>
          <w:sz w:val="32"/>
          <w:szCs w:val="32"/>
        </w:rPr>
      </w:pPr>
      <w:r>
        <w:rPr>
          <w:rFonts w:hint="eastAsia" w:ascii="宋体" w:hAnsi="宋体" w:cs="宋体"/>
          <w:b/>
          <w:bCs/>
          <w:spacing w:val="40"/>
          <w:sz w:val="32"/>
          <w:szCs w:val="32"/>
        </w:rPr>
        <w:t>采购方式：</w:t>
      </w:r>
      <w:r>
        <w:rPr>
          <w:rFonts w:hint="eastAsia" w:ascii="宋体" w:hAnsi="宋体" w:cs="宋体"/>
          <w:b/>
          <w:bCs/>
          <w:color w:val="000000"/>
          <w:kern w:val="0"/>
          <w:sz w:val="32"/>
          <w:szCs w:val="32"/>
        </w:rPr>
        <w:t>公开比选</w:t>
      </w:r>
    </w:p>
    <w:p w14:paraId="3EFEB105">
      <w:pPr>
        <w:adjustRightInd w:val="0"/>
        <w:snapToGrid w:val="0"/>
        <w:spacing w:line="720" w:lineRule="auto"/>
        <w:ind w:firstLine="1204" w:firstLineChars="300"/>
        <w:rPr>
          <w:rFonts w:ascii="宋体" w:hAnsi="宋体" w:cs="宋体"/>
          <w:b/>
          <w:bCs/>
          <w:spacing w:val="30"/>
          <w:sz w:val="32"/>
          <w:szCs w:val="32"/>
        </w:rPr>
      </w:pPr>
      <w:r>
        <w:rPr>
          <w:rFonts w:hint="eastAsia" w:ascii="宋体" w:hAnsi="宋体" w:cs="宋体"/>
          <w:b/>
          <w:bCs/>
          <w:spacing w:val="40"/>
          <w:sz w:val="32"/>
          <w:szCs w:val="32"/>
        </w:rPr>
        <w:t>招 标 人：</w:t>
      </w:r>
      <w:r>
        <w:rPr>
          <w:rFonts w:hint="eastAsia" w:ascii="宋体" w:hAnsi="宋体" w:cs="宋体"/>
          <w:b/>
          <w:bCs/>
          <w:spacing w:val="30"/>
          <w:sz w:val="32"/>
          <w:szCs w:val="32"/>
        </w:rPr>
        <w:t>温州市第七人民医院</w:t>
      </w:r>
    </w:p>
    <w:p w14:paraId="3C9D0A33">
      <w:pPr>
        <w:adjustRightInd w:val="0"/>
        <w:snapToGrid w:val="0"/>
        <w:spacing w:line="720" w:lineRule="auto"/>
        <w:ind w:firstLine="1204" w:firstLineChars="300"/>
        <w:rPr>
          <w:rFonts w:ascii="新宋体" w:hAnsi="新宋体" w:eastAsia="新宋体"/>
          <w:b/>
          <w:bCs/>
          <w:spacing w:val="40"/>
          <w:sz w:val="32"/>
          <w:szCs w:val="28"/>
        </w:rPr>
      </w:pPr>
      <w:r>
        <w:rPr>
          <w:rFonts w:hint="eastAsia" w:ascii="宋体" w:hAnsi="宋体" w:cs="宋体"/>
          <w:b/>
          <w:bCs/>
          <w:spacing w:val="40"/>
          <w:sz w:val="32"/>
          <w:szCs w:val="32"/>
        </w:rPr>
        <w:t>采购日期：</w:t>
      </w:r>
      <w:r>
        <w:rPr>
          <w:rFonts w:hint="eastAsia" w:ascii="新宋体" w:hAnsi="新宋体" w:eastAsia="新宋体"/>
          <w:b/>
          <w:bCs/>
          <w:spacing w:val="40"/>
          <w:sz w:val="32"/>
          <w:szCs w:val="28"/>
        </w:rPr>
        <w:t>二〇二四年</w:t>
      </w:r>
      <w:r>
        <w:rPr>
          <w:rFonts w:hint="eastAsia" w:ascii="新宋体" w:hAnsi="新宋体" w:eastAsia="新宋体"/>
          <w:b/>
          <w:bCs/>
          <w:spacing w:val="40"/>
          <w:sz w:val="32"/>
          <w:szCs w:val="28"/>
          <w:lang w:eastAsia="zh-CN"/>
        </w:rPr>
        <w:t>十</w:t>
      </w:r>
      <w:r>
        <w:rPr>
          <w:rFonts w:hint="eastAsia" w:ascii="新宋体" w:hAnsi="新宋体" w:eastAsia="新宋体"/>
          <w:b/>
          <w:bCs/>
          <w:spacing w:val="40"/>
          <w:sz w:val="32"/>
          <w:szCs w:val="28"/>
        </w:rPr>
        <w:t>月</w:t>
      </w:r>
    </w:p>
    <w:p w14:paraId="7CDE835C">
      <w:pPr>
        <w:adjustRightInd w:val="0"/>
        <w:snapToGrid w:val="0"/>
        <w:spacing w:line="720" w:lineRule="auto"/>
        <w:ind w:firstLine="1140" w:firstLineChars="300"/>
        <w:rPr>
          <w:rFonts w:ascii="宋体" w:hAnsi="宋体" w:cs="宋体"/>
          <w:spacing w:val="30"/>
          <w:sz w:val="32"/>
          <w:szCs w:val="32"/>
        </w:rPr>
      </w:pPr>
    </w:p>
    <w:p w14:paraId="767D0D88">
      <w:pPr>
        <w:adjustRightInd w:val="0"/>
        <w:snapToGrid w:val="0"/>
        <w:spacing w:line="720" w:lineRule="auto"/>
        <w:jc w:val="center"/>
        <w:rPr>
          <w:rFonts w:ascii="新宋体" w:hAnsi="新宋体" w:eastAsia="新宋体"/>
          <w:spacing w:val="40"/>
          <w:sz w:val="28"/>
        </w:rPr>
      </w:pPr>
      <w:r>
        <w:rPr>
          <w:rFonts w:hint="eastAsia" w:ascii="新宋体" w:hAnsi="新宋体" w:eastAsia="新宋体"/>
          <w:spacing w:val="30"/>
          <w:sz w:val="30"/>
        </w:rPr>
        <w:t xml:space="preserve"> </w:t>
      </w:r>
    </w:p>
    <w:p w14:paraId="1060F096">
      <w:pPr>
        <w:pStyle w:val="2"/>
        <w:keepLines w:val="0"/>
        <w:pageBreakBefore w:val="0"/>
        <w:numPr>
          <w:ilvl w:val="0"/>
          <w:numId w:val="0"/>
        </w:numPr>
        <w:kinsoku/>
        <w:overflowPunct/>
        <w:topLinePunct w:val="0"/>
        <w:autoSpaceDE/>
        <w:autoSpaceDN/>
        <w:bidi w:val="0"/>
        <w:spacing w:line="400" w:lineRule="exact"/>
        <w:rPr>
          <w:rFonts w:ascii="宋体" w:hAnsi="宋体" w:eastAsia="宋体" w:cs="宋体"/>
          <w:b w:val="0"/>
          <w:bCs/>
          <w:color w:val="000000"/>
          <w:sz w:val="36"/>
          <w:szCs w:val="21"/>
        </w:rPr>
      </w:pPr>
      <w:bookmarkStart w:id="2" w:name="OLE_LINK3"/>
      <w:bookmarkStart w:id="9" w:name="_GoBack"/>
      <w:r>
        <w:rPr>
          <w:rFonts w:hint="eastAsia" w:ascii="宋体" w:hAnsi="宋体" w:eastAsia="宋体" w:cs="宋体"/>
          <w:b w:val="0"/>
          <w:bCs/>
          <w:color w:val="000000"/>
          <w:sz w:val="36"/>
          <w:szCs w:val="21"/>
          <w:lang w:eastAsia="zh-CN"/>
        </w:rPr>
        <w:t>公开比选</w:t>
      </w:r>
      <w:r>
        <w:rPr>
          <w:rFonts w:hint="eastAsia" w:ascii="宋体" w:hAnsi="宋体" w:eastAsia="宋体" w:cs="宋体"/>
          <w:b w:val="0"/>
          <w:bCs/>
          <w:color w:val="000000"/>
          <w:sz w:val="36"/>
          <w:szCs w:val="21"/>
        </w:rPr>
        <w:t>公告</w:t>
      </w:r>
    </w:p>
    <w:p w14:paraId="070F94F7">
      <w:pPr>
        <w:pStyle w:val="15"/>
        <w:keepLines w:val="0"/>
        <w:pageBreakBefore w:val="0"/>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jc w:val="both"/>
        <w:rPr>
          <w:color w:val="000000"/>
        </w:rPr>
      </w:pPr>
    </w:p>
    <w:p w14:paraId="32C32D49">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0" w:firstLineChars="200"/>
        <w:jc w:val="both"/>
        <w:rPr>
          <w:rFonts w:hint="eastAsia"/>
          <w:lang w:val="en-US" w:eastAsia="zh-CN"/>
        </w:rPr>
      </w:pPr>
      <w:r>
        <w:rPr>
          <w:rFonts w:hint="eastAsia"/>
          <w:lang w:val="en-US" w:eastAsia="zh-CN"/>
        </w:rPr>
        <w:t>因温州市第七人民医院工作需要，现对鹿城区人民路及市区重点商圈户外LED广告投播项目进行公开比选，我们诚恳地邀请有资质的单位参加投标，并请按比选文件的要求认真准备按时前来投标。</w:t>
      </w:r>
    </w:p>
    <w:p w14:paraId="649BD77A">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2" w:firstLineChars="200"/>
        <w:rPr>
          <w:b/>
          <w:bCs/>
          <w:color w:val="000000"/>
        </w:rPr>
      </w:pPr>
      <w:r>
        <w:rPr>
          <w:rFonts w:hint="eastAsia"/>
          <w:b/>
          <w:bCs/>
          <w:color w:val="000000"/>
        </w:rPr>
        <w:t>一、项目基本情况</w:t>
      </w:r>
    </w:p>
    <w:p w14:paraId="50515CE5">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0" w:firstLineChars="200"/>
        <w:jc w:val="both"/>
        <w:rPr>
          <w:color w:val="000000"/>
        </w:rPr>
      </w:pPr>
      <w:r>
        <w:rPr>
          <w:rFonts w:hint="eastAsia"/>
          <w:color w:val="000000"/>
        </w:rPr>
        <w:t>项目名称：</w:t>
      </w:r>
      <w:r>
        <w:rPr>
          <w:rFonts w:hint="eastAsia"/>
          <w:lang w:val="en-US" w:eastAsia="zh-CN"/>
        </w:rPr>
        <w:t>鹿城区人民路及市区重点商圈户外LED广告投播项目（具体内容详采购要求）</w:t>
      </w:r>
      <w:r>
        <w:rPr>
          <w:rFonts w:hint="eastAsia"/>
          <w:color w:val="000000"/>
        </w:rPr>
        <w:t xml:space="preserve">    </w:t>
      </w:r>
    </w:p>
    <w:p w14:paraId="65A33B94">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0" w:firstLineChars="200"/>
        <w:jc w:val="both"/>
        <w:rPr>
          <w:rFonts w:hint="eastAsia" w:asciiTheme="majorEastAsia" w:hAnsiTheme="majorEastAsia" w:eastAsiaTheme="majorEastAsia" w:cstheme="majorEastAsia"/>
        </w:rPr>
      </w:pPr>
      <w:r>
        <w:rPr>
          <w:rFonts w:hint="eastAsia" w:asciiTheme="majorEastAsia" w:hAnsiTheme="majorEastAsia" w:eastAsiaTheme="majorEastAsia" w:cstheme="majorEastAsia"/>
        </w:rPr>
        <w:t>预算金额：</w:t>
      </w:r>
      <w:r>
        <w:rPr>
          <w:rFonts w:hint="eastAsia" w:asciiTheme="majorEastAsia" w:hAnsiTheme="majorEastAsia" w:eastAsiaTheme="majorEastAsia" w:cstheme="majorEastAsia"/>
          <w:lang w:val="en-US" w:eastAsia="zh-CN"/>
        </w:rPr>
        <w:t>98000</w:t>
      </w:r>
      <w:r>
        <w:rPr>
          <w:rFonts w:hint="eastAsia" w:asciiTheme="majorEastAsia" w:hAnsiTheme="majorEastAsia" w:eastAsiaTheme="majorEastAsia" w:cstheme="majorEastAsia"/>
        </w:rPr>
        <w:t xml:space="preserve">元  </w:t>
      </w:r>
    </w:p>
    <w:p w14:paraId="14F1316F">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0" w:firstLineChars="200"/>
        <w:jc w:val="both"/>
        <w:rPr>
          <w:rFonts w:hint="eastAsia" w:asciiTheme="majorEastAsia" w:hAnsiTheme="majorEastAsia" w:eastAsiaTheme="majorEastAsia" w:cstheme="majorEastAsia"/>
          <w:lang w:eastAsia="zh-CN"/>
        </w:rPr>
      </w:pPr>
      <w:r>
        <w:rPr>
          <w:rFonts w:hint="eastAsia" w:asciiTheme="majorEastAsia" w:hAnsiTheme="majorEastAsia" w:eastAsiaTheme="majorEastAsia" w:cstheme="majorEastAsia"/>
          <w:lang w:eastAsia="zh-CN"/>
        </w:rPr>
        <w:t>资金来源：自筹资金</w:t>
      </w:r>
    </w:p>
    <w:p w14:paraId="1C34F0D0">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0" w:firstLineChars="200"/>
        <w:jc w:val="both"/>
        <w:rPr>
          <w:rFonts w:hint="eastAsia"/>
          <w:lang w:val="en-US" w:eastAsia="zh-CN"/>
        </w:rPr>
      </w:pPr>
      <w:r>
        <w:rPr>
          <w:rFonts w:hint="eastAsia"/>
        </w:rPr>
        <w:t>服务期限：</w:t>
      </w:r>
      <w:r>
        <w:rPr>
          <w:rFonts w:hint="eastAsia"/>
          <w:lang w:val="en-US" w:eastAsia="zh-CN"/>
        </w:rPr>
        <w:t>1年</w:t>
      </w:r>
    </w:p>
    <w:p w14:paraId="53D37985">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0" w:firstLineChars="200"/>
        <w:jc w:val="both"/>
        <w:rPr>
          <w:color w:val="000000"/>
        </w:rPr>
      </w:pPr>
      <w:r>
        <w:rPr>
          <w:rFonts w:hint="eastAsia"/>
          <w:color w:val="000000"/>
        </w:rPr>
        <w:t>比选内容：详细内容见比选内容及要求</w:t>
      </w:r>
    </w:p>
    <w:p w14:paraId="4D1119F0">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2" w:firstLineChars="200"/>
        <w:rPr>
          <w:rStyle w:val="19"/>
          <w:color w:val="000000"/>
          <w:shd w:val="clear" w:color="auto" w:fill="FFFFFF"/>
        </w:rPr>
      </w:pPr>
      <w:r>
        <w:rPr>
          <w:rStyle w:val="19"/>
          <w:rFonts w:hint="eastAsia"/>
          <w:color w:val="000000"/>
          <w:shd w:val="clear" w:color="auto" w:fill="FFFFFF"/>
        </w:rPr>
        <w:t>投标人报价不得超过最高限价金额，否则当无效标处理。</w:t>
      </w:r>
    </w:p>
    <w:p w14:paraId="56F0CBAE">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2" w:firstLineChars="200"/>
        <w:rPr>
          <w:color w:val="000000"/>
        </w:rPr>
      </w:pPr>
      <w:r>
        <w:rPr>
          <w:rFonts w:hint="eastAsia"/>
          <w:b/>
          <w:bCs/>
          <w:color w:val="000000"/>
        </w:rPr>
        <w:t>二、</w:t>
      </w:r>
      <w:r>
        <w:rPr>
          <w:rFonts w:hint="eastAsia"/>
          <w:color w:val="000000"/>
        </w:rPr>
        <w:t>申请人资格要求：</w:t>
      </w:r>
    </w:p>
    <w:p w14:paraId="1FF494A3">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0" w:firstLineChars="200"/>
        <w:rPr>
          <w:rFonts w:hint="eastAsia" w:ascii="宋体" w:hAnsi="宋体" w:eastAsia="宋体" w:cs="宋体"/>
          <w:color w:val="auto"/>
          <w:shd w:val="clear" w:color="auto" w:fill="FFFFFF"/>
          <w:lang w:eastAsia="zh-CN"/>
        </w:rPr>
      </w:pPr>
      <w:r>
        <w:rPr>
          <w:rFonts w:hint="eastAsia" w:ascii="宋体" w:hAnsi="宋体" w:eastAsia="宋体" w:cs="宋体"/>
          <w:color w:val="auto"/>
          <w:shd w:val="clear" w:color="auto" w:fill="FFFFFF"/>
          <w:lang w:eastAsia="zh-CN"/>
        </w:rPr>
        <w:t>1</w:t>
      </w:r>
      <w:r>
        <w:rPr>
          <w:rFonts w:hint="eastAsia" w:ascii="宋体" w:hAnsi="宋体" w:eastAsia="宋体" w:cs="宋体"/>
          <w:color w:val="auto"/>
          <w:shd w:val="clear" w:color="auto" w:fill="FFFFFF"/>
          <w:lang w:val="en-US" w:eastAsia="zh-CN"/>
        </w:rPr>
        <w:t>.</w:t>
      </w:r>
      <w:r>
        <w:rPr>
          <w:rFonts w:hint="eastAsia" w:ascii="宋体" w:hAnsi="宋体" w:eastAsia="宋体" w:cs="宋体"/>
          <w:color w:val="auto"/>
          <w:shd w:val="clear" w:color="auto" w:fill="FFFFFF"/>
          <w:lang w:eastAsia="zh-CN"/>
        </w:rPr>
        <w:t>符合《中华人民共和国政府采购法》第二十二条规定的供应商资格条件；</w:t>
      </w:r>
    </w:p>
    <w:p w14:paraId="609DC2FA">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0" w:firstLineChars="200"/>
        <w:rPr>
          <w:rFonts w:hint="eastAsia" w:ascii="宋体" w:hAnsi="宋体" w:eastAsia="宋体" w:cs="宋体"/>
          <w:color w:val="auto"/>
          <w:shd w:val="clear" w:color="auto" w:fill="FFFFFF"/>
          <w:lang w:eastAsia="zh-CN"/>
        </w:rPr>
      </w:pPr>
      <w:r>
        <w:rPr>
          <w:rFonts w:hint="eastAsia" w:ascii="宋体" w:hAnsi="宋体" w:eastAsia="宋体" w:cs="宋体"/>
          <w:color w:val="auto"/>
          <w:shd w:val="clear" w:color="auto" w:fill="FFFFFF"/>
          <w:lang w:eastAsia="zh-CN"/>
        </w:rPr>
        <w:t>2</w:t>
      </w:r>
      <w:r>
        <w:rPr>
          <w:rFonts w:hint="eastAsia" w:ascii="宋体" w:hAnsi="宋体" w:eastAsia="宋体" w:cs="宋体"/>
          <w:color w:val="auto"/>
          <w:shd w:val="clear" w:color="auto" w:fill="FFFFFF"/>
          <w:lang w:val="en-US" w:eastAsia="zh-CN"/>
        </w:rPr>
        <w:t>.</w:t>
      </w:r>
      <w:r>
        <w:rPr>
          <w:rFonts w:hint="eastAsia" w:ascii="宋体" w:hAnsi="宋体" w:eastAsia="宋体" w:cs="宋体"/>
          <w:color w:val="auto"/>
          <w:shd w:val="clear" w:color="auto" w:fill="FFFFFF"/>
          <w:lang w:eastAsia="zh-CN"/>
        </w:rPr>
        <w:t>供应商的经营许可范围应包含广告服务等符合本项目要求的相关内容；</w:t>
      </w:r>
    </w:p>
    <w:p w14:paraId="36019435">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0" w:firstLineChars="200"/>
        <w:rPr>
          <w:rFonts w:hint="eastAsia" w:ascii="宋体" w:hAnsi="宋体" w:eastAsia="宋体" w:cs="宋体"/>
          <w:color w:val="auto"/>
          <w:shd w:val="clear" w:color="auto" w:fill="FFFFFF"/>
          <w:lang w:eastAsia="zh-CN"/>
        </w:rPr>
      </w:pPr>
      <w:r>
        <w:rPr>
          <w:rFonts w:hint="eastAsia" w:ascii="宋体" w:hAnsi="宋体" w:eastAsia="宋体" w:cs="宋体"/>
          <w:color w:val="auto"/>
          <w:shd w:val="clear" w:color="auto" w:fill="FFFFFF"/>
          <w:lang w:eastAsia="zh-CN"/>
        </w:rPr>
        <w:t>3</w:t>
      </w:r>
      <w:r>
        <w:rPr>
          <w:rFonts w:hint="eastAsia" w:ascii="宋体" w:hAnsi="宋体" w:eastAsia="宋体" w:cs="宋体"/>
          <w:color w:val="auto"/>
          <w:shd w:val="clear" w:color="auto" w:fill="FFFFFF"/>
          <w:lang w:val="en-US" w:eastAsia="zh-CN"/>
        </w:rPr>
        <w:t>.</w:t>
      </w:r>
      <w:r>
        <w:rPr>
          <w:rFonts w:hint="eastAsia" w:ascii="宋体" w:hAnsi="宋体" w:eastAsia="宋体" w:cs="宋体"/>
          <w:color w:val="auto"/>
          <w:shd w:val="clear" w:color="auto" w:fill="FFFFFF"/>
          <w:lang w:eastAsia="zh-CN"/>
        </w:rPr>
        <w:t>供应商应自有或代理政府合法LED广告位作为本项目的广告发布设施，自有广告位的供应商需提供《大型户外广告设施设置许可证》，代理广告位的供应商需提供《大型户外广告设施设置许可证》及其经营单位相关证明文件。</w:t>
      </w:r>
    </w:p>
    <w:p w14:paraId="7D27DF8E">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0" w:firstLineChars="200"/>
        <w:rPr>
          <w:rFonts w:hint="eastAsia" w:ascii="宋体" w:hAnsi="宋体" w:eastAsia="宋体" w:cs="宋体"/>
          <w:color w:val="auto"/>
          <w:shd w:val="clear" w:color="auto" w:fill="FFFFFF"/>
          <w:lang w:eastAsia="zh-CN"/>
        </w:rPr>
      </w:pPr>
      <w:r>
        <w:rPr>
          <w:rFonts w:hint="eastAsia" w:ascii="宋体" w:hAnsi="宋体" w:eastAsia="宋体" w:cs="宋体"/>
          <w:color w:val="auto"/>
          <w:shd w:val="clear" w:color="auto" w:fill="FFFFFF"/>
          <w:lang w:val="en-US" w:eastAsia="zh-CN"/>
        </w:rPr>
        <w:t>4</w:t>
      </w:r>
      <w:r>
        <w:rPr>
          <w:rFonts w:hint="eastAsia" w:ascii="宋体" w:hAnsi="宋体" w:eastAsia="宋体" w:cs="宋体"/>
          <w:color w:val="auto"/>
          <w:shd w:val="clear" w:color="auto" w:fill="FFFFFF"/>
          <w:lang w:eastAsia="zh-CN"/>
        </w:rPr>
        <w:t>.满足《中华人民共和国政府采购法》第二十二条规定；未被“信用中国”（www.creditchina.gov.cn)列入失信被执行人、重大税收违法案件当事人名单、政府采购严重违法失信行为记录名单。</w:t>
      </w:r>
    </w:p>
    <w:p w14:paraId="0F14C0D7">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0" w:firstLineChars="200"/>
        <w:rPr>
          <w:rFonts w:hint="default" w:ascii="宋体" w:hAnsi="宋体" w:eastAsia="宋体" w:cs="宋体"/>
          <w:color w:val="auto"/>
          <w:shd w:val="clear" w:color="auto" w:fill="FFFFFF"/>
          <w:lang w:val="en-US" w:eastAsia="zh-CN"/>
        </w:rPr>
      </w:pPr>
      <w:r>
        <w:rPr>
          <w:rFonts w:hint="eastAsia" w:ascii="宋体" w:hAnsi="宋体" w:eastAsia="宋体" w:cs="宋体"/>
          <w:color w:val="auto"/>
          <w:shd w:val="clear" w:color="auto" w:fill="FFFFFF"/>
          <w:lang w:val="en-US" w:eastAsia="zh-CN"/>
        </w:rPr>
        <w:t>5.本项目不接受联合体。</w:t>
      </w:r>
    </w:p>
    <w:p w14:paraId="0F330E9F">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0" w:firstLineChars="200"/>
        <w:rPr>
          <w:color w:val="auto"/>
          <w:shd w:val="clear" w:color="auto" w:fill="FFFFFF"/>
        </w:rPr>
      </w:pPr>
      <w:r>
        <w:rPr>
          <w:rFonts w:hint="eastAsia"/>
          <w:color w:val="000000" w:themeColor="text1"/>
          <w:shd w:val="clear" w:color="auto" w:fill="FFFFFF"/>
          <w14:textFill>
            <w14:solidFill>
              <w14:schemeClr w14:val="tx1"/>
            </w14:solidFill>
          </w14:textFill>
        </w:rPr>
        <w:t>三</w:t>
      </w:r>
      <w:r>
        <w:rPr>
          <w:color w:val="auto"/>
          <w:shd w:val="clear" w:color="auto" w:fill="FFFFFF"/>
        </w:rPr>
        <w:t>．报名时间、地点及注意事项：</w:t>
      </w:r>
    </w:p>
    <w:p w14:paraId="0307423A">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0" w:firstLineChars="200"/>
        <w:rPr>
          <w:color w:val="auto"/>
          <w:shd w:val="clear" w:color="auto" w:fill="FFFFFF"/>
        </w:rPr>
      </w:pPr>
      <w:r>
        <w:rPr>
          <w:color w:val="auto"/>
          <w:shd w:val="clear" w:color="auto" w:fill="FFFFFF"/>
        </w:rPr>
        <w:t>1．报名时间：2024年</w:t>
      </w:r>
      <w:r>
        <w:rPr>
          <w:rFonts w:hint="eastAsia"/>
          <w:color w:val="auto"/>
          <w:shd w:val="clear" w:color="auto" w:fill="FFFFFF"/>
          <w:lang w:val="en-US" w:eastAsia="zh-CN"/>
        </w:rPr>
        <w:t>10</w:t>
      </w:r>
      <w:r>
        <w:rPr>
          <w:color w:val="auto"/>
          <w:shd w:val="clear" w:color="auto" w:fill="FFFFFF"/>
        </w:rPr>
        <w:t>月</w:t>
      </w:r>
      <w:r>
        <w:rPr>
          <w:rFonts w:hint="eastAsia"/>
          <w:color w:val="auto"/>
          <w:shd w:val="clear" w:color="auto" w:fill="FFFFFF"/>
          <w:lang w:val="en-US" w:eastAsia="zh-CN"/>
        </w:rPr>
        <w:t>11</w:t>
      </w:r>
      <w:r>
        <w:rPr>
          <w:color w:val="auto"/>
          <w:shd w:val="clear" w:color="auto" w:fill="FFFFFF"/>
        </w:rPr>
        <w:t>日至2024年</w:t>
      </w:r>
      <w:r>
        <w:rPr>
          <w:rFonts w:hint="eastAsia"/>
          <w:color w:val="auto"/>
          <w:shd w:val="clear" w:color="auto" w:fill="FFFFFF"/>
          <w:lang w:val="en-US" w:eastAsia="zh-CN"/>
        </w:rPr>
        <w:t>10</w:t>
      </w:r>
      <w:r>
        <w:rPr>
          <w:color w:val="auto"/>
          <w:shd w:val="clear" w:color="auto" w:fill="FFFFFF"/>
        </w:rPr>
        <w:t>月</w:t>
      </w:r>
      <w:r>
        <w:rPr>
          <w:rFonts w:hint="eastAsia"/>
          <w:color w:val="auto"/>
          <w:shd w:val="clear" w:color="auto" w:fill="FFFFFF"/>
          <w:lang w:val="en-US" w:eastAsia="zh-CN"/>
        </w:rPr>
        <w:t>11</w:t>
      </w:r>
      <w:r>
        <w:rPr>
          <w:color w:val="auto"/>
          <w:shd w:val="clear" w:color="auto" w:fill="FFFFFF"/>
        </w:rPr>
        <w:t>日</w:t>
      </w:r>
      <w:r>
        <w:rPr>
          <w:rFonts w:hint="eastAsia"/>
          <w:color w:val="auto"/>
          <w:shd w:val="clear" w:color="auto" w:fill="FFFFFF"/>
          <w:lang w:val="en-US" w:eastAsia="zh-CN"/>
        </w:rPr>
        <w:t>9</w:t>
      </w:r>
      <w:r>
        <w:rPr>
          <w:color w:val="auto"/>
          <w:shd w:val="clear" w:color="auto" w:fill="FFFFFF"/>
        </w:rPr>
        <w:t>:</w:t>
      </w:r>
      <w:r>
        <w:rPr>
          <w:rFonts w:hint="eastAsia"/>
          <w:color w:val="auto"/>
          <w:shd w:val="clear" w:color="auto" w:fill="FFFFFF"/>
          <w:lang w:val="en-US" w:eastAsia="zh-CN"/>
        </w:rPr>
        <w:t>0</w:t>
      </w:r>
      <w:r>
        <w:rPr>
          <w:color w:val="auto"/>
          <w:shd w:val="clear" w:color="auto" w:fill="FFFFFF"/>
        </w:rPr>
        <w:t>0时（上午：8:10-11:40；下午：1:00-4:30</w:t>
      </w:r>
      <w:r>
        <w:rPr>
          <w:rFonts w:hint="eastAsia"/>
          <w:color w:val="auto"/>
          <w:shd w:val="clear" w:color="auto" w:fill="FFFFFF"/>
          <w:lang w:eastAsia="zh-CN"/>
        </w:rPr>
        <w:t>；节假日、</w:t>
      </w:r>
      <w:r>
        <w:rPr>
          <w:color w:val="auto"/>
          <w:shd w:val="clear" w:color="auto" w:fill="FFFFFF"/>
        </w:rPr>
        <w:t>双休日不接收）。</w:t>
      </w:r>
    </w:p>
    <w:p w14:paraId="594D15CF">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0" w:firstLineChars="200"/>
        <w:rPr>
          <w:color w:val="auto"/>
          <w:shd w:val="clear" w:color="auto" w:fill="FFFFFF"/>
        </w:rPr>
      </w:pPr>
      <w:r>
        <w:rPr>
          <w:color w:val="auto"/>
          <w:shd w:val="clear" w:color="auto" w:fill="FFFFFF"/>
        </w:rPr>
        <w:t>比选采购文件在线获取，不提供纸质版。</w:t>
      </w:r>
    </w:p>
    <w:p w14:paraId="66AEE854">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0" w:firstLineChars="200"/>
        <w:rPr>
          <w:color w:val="auto"/>
          <w:shd w:val="clear" w:color="auto" w:fill="FFFFFF"/>
        </w:rPr>
      </w:pPr>
      <w:r>
        <w:rPr>
          <w:color w:val="auto"/>
          <w:shd w:val="clear" w:color="auto" w:fill="FFFFFF"/>
        </w:rPr>
        <w:t>2．联系人：</w:t>
      </w:r>
      <w:r>
        <w:rPr>
          <w:rFonts w:hint="eastAsia"/>
          <w:color w:val="auto"/>
          <w:shd w:val="clear" w:color="auto" w:fill="FFFFFF"/>
          <w:lang w:eastAsia="zh-CN"/>
        </w:rPr>
        <w:t>朱</w:t>
      </w:r>
      <w:r>
        <w:rPr>
          <w:rFonts w:hint="eastAsia"/>
          <w:color w:val="auto"/>
          <w:shd w:val="clear" w:color="auto" w:fill="FFFFFF"/>
        </w:rPr>
        <w:t>老师</w:t>
      </w:r>
      <w:r>
        <w:rPr>
          <w:color w:val="auto"/>
          <w:shd w:val="clear" w:color="auto" w:fill="FFFFFF"/>
        </w:rPr>
        <w:t>      </w:t>
      </w:r>
    </w:p>
    <w:p w14:paraId="508382DF">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0" w:firstLineChars="200"/>
        <w:rPr>
          <w:color w:val="auto"/>
          <w:shd w:val="clear" w:color="auto" w:fill="FFFFFF"/>
        </w:rPr>
      </w:pPr>
      <w:r>
        <w:rPr>
          <w:color w:val="auto"/>
          <w:shd w:val="clear" w:color="auto" w:fill="FFFFFF"/>
        </w:rPr>
        <w:t>联系电话：0577-89870153</w:t>
      </w:r>
    </w:p>
    <w:p w14:paraId="1DF934EB">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0" w:firstLineChars="200"/>
        <w:rPr>
          <w:color w:val="auto"/>
        </w:rPr>
      </w:pPr>
      <w:r>
        <w:rPr>
          <w:rFonts w:hint="eastAsia"/>
          <w:color w:val="auto"/>
        </w:rPr>
        <w:t>四、投标文件递交截止时间：2024年</w:t>
      </w:r>
      <w:r>
        <w:rPr>
          <w:rFonts w:hint="eastAsia"/>
          <w:color w:val="auto"/>
          <w:lang w:val="en-US" w:eastAsia="zh-CN"/>
        </w:rPr>
        <w:t>10</w:t>
      </w:r>
      <w:r>
        <w:rPr>
          <w:rFonts w:hint="eastAsia"/>
          <w:color w:val="auto"/>
        </w:rPr>
        <w:t>月</w:t>
      </w:r>
      <w:r>
        <w:rPr>
          <w:rFonts w:hint="eastAsia"/>
          <w:color w:val="auto"/>
          <w:lang w:val="en-US" w:eastAsia="zh-CN"/>
        </w:rPr>
        <w:t>11</w:t>
      </w:r>
      <w:r>
        <w:rPr>
          <w:rFonts w:hint="eastAsia"/>
          <w:color w:val="auto"/>
        </w:rPr>
        <w:t>日</w:t>
      </w:r>
      <w:r>
        <w:rPr>
          <w:rFonts w:hint="eastAsia"/>
          <w:color w:val="auto"/>
          <w:shd w:val="clear" w:color="auto" w:fill="FFFFFF"/>
          <w:lang w:val="en-US" w:eastAsia="zh-CN"/>
        </w:rPr>
        <w:t>9</w:t>
      </w:r>
      <w:r>
        <w:rPr>
          <w:color w:val="auto"/>
          <w:shd w:val="clear" w:color="auto" w:fill="FFFFFF"/>
        </w:rPr>
        <w:t>:</w:t>
      </w:r>
      <w:r>
        <w:rPr>
          <w:rFonts w:hint="eastAsia"/>
          <w:color w:val="auto"/>
          <w:shd w:val="clear" w:color="auto" w:fill="FFFFFF"/>
          <w:lang w:val="en-US" w:eastAsia="zh-CN"/>
        </w:rPr>
        <w:t>0</w:t>
      </w:r>
      <w:r>
        <w:rPr>
          <w:color w:val="auto"/>
          <w:shd w:val="clear" w:color="auto" w:fill="FFFFFF"/>
        </w:rPr>
        <w:t>0</w:t>
      </w:r>
      <w:r>
        <w:rPr>
          <w:rFonts w:hint="eastAsia"/>
          <w:color w:val="auto"/>
        </w:rPr>
        <w:t>分整；</w:t>
      </w:r>
    </w:p>
    <w:p w14:paraId="658A0070">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0" w:firstLineChars="200"/>
        <w:textAlignment w:val="bottom"/>
        <w:rPr>
          <w:color w:val="auto"/>
        </w:rPr>
      </w:pPr>
      <w:r>
        <w:rPr>
          <w:rFonts w:hint="eastAsia"/>
          <w:color w:val="auto"/>
        </w:rPr>
        <w:t>  递交地点：温州市第七人民医院潘桥院区学士前路158号</w:t>
      </w:r>
    </w:p>
    <w:p w14:paraId="425DBF7B">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0" w:firstLineChars="200"/>
        <w:rPr>
          <w:color w:val="auto"/>
        </w:rPr>
      </w:pPr>
      <w:r>
        <w:rPr>
          <w:rFonts w:hint="eastAsia"/>
          <w:color w:val="auto"/>
        </w:rPr>
        <w:t>五、开标时间：2024年</w:t>
      </w:r>
      <w:r>
        <w:rPr>
          <w:rFonts w:hint="eastAsia"/>
          <w:color w:val="auto"/>
          <w:lang w:val="en-US" w:eastAsia="zh-CN"/>
        </w:rPr>
        <w:t>10</w:t>
      </w:r>
      <w:r>
        <w:rPr>
          <w:rFonts w:hint="eastAsia"/>
          <w:color w:val="auto"/>
        </w:rPr>
        <w:t>月</w:t>
      </w:r>
      <w:r>
        <w:rPr>
          <w:rFonts w:hint="eastAsia"/>
          <w:color w:val="auto"/>
          <w:lang w:val="en-US" w:eastAsia="zh-CN"/>
        </w:rPr>
        <w:t>11</w:t>
      </w:r>
      <w:r>
        <w:rPr>
          <w:rFonts w:hint="eastAsia"/>
          <w:color w:val="auto"/>
        </w:rPr>
        <w:t>日</w:t>
      </w:r>
      <w:r>
        <w:rPr>
          <w:rFonts w:hint="eastAsia"/>
          <w:color w:val="auto"/>
          <w:shd w:val="clear" w:color="auto" w:fill="FFFFFF"/>
          <w:lang w:val="en-US" w:eastAsia="zh-CN"/>
        </w:rPr>
        <w:t>9</w:t>
      </w:r>
      <w:r>
        <w:rPr>
          <w:color w:val="auto"/>
          <w:shd w:val="clear" w:color="auto" w:fill="FFFFFF"/>
        </w:rPr>
        <w:t>:</w:t>
      </w:r>
      <w:r>
        <w:rPr>
          <w:rFonts w:hint="eastAsia"/>
          <w:color w:val="auto"/>
          <w:shd w:val="clear" w:color="auto" w:fill="FFFFFF"/>
          <w:lang w:val="en-US" w:eastAsia="zh-CN"/>
        </w:rPr>
        <w:t>0</w:t>
      </w:r>
      <w:r>
        <w:rPr>
          <w:color w:val="auto"/>
          <w:shd w:val="clear" w:color="auto" w:fill="FFFFFF"/>
        </w:rPr>
        <w:t>0</w:t>
      </w:r>
      <w:r>
        <w:rPr>
          <w:rFonts w:hint="eastAsia"/>
          <w:color w:val="auto"/>
        </w:rPr>
        <w:t>分整；</w:t>
      </w:r>
    </w:p>
    <w:p w14:paraId="5F6EE5FB">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0" w:firstLineChars="200"/>
        <w:rPr>
          <w:color w:val="auto"/>
        </w:rPr>
      </w:pPr>
      <w:r>
        <w:rPr>
          <w:rFonts w:hint="eastAsia"/>
          <w:color w:val="auto"/>
        </w:rPr>
        <w:t>开标地点：温州市第七人民医院潘桥院区学士前路158号门诊楼4楼三号会议室</w:t>
      </w:r>
    </w:p>
    <w:p w14:paraId="5230F8F0">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0" w:firstLineChars="200"/>
        <w:rPr>
          <w:color w:val="auto"/>
        </w:rPr>
      </w:pPr>
      <w:r>
        <w:rPr>
          <w:rFonts w:hint="eastAsia"/>
          <w:color w:val="auto"/>
        </w:rPr>
        <w:t>六、招标人：温州市第七人民医院</w:t>
      </w:r>
    </w:p>
    <w:p w14:paraId="3B356368">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0" w:firstLineChars="200"/>
        <w:rPr>
          <w:color w:val="auto"/>
        </w:rPr>
      </w:pPr>
      <w:r>
        <w:rPr>
          <w:rFonts w:hint="eastAsia"/>
          <w:color w:val="auto"/>
        </w:rPr>
        <w:t>联系人： </w:t>
      </w:r>
      <w:r>
        <w:rPr>
          <w:rFonts w:hint="eastAsia"/>
          <w:color w:val="auto"/>
          <w:shd w:val="clear" w:color="auto" w:fill="FFFFFF"/>
          <w:lang w:eastAsia="zh-CN"/>
        </w:rPr>
        <w:t>朱</w:t>
      </w:r>
      <w:r>
        <w:rPr>
          <w:rFonts w:hint="eastAsia"/>
          <w:color w:val="auto"/>
          <w:shd w:val="clear" w:color="auto" w:fill="FFFFFF"/>
        </w:rPr>
        <w:t>老师</w:t>
      </w:r>
      <w:r>
        <w:rPr>
          <w:color w:val="auto"/>
          <w:shd w:val="clear" w:color="auto" w:fill="FFFFFF"/>
        </w:rPr>
        <w:t> </w:t>
      </w:r>
    </w:p>
    <w:p w14:paraId="1F39D3B0">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0" w:firstLineChars="200"/>
        <w:rPr>
          <w:color w:val="auto"/>
        </w:rPr>
      </w:pPr>
      <w:r>
        <w:rPr>
          <w:rFonts w:hint="eastAsia"/>
          <w:color w:val="auto"/>
        </w:rPr>
        <w:t>电话：  0577-89870153</w:t>
      </w:r>
    </w:p>
    <w:p w14:paraId="4B9276A7">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0" w:firstLineChars="200"/>
        <w:rPr>
          <w:color w:val="auto"/>
        </w:rPr>
      </w:pPr>
      <w:r>
        <w:rPr>
          <w:rFonts w:hint="eastAsia"/>
          <w:color w:val="auto"/>
        </w:rPr>
        <w:t>监督电话：0577-56575113 </w:t>
      </w:r>
    </w:p>
    <w:p w14:paraId="12FD12C8">
      <w:pPr>
        <w:pStyle w:val="15"/>
        <w:keepNext w:val="0"/>
        <w:keepLines w:val="0"/>
        <w:pageBreakBefore w:val="0"/>
        <w:widowControl/>
        <w:shd w:val="clear" w:color="auto" w:fill="FFFFFF"/>
        <w:kinsoku/>
        <w:wordWrap w:val="0"/>
        <w:overflowPunct/>
        <w:topLinePunct w:val="0"/>
        <w:autoSpaceDE/>
        <w:autoSpaceDN/>
        <w:bidi w:val="0"/>
        <w:adjustRightInd w:val="0"/>
        <w:snapToGrid w:val="0"/>
        <w:spacing w:before="0" w:beforeAutospacing="0" w:after="0" w:afterAutospacing="0" w:line="360" w:lineRule="exact"/>
        <w:ind w:firstLine="480" w:firstLineChars="200"/>
        <w:jc w:val="right"/>
        <w:rPr>
          <w:color w:val="auto"/>
        </w:rPr>
      </w:pPr>
      <w:r>
        <w:rPr>
          <w:rFonts w:hint="eastAsia"/>
          <w:color w:val="auto"/>
        </w:rPr>
        <w:t xml:space="preserve">                                                                  温州市第七人民医院  </w:t>
      </w:r>
    </w:p>
    <w:p w14:paraId="1DCDA073">
      <w:pPr>
        <w:pStyle w:val="15"/>
        <w:keepNext w:val="0"/>
        <w:keepLines w:val="0"/>
        <w:pageBreakBefore w:val="0"/>
        <w:widowControl/>
        <w:shd w:val="clear" w:color="auto" w:fill="FFFFFF"/>
        <w:kinsoku/>
        <w:wordWrap w:val="0"/>
        <w:overflowPunct/>
        <w:topLinePunct w:val="0"/>
        <w:autoSpaceDE/>
        <w:autoSpaceDN/>
        <w:bidi w:val="0"/>
        <w:adjustRightInd w:val="0"/>
        <w:snapToGrid w:val="0"/>
        <w:spacing w:before="0" w:beforeAutospacing="0" w:after="0" w:afterAutospacing="0" w:line="360" w:lineRule="exact"/>
        <w:ind w:firstLine="480" w:firstLineChars="200"/>
        <w:jc w:val="right"/>
        <w:rPr>
          <w:rFonts w:hint="eastAsia" w:ascii="新宋体" w:hAnsi="新宋体" w:eastAsia="新宋体"/>
          <w:b/>
          <w:bCs/>
          <w:sz w:val="32"/>
          <w:szCs w:val="32"/>
          <w:lang w:eastAsia="zh-CN"/>
        </w:rPr>
      </w:pPr>
      <w:r>
        <w:rPr>
          <w:rFonts w:hint="eastAsia"/>
          <w:color w:val="auto"/>
        </w:rPr>
        <w:t>                           2024年</w:t>
      </w:r>
      <w:r>
        <w:rPr>
          <w:rFonts w:hint="eastAsia"/>
          <w:color w:val="auto"/>
          <w:lang w:val="en-US" w:eastAsia="zh-CN"/>
        </w:rPr>
        <w:t>10</w:t>
      </w:r>
      <w:r>
        <w:rPr>
          <w:rFonts w:hint="eastAsia"/>
          <w:color w:val="auto"/>
        </w:rPr>
        <w:t>月</w:t>
      </w:r>
      <w:r>
        <w:rPr>
          <w:rFonts w:hint="eastAsia"/>
          <w:color w:val="auto"/>
          <w:lang w:val="en-US" w:eastAsia="zh-CN"/>
        </w:rPr>
        <w:t>7</w:t>
      </w:r>
      <w:r>
        <w:rPr>
          <w:rFonts w:hint="eastAsia"/>
          <w:color w:val="auto"/>
        </w:rPr>
        <w:t xml:space="preserve">日 </w:t>
      </w:r>
      <w:r>
        <w:rPr>
          <w:rFonts w:hint="eastAsia"/>
          <w:color w:val="000000"/>
        </w:rPr>
        <w:t xml:space="preserve"> </w:t>
      </w:r>
      <w:r>
        <w:rPr>
          <w:rFonts w:hint="eastAsia"/>
          <w:color w:val="000000"/>
          <w:sz w:val="23"/>
          <w:szCs w:val="23"/>
        </w:rPr>
        <w:t xml:space="preserve"> </w:t>
      </w:r>
      <w:bookmarkEnd w:id="9"/>
    </w:p>
    <w:bookmarkEnd w:id="2"/>
    <w:p w14:paraId="15681DC3">
      <w:pPr>
        <w:pStyle w:val="15"/>
        <w:keepLines w:val="0"/>
        <w:pageBreakBefore w:val="0"/>
        <w:shd w:val="clear" w:color="auto" w:fill="FFFFFF"/>
        <w:kinsoku/>
        <w:overflowPunct/>
        <w:topLinePunct w:val="0"/>
        <w:bidi w:val="0"/>
        <w:spacing w:line="400" w:lineRule="exact"/>
        <w:jc w:val="center"/>
        <w:rPr>
          <w:rFonts w:ascii="新宋体" w:hAnsi="新宋体" w:eastAsia="新宋体"/>
          <w:color w:val="5A5A5A"/>
          <w:sz w:val="23"/>
          <w:szCs w:val="23"/>
        </w:rPr>
      </w:pPr>
      <w:r>
        <w:rPr>
          <w:rFonts w:hint="eastAsia" w:ascii="新宋体" w:hAnsi="新宋体" w:eastAsia="新宋体"/>
          <w:b/>
          <w:bCs/>
          <w:sz w:val="32"/>
          <w:szCs w:val="32"/>
          <w:lang w:eastAsia="zh-CN"/>
        </w:rPr>
        <w:t>比选内容</w:t>
      </w:r>
      <w:r>
        <w:rPr>
          <w:rFonts w:hint="eastAsia" w:ascii="新宋体" w:hAnsi="新宋体" w:eastAsia="新宋体"/>
          <w:b/>
          <w:bCs/>
          <w:sz w:val="32"/>
          <w:szCs w:val="32"/>
        </w:rPr>
        <w:t>及要求</w:t>
      </w:r>
    </w:p>
    <w:p w14:paraId="30314AA6">
      <w:pPr>
        <w:keepLines w:val="0"/>
        <w:pageBreakBefore w:val="0"/>
        <w:numPr>
          <w:ilvl w:val="0"/>
          <w:numId w:val="2"/>
        </w:numPr>
        <w:kinsoku/>
        <w:overflowPunct/>
        <w:topLinePunct w:val="0"/>
        <w:bidi w:val="0"/>
        <w:spacing w:line="400" w:lineRule="exact"/>
        <w:rPr>
          <w:rFonts w:ascii="宋体" w:hAnsi="宋体"/>
          <w:sz w:val="24"/>
        </w:rPr>
      </w:pPr>
      <w:r>
        <w:rPr>
          <w:rFonts w:hint="eastAsia"/>
          <w:b/>
          <w:bCs/>
          <w:sz w:val="24"/>
          <w:lang w:eastAsia="zh-CN"/>
        </w:rPr>
        <w:t>比选</w:t>
      </w:r>
      <w:r>
        <w:rPr>
          <w:rFonts w:hint="eastAsia"/>
          <w:b/>
          <w:bCs/>
          <w:sz w:val="24"/>
        </w:rPr>
        <w:t>内容</w:t>
      </w:r>
    </w:p>
    <w:p w14:paraId="09A0FBD2">
      <w:pPr>
        <w:keepLines w:val="0"/>
        <w:pageBreakBefore w:val="0"/>
        <w:kinsoku/>
        <w:overflowPunct/>
        <w:topLinePunct w:val="0"/>
        <w:bidi w:val="0"/>
        <w:spacing w:line="400" w:lineRule="exact"/>
        <w:rPr>
          <w:rFonts w:ascii="宋体" w:hAnsi="宋体"/>
          <w:sz w:val="24"/>
        </w:rPr>
      </w:pPr>
      <w:r>
        <w:rPr>
          <w:rFonts w:hint="eastAsia" w:ascii="宋体" w:hAnsi="宋体"/>
          <w:sz w:val="24"/>
        </w:rPr>
        <w:t>（一）招标单位：温州市第七人民医院</w:t>
      </w:r>
    </w:p>
    <w:p w14:paraId="2D4ADCB7">
      <w:pPr>
        <w:keepLines w:val="0"/>
        <w:pageBreakBefore w:val="0"/>
        <w:kinsoku/>
        <w:overflowPunct/>
        <w:topLinePunct w:val="0"/>
        <w:bidi w:val="0"/>
        <w:spacing w:line="400" w:lineRule="exact"/>
        <w:rPr>
          <w:rFonts w:hint="eastAsia"/>
          <w:color w:val="000000"/>
        </w:rPr>
      </w:pPr>
      <w:r>
        <w:rPr>
          <w:rFonts w:hint="eastAsia" w:ascii="宋体" w:hAnsi="宋体"/>
          <w:sz w:val="24"/>
        </w:rPr>
        <w:t>（二）项目名称：</w:t>
      </w:r>
      <w:r>
        <w:rPr>
          <w:rFonts w:hint="eastAsia" w:ascii="宋体" w:hAnsi="宋体"/>
          <w:sz w:val="24"/>
          <w:lang w:val="en-US" w:eastAsia="zh-CN"/>
        </w:rPr>
        <w:t>鹿城区人民路及市区重点商圈户外LED广告投播项目</w:t>
      </w:r>
    </w:p>
    <w:p w14:paraId="3090A02C">
      <w:pPr>
        <w:keepLines w:val="0"/>
        <w:pageBreakBefore w:val="0"/>
        <w:kinsoku/>
        <w:overflowPunct/>
        <w:topLinePunct w:val="0"/>
        <w:bidi w:val="0"/>
        <w:spacing w:line="400" w:lineRule="exact"/>
        <w:rPr>
          <w:rFonts w:hint="eastAsia" w:ascii="宋体" w:hAnsi="宋体"/>
          <w:sz w:val="24"/>
          <w:lang w:val="en-US" w:eastAsia="zh-CN"/>
        </w:rPr>
      </w:pPr>
      <w:r>
        <w:rPr>
          <w:rFonts w:hint="eastAsia" w:ascii="宋体" w:hAnsi="宋体"/>
          <w:sz w:val="24"/>
        </w:rPr>
        <w:t>（三）预算金额</w:t>
      </w:r>
      <w:r>
        <w:rPr>
          <w:rFonts w:hint="eastAsia" w:ascii="宋体" w:hAnsi="宋体"/>
          <w:sz w:val="24"/>
          <w:lang w:val="en-US" w:eastAsia="zh-CN"/>
        </w:rPr>
        <w:t>：98000元</w:t>
      </w:r>
    </w:p>
    <w:p w14:paraId="42F795EC">
      <w:pPr>
        <w:keepLines w:val="0"/>
        <w:pageBreakBefore w:val="0"/>
        <w:kinsoku/>
        <w:overflowPunct/>
        <w:topLinePunct w:val="0"/>
        <w:bidi w:val="0"/>
        <w:spacing w:line="400" w:lineRule="exact"/>
        <w:rPr>
          <w:rFonts w:hint="eastAsia" w:ascii="宋体" w:hAnsi="宋体"/>
          <w:sz w:val="24"/>
          <w:lang w:val="en-US" w:eastAsia="zh-CN"/>
        </w:rPr>
      </w:pPr>
      <w:r>
        <w:rPr>
          <w:rFonts w:hint="eastAsia" w:ascii="宋体" w:hAnsi="宋体"/>
          <w:sz w:val="24"/>
          <w:lang w:val="en-US" w:eastAsia="zh-CN"/>
        </w:rPr>
        <w:t>（四）服务期限：1年</w:t>
      </w:r>
    </w:p>
    <w:p w14:paraId="5EFD802F">
      <w:pPr>
        <w:keepLines w:val="0"/>
        <w:pageBreakBefore w:val="0"/>
        <w:kinsoku/>
        <w:overflowPunct/>
        <w:topLinePunct w:val="0"/>
        <w:bidi w:val="0"/>
        <w:spacing w:line="400" w:lineRule="exact"/>
        <w:rPr>
          <w:rFonts w:asciiTheme="majorEastAsia" w:hAnsiTheme="majorEastAsia" w:eastAsiaTheme="majorEastAsia" w:cstheme="majorEastAsia"/>
          <w:b/>
          <w:sz w:val="24"/>
        </w:rPr>
      </w:pPr>
      <w:r>
        <w:rPr>
          <w:rFonts w:hint="eastAsia" w:asciiTheme="majorEastAsia" w:hAnsiTheme="majorEastAsia" w:eastAsiaTheme="majorEastAsia" w:cstheme="majorEastAsia"/>
          <w:b/>
          <w:sz w:val="24"/>
        </w:rPr>
        <w:t>二、采购要求</w:t>
      </w:r>
    </w:p>
    <w:p w14:paraId="059B5FDF">
      <w:pPr>
        <w:pStyle w:val="3"/>
        <w:pageBreakBefore w:val="0"/>
        <w:widowControl/>
        <w:kinsoku/>
        <w:topLinePunct w:val="0"/>
        <w:bidi w:val="0"/>
        <w:adjustRightInd w:val="0"/>
        <w:snapToGrid w:val="0"/>
        <w:spacing w:before="0" w:after="0" w:line="400" w:lineRule="exact"/>
        <w:jc w:val="left"/>
        <w:rPr>
          <w:rFonts w:hint="eastAsia" w:ascii="宋体" w:hAnsi="宋体" w:eastAsia="宋体" w:cs="Times New Roman"/>
          <w:b w:val="0"/>
          <w:bCs w:val="0"/>
          <w:color w:val="auto"/>
          <w:kern w:val="2"/>
          <w:sz w:val="24"/>
          <w:szCs w:val="24"/>
          <w:lang w:val="en-US" w:eastAsia="zh-CN" w:bidi="ar-SA"/>
        </w:rPr>
      </w:pPr>
      <w:r>
        <w:rPr>
          <w:rFonts w:hint="eastAsia" w:asciiTheme="majorEastAsia" w:hAnsiTheme="majorEastAsia" w:eastAsiaTheme="majorEastAsia" w:cstheme="majorEastAsia"/>
          <w:bCs/>
          <w:sz w:val="24"/>
          <w:szCs w:val="24"/>
        </w:rPr>
        <w:t>★</w:t>
      </w:r>
      <w:r>
        <w:rPr>
          <w:rFonts w:hint="eastAsia" w:ascii="宋体" w:hAnsi="宋体" w:eastAsia="宋体" w:cs="Times New Roman"/>
          <w:b w:val="0"/>
          <w:bCs w:val="0"/>
          <w:color w:val="000000" w:themeColor="text1"/>
          <w:kern w:val="2"/>
          <w:sz w:val="24"/>
          <w:szCs w:val="24"/>
          <w:lang w:val="en-US" w:eastAsia="zh-CN" w:bidi="ar-SA"/>
          <w14:textFill>
            <w14:solidFill>
              <w14:schemeClr w14:val="tx1"/>
            </w14:solidFill>
          </w14:textFill>
        </w:rPr>
        <w:t>（一</w:t>
      </w:r>
      <w:r>
        <w:rPr>
          <w:rFonts w:hint="eastAsia" w:ascii="宋体" w:hAnsi="宋体" w:eastAsia="宋体" w:cs="Times New Roman"/>
          <w:b w:val="0"/>
          <w:bCs w:val="0"/>
          <w:color w:val="auto"/>
          <w:kern w:val="2"/>
          <w:sz w:val="24"/>
          <w:szCs w:val="24"/>
          <w:lang w:val="en-US" w:eastAsia="zh-CN" w:bidi="ar-SA"/>
        </w:rPr>
        <w:t>）本项目为鹿城区人民路全程户外LED广告投播项目，服务期限：</w:t>
      </w:r>
      <w:r>
        <w:rPr>
          <w:rFonts w:hint="eastAsia" w:ascii="宋体" w:hAnsi="宋体" w:cs="Times New Roman"/>
          <w:b w:val="0"/>
          <w:bCs w:val="0"/>
          <w:color w:val="auto"/>
          <w:kern w:val="2"/>
          <w:sz w:val="24"/>
          <w:szCs w:val="24"/>
          <w:lang w:val="en-US" w:eastAsia="zh-CN" w:bidi="ar-SA"/>
        </w:rPr>
        <w:t>1年</w:t>
      </w:r>
      <w:r>
        <w:rPr>
          <w:rFonts w:hint="eastAsia" w:ascii="宋体" w:hAnsi="宋体" w:eastAsia="宋体" w:cs="Times New Roman"/>
          <w:b w:val="0"/>
          <w:bCs w:val="0"/>
          <w:color w:val="auto"/>
          <w:kern w:val="2"/>
          <w:sz w:val="24"/>
          <w:szCs w:val="24"/>
          <w:lang w:val="en-US" w:eastAsia="zh-CN" w:bidi="ar-SA"/>
        </w:rPr>
        <w:t>，具体如下：</w:t>
      </w:r>
    </w:p>
    <w:p w14:paraId="0ADD4CEF">
      <w:pPr>
        <w:pageBreakBefore w:val="0"/>
        <w:kinsoku/>
        <w:topLinePunct w:val="0"/>
        <w:bidi w:val="0"/>
        <w:spacing w:line="400" w:lineRule="exact"/>
        <w:ind w:firstLine="480"/>
        <w:jc w:val="left"/>
        <w:rPr>
          <w:rFonts w:hint="default" w:ascii="宋体" w:hAnsi="宋体" w:eastAsia="宋体" w:cs="Times New Roman"/>
          <w:b w:val="0"/>
          <w:bCs w:val="0"/>
          <w:color w:val="auto"/>
          <w:kern w:val="2"/>
          <w:sz w:val="24"/>
          <w:szCs w:val="24"/>
          <w:lang w:val="en-US" w:eastAsia="zh-CN" w:bidi="ar-SA"/>
        </w:rPr>
      </w:pPr>
      <w:r>
        <w:rPr>
          <w:rFonts w:hint="eastAsia" w:ascii="宋体" w:hAnsi="宋体" w:eastAsia="宋体" w:cs="Times New Roman"/>
          <w:b w:val="0"/>
          <w:bCs w:val="0"/>
          <w:color w:val="auto"/>
          <w:kern w:val="2"/>
          <w:sz w:val="24"/>
          <w:szCs w:val="24"/>
          <w:lang w:val="en-US" w:eastAsia="zh-CN" w:bidi="ar-SA"/>
        </w:rPr>
        <w:t>1、精神卫生日主题“共建共治共享，同心健心安心”广告策划、制作</w:t>
      </w:r>
      <w:r>
        <w:rPr>
          <w:rFonts w:hint="eastAsia" w:ascii="宋体" w:hAnsi="宋体" w:cs="Times New Roman"/>
          <w:b w:val="0"/>
          <w:bCs w:val="0"/>
          <w:color w:val="auto"/>
          <w:kern w:val="2"/>
          <w:sz w:val="24"/>
          <w:szCs w:val="24"/>
          <w:lang w:val="en-US" w:eastAsia="zh-CN" w:bidi="ar-SA"/>
        </w:rPr>
        <w:t>；包括但不限于</w:t>
      </w:r>
      <w:r>
        <w:rPr>
          <w:rFonts w:hint="eastAsia" w:ascii="宋体" w:hAnsi="宋体" w:eastAsia="宋体" w:cs="Times New Roman"/>
          <w:b w:val="0"/>
          <w:bCs w:val="0"/>
          <w:color w:val="auto"/>
          <w:kern w:val="2"/>
          <w:sz w:val="24"/>
          <w:szCs w:val="24"/>
          <w:lang w:val="en-US" w:eastAsia="zh-CN" w:bidi="ar-SA"/>
        </w:rPr>
        <w:t>三八妇女节、世界睡眠日、双相情感障碍日、世界自闭症日、大学生心理健康日、护士节、中国医师节、世界阿尔兹海默症日、抽动障碍关爱日</w:t>
      </w:r>
      <w:r>
        <w:rPr>
          <w:rFonts w:hint="eastAsia" w:ascii="宋体" w:hAnsi="宋体" w:cs="Times New Roman"/>
          <w:b w:val="0"/>
          <w:bCs w:val="0"/>
          <w:color w:val="auto"/>
          <w:kern w:val="2"/>
          <w:sz w:val="24"/>
          <w:szCs w:val="24"/>
          <w:lang w:val="en-US" w:eastAsia="zh-CN" w:bidi="ar-SA"/>
        </w:rPr>
        <w:t>等与精神卫生相关的节日广告策划、制作</w:t>
      </w:r>
      <w:r>
        <w:rPr>
          <w:rFonts w:hint="eastAsia" w:ascii="宋体" w:hAnsi="宋体" w:eastAsia="宋体" w:cs="Times New Roman"/>
          <w:b w:val="0"/>
          <w:bCs w:val="0"/>
          <w:color w:val="auto"/>
          <w:kern w:val="2"/>
          <w:sz w:val="24"/>
          <w:szCs w:val="24"/>
          <w:lang w:val="en-US" w:eastAsia="zh-CN" w:bidi="ar-SA"/>
        </w:rPr>
        <w:t>。</w:t>
      </w:r>
    </w:p>
    <w:p w14:paraId="390DA9F1">
      <w:pPr>
        <w:pageBreakBefore w:val="0"/>
        <w:kinsoku/>
        <w:topLinePunct w:val="0"/>
        <w:bidi w:val="0"/>
        <w:spacing w:line="400" w:lineRule="exact"/>
        <w:ind w:firstLine="480"/>
        <w:jc w:val="left"/>
        <w:rPr>
          <w:rFonts w:hint="eastAsia" w:ascii="宋体" w:hAnsi="宋体" w:eastAsia="宋体" w:cs="Times New Roman"/>
          <w:b w:val="0"/>
          <w:bCs w:val="0"/>
          <w:color w:val="auto"/>
          <w:kern w:val="2"/>
          <w:sz w:val="24"/>
          <w:szCs w:val="24"/>
          <w:u w:val="none"/>
          <w:lang w:val="en-US" w:eastAsia="zh-CN" w:bidi="ar-SA"/>
        </w:rPr>
      </w:pPr>
      <w:r>
        <w:rPr>
          <w:rFonts w:hint="eastAsia" w:ascii="宋体" w:hAnsi="宋体" w:eastAsia="宋体" w:cs="Times New Roman"/>
          <w:b w:val="0"/>
          <w:bCs w:val="0"/>
          <w:color w:val="auto"/>
          <w:kern w:val="2"/>
          <w:sz w:val="24"/>
          <w:szCs w:val="24"/>
          <w:u w:val="none"/>
          <w:lang w:val="en-US" w:eastAsia="zh-CN" w:bidi="ar-SA"/>
        </w:rPr>
        <w:t>2、</w:t>
      </w:r>
      <w:r>
        <w:rPr>
          <w:rFonts w:hint="eastAsia" w:ascii="宋体" w:hAnsi="宋体" w:cs="Times New Roman"/>
          <w:b w:val="0"/>
          <w:bCs w:val="0"/>
          <w:color w:val="auto"/>
          <w:kern w:val="2"/>
          <w:sz w:val="24"/>
          <w:szCs w:val="24"/>
          <w:lang w:val="en-US" w:eastAsia="zh-CN" w:bidi="ar-SA"/>
        </w:rPr>
        <w:t>第1点所要求的节假日当天</w:t>
      </w:r>
      <w:r>
        <w:rPr>
          <w:rFonts w:hint="eastAsia" w:ascii="宋体" w:hAnsi="宋体" w:eastAsia="宋体" w:cs="Times New Roman"/>
          <w:b w:val="0"/>
          <w:bCs w:val="0"/>
          <w:color w:val="auto"/>
          <w:kern w:val="2"/>
          <w:sz w:val="24"/>
          <w:szCs w:val="24"/>
          <w:u w:val="none"/>
          <w:lang w:val="en-US" w:eastAsia="zh-CN" w:bidi="ar-SA"/>
        </w:rPr>
        <w:t>广告单次播放时间不少于15秒，日播放次数不少于200次，播放时间段应为早上8点到晚上10点之间，且播放频率一致。</w:t>
      </w:r>
    </w:p>
    <w:p w14:paraId="12B75366">
      <w:pPr>
        <w:pageBreakBefore w:val="0"/>
        <w:kinsoku/>
        <w:topLinePunct w:val="0"/>
        <w:bidi w:val="0"/>
        <w:spacing w:line="400" w:lineRule="exact"/>
        <w:ind w:firstLine="480"/>
        <w:jc w:val="left"/>
        <w:rPr>
          <w:rFonts w:hint="eastAsia" w:ascii="宋体" w:hAnsi="宋体" w:eastAsia="宋体" w:cs="Times New Roman"/>
          <w:b w:val="0"/>
          <w:bCs w:val="0"/>
          <w:color w:val="auto"/>
          <w:kern w:val="2"/>
          <w:sz w:val="24"/>
          <w:szCs w:val="24"/>
          <w:lang w:val="en-US" w:eastAsia="zh-CN" w:bidi="ar-SA"/>
        </w:rPr>
      </w:pPr>
      <w:r>
        <w:rPr>
          <w:rFonts w:hint="eastAsia" w:ascii="宋体" w:hAnsi="宋体" w:eastAsia="宋体" w:cs="Times New Roman"/>
          <w:b w:val="0"/>
          <w:bCs w:val="0"/>
          <w:color w:val="auto"/>
          <w:kern w:val="2"/>
          <w:sz w:val="24"/>
          <w:szCs w:val="24"/>
          <w:lang w:val="en-US" w:eastAsia="zh-CN" w:bidi="ar-SA"/>
        </w:rPr>
        <w:t>3、</w:t>
      </w:r>
      <w:r>
        <w:rPr>
          <w:rFonts w:hint="eastAsia" w:ascii="宋体" w:hAnsi="宋体" w:cs="Times New Roman"/>
          <w:b w:val="0"/>
          <w:bCs w:val="0"/>
          <w:color w:val="auto"/>
          <w:kern w:val="2"/>
          <w:sz w:val="24"/>
          <w:szCs w:val="24"/>
          <w:lang w:val="en-US" w:eastAsia="zh-CN" w:bidi="ar-SA"/>
        </w:rPr>
        <w:t>第1点所要求的节假日当天在</w:t>
      </w:r>
      <w:r>
        <w:rPr>
          <w:rFonts w:hint="eastAsia" w:ascii="宋体" w:hAnsi="宋体"/>
          <w:color w:val="auto"/>
          <w:sz w:val="24"/>
          <w:lang w:val="en-US" w:eastAsia="zh-CN"/>
        </w:rPr>
        <w:t>鹿城区人民路及市区重点商圈户外LED广告投播</w:t>
      </w:r>
      <w:r>
        <w:rPr>
          <w:rFonts w:hint="eastAsia" w:ascii="宋体" w:hAnsi="宋体" w:eastAsia="宋体" w:cs="Times New Roman"/>
          <w:b w:val="0"/>
          <w:bCs w:val="0"/>
          <w:color w:val="auto"/>
          <w:kern w:val="2"/>
          <w:sz w:val="24"/>
          <w:szCs w:val="24"/>
          <w:lang w:val="en-US" w:eastAsia="zh-CN" w:bidi="ar-SA"/>
        </w:rPr>
        <w:t>。</w:t>
      </w:r>
    </w:p>
    <w:p w14:paraId="2372AB00">
      <w:pPr>
        <w:pageBreakBefore w:val="0"/>
        <w:kinsoku/>
        <w:topLinePunct w:val="0"/>
        <w:bidi w:val="0"/>
        <w:spacing w:line="400" w:lineRule="exact"/>
        <w:ind w:firstLine="480"/>
        <w:jc w:val="left"/>
        <w:rPr>
          <w:rFonts w:hint="eastAsia" w:ascii="宋体" w:hAnsi="宋体" w:eastAsia="宋体" w:cs="Times New Roman"/>
          <w:b w:val="0"/>
          <w:bCs w:val="0"/>
          <w:color w:val="auto"/>
          <w:kern w:val="2"/>
          <w:sz w:val="24"/>
          <w:szCs w:val="24"/>
          <w:lang w:val="en-US" w:eastAsia="zh-CN" w:bidi="ar-SA"/>
        </w:rPr>
      </w:pPr>
      <w:r>
        <w:rPr>
          <w:rFonts w:hint="eastAsia" w:ascii="宋体" w:hAnsi="宋体" w:eastAsia="宋体" w:cs="Times New Roman"/>
          <w:b w:val="0"/>
          <w:bCs w:val="0"/>
          <w:color w:val="auto"/>
          <w:kern w:val="2"/>
          <w:sz w:val="24"/>
          <w:szCs w:val="24"/>
          <w:lang w:val="en-US" w:eastAsia="zh-CN" w:bidi="ar-SA"/>
        </w:rPr>
        <w:t>4、供应商应根据采购人提供的素材制作广告，最终投播内容应经采购人认可。且在广告投播期间，采购人认为广告内容需修改的，供应商应无偿修改广告内容，修改次数不少于6次。</w:t>
      </w:r>
    </w:p>
    <w:p w14:paraId="4E6DA432">
      <w:pPr>
        <w:pageBreakBefore w:val="0"/>
        <w:kinsoku/>
        <w:topLinePunct w:val="0"/>
        <w:bidi w:val="0"/>
        <w:spacing w:line="400" w:lineRule="exact"/>
        <w:ind w:firstLine="480"/>
        <w:jc w:val="left"/>
        <w:rPr>
          <w:rFonts w:hint="default" w:ascii="宋体" w:hAnsi="宋体" w:eastAsia="宋体" w:cs="Times New Roman"/>
          <w:b w:val="0"/>
          <w:bCs w:val="0"/>
          <w:color w:val="auto"/>
          <w:kern w:val="2"/>
          <w:sz w:val="24"/>
          <w:szCs w:val="24"/>
          <w:lang w:val="en-US" w:eastAsia="zh-CN" w:bidi="ar-SA"/>
        </w:rPr>
      </w:pPr>
      <w:r>
        <w:rPr>
          <w:rFonts w:hint="eastAsia" w:ascii="宋体" w:hAnsi="宋体" w:eastAsia="宋体" w:cs="Times New Roman"/>
          <w:b w:val="0"/>
          <w:bCs w:val="0"/>
          <w:color w:val="auto"/>
          <w:kern w:val="2"/>
          <w:sz w:val="24"/>
          <w:szCs w:val="24"/>
          <w:lang w:val="en-US" w:eastAsia="zh-CN" w:bidi="ar-SA"/>
        </w:rPr>
        <w:t>5、项目服务期：</w:t>
      </w:r>
      <w:r>
        <w:rPr>
          <w:rFonts w:hint="eastAsia" w:ascii="宋体" w:hAnsi="宋体" w:cs="Times New Roman"/>
          <w:b w:val="0"/>
          <w:bCs w:val="0"/>
          <w:color w:val="auto"/>
          <w:kern w:val="2"/>
          <w:sz w:val="24"/>
          <w:szCs w:val="24"/>
          <w:lang w:val="en-US" w:eastAsia="zh-CN" w:bidi="ar-SA"/>
        </w:rPr>
        <w:t>1年</w:t>
      </w:r>
    </w:p>
    <w:p w14:paraId="6FF38811">
      <w:pPr>
        <w:keepNext w:val="0"/>
        <w:keepLines w:val="0"/>
        <w:pageBreakBefore w:val="0"/>
        <w:widowControl/>
        <w:suppressLineNumbers w:val="0"/>
        <w:kinsoku/>
        <w:overflowPunct/>
        <w:topLinePunct w:val="0"/>
        <w:bidi w:val="0"/>
        <w:spacing w:line="400" w:lineRule="exact"/>
        <w:jc w:val="left"/>
        <w:rPr>
          <w:rFonts w:hint="eastAsia" w:ascii="宋体" w:hAnsi="宋体" w:eastAsia="宋体" w:cs="Times New Roman"/>
          <w:sz w:val="24"/>
          <w:lang w:val="en-US" w:eastAsia="zh-CN"/>
        </w:rPr>
      </w:pPr>
      <w:r>
        <w:rPr>
          <w:rFonts w:hint="eastAsia" w:asciiTheme="majorEastAsia" w:hAnsiTheme="majorEastAsia" w:eastAsiaTheme="majorEastAsia" w:cstheme="majorEastAsia"/>
          <w:bCs/>
          <w:sz w:val="24"/>
          <w:szCs w:val="24"/>
        </w:rPr>
        <w:t>★</w:t>
      </w:r>
      <w:r>
        <w:rPr>
          <w:rFonts w:hint="eastAsia" w:ascii="宋体" w:hAnsi="宋体" w:eastAsia="宋体" w:cs="Times New Roman"/>
          <w:sz w:val="24"/>
          <w:lang w:val="en-US" w:eastAsia="zh-CN"/>
        </w:rPr>
        <w:t>（</w:t>
      </w:r>
      <w:r>
        <w:rPr>
          <w:rFonts w:hint="eastAsia" w:ascii="宋体" w:hAnsi="宋体" w:cs="Times New Roman"/>
          <w:sz w:val="24"/>
          <w:lang w:val="en-US" w:eastAsia="zh-CN"/>
        </w:rPr>
        <w:t>二</w:t>
      </w:r>
      <w:r>
        <w:rPr>
          <w:rFonts w:hint="eastAsia" w:ascii="宋体" w:hAnsi="宋体" w:eastAsia="宋体" w:cs="Times New Roman"/>
          <w:sz w:val="24"/>
          <w:lang w:val="en-US" w:eastAsia="zh-CN"/>
        </w:rPr>
        <w:t>）比选文件有效期：90日历天（自投标截止日起计算）</w:t>
      </w:r>
    </w:p>
    <w:p w14:paraId="0B296345">
      <w:pPr>
        <w:keepNext w:val="0"/>
        <w:keepLines w:val="0"/>
        <w:pageBreakBefore w:val="0"/>
        <w:widowControl/>
        <w:suppressLineNumbers w:val="0"/>
        <w:kinsoku/>
        <w:overflowPunct/>
        <w:topLinePunct w:val="0"/>
        <w:bidi w:val="0"/>
        <w:spacing w:line="400" w:lineRule="exact"/>
        <w:ind w:firstLine="240" w:firstLineChars="100"/>
        <w:jc w:val="left"/>
        <w:rPr>
          <w:rFonts w:hint="eastAsia" w:ascii="宋体" w:hAnsi="宋体" w:eastAsia="宋体" w:cs="Times New Roman"/>
          <w:sz w:val="24"/>
          <w:lang w:val="en-US" w:eastAsia="zh-CN"/>
        </w:rPr>
      </w:pPr>
      <w:r>
        <w:rPr>
          <w:rFonts w:hint="eastAsia" w:ascii="宋体" w:hAnsi="宋体" w:eastAsia="宋体" w:cs="Times New Roman"/>
          <w:sz w:val="24"/>
          <w:lang w:val="en-US" w:eastAsia="zh-CN"/>
        </w:rPr>
        <w:t>（</w:t>
      </w:r>
      <w:r>
        <w:rPr>
          <w:rFonts w:hint="eastAsia" w:ascii="宋体" w:hAnsi="宋体" w:cs="Times New Roman"/>
          <w:sz w:val="24"/>
          <w:lang w:val="en-US" w:eastAsia="zh-CN"/>
        </w:rPr>
        <w:t>三</w:t>
      </w:r>
      <w:r>
        <w:rPr>
          <w:rFonts w:hint="eastAsia" w:ascii="宋体" w:hAnsi="宋体" w:eastAsia="宋体" w:cs="Times New Roman"/>
          <w:sz w:val="24"/>
          <w:lang w:val="en-US" w:eastAsia="zh-CN"/>
        </w:rPr>
        <w:t>）响应文件的签署及规定</w:t>
      </w:r>
    </w:p>
    <w:p w14:paraId="6478DAB6">
      <w:pPr>
        <w:keepNext w:val="0"/>
        <w:keepLines w:val="0"/>
        <w:pageBreakBefore w:val="0"/>
        <w:widowControl/>
        <w:suppressLineNumbers w:val="0"/>
        <w:kinsoku/>
        <w:overflowPunct/>
        <w:topLinePunct w:val="0"/>
        <w:bidi w:val="0"/>
        <w:spacing w:line="400" w:lineRule="exact"/>
        <w:jc w:val="left"/>
        <w:rPr>
          <w:rFonts w:hint="eastAsia" w:ascii="宋体" w:hAnsi="宋体" w:eastAsia="宋体" w:cs="Times New Roman"/>
          <w:sz w:val="24"/>
          <w:lang w:val="en-US" w:eastAsia="zh-CN"/>
        </w:rPr>
      </w:pPr>
      <w:r>
        <w:rPr>
          <w:rFonts w:hint="eastAsia" w:ascii="宋体" w:hAnsi="宋体" w:eastAsia="宋体" w:cs="Times New Roman"/>
          <w:sz w:val="24"/>
          <w:lang w:val="en-US" w:eastAsia="zh-CN"/>
        </w:rPr>
        <w:t>1、每套文件均须清楚的标明“正本”、“副本”。若正本和副本有差异，以正本为准。</w:t>
      </w:r>
    </w:p>
    <w:p w14:paraId="27DBE5B5">
      <w:pPr>
        <w:keepNext w:val="0"/>
        <w:keepLines w:val="0"/>
        <w:pageBreakBefore w:val="0"/>
        <w:widowControl/>
        <w:suppressLineNumbers w:val="0"/>
        <w:kinsoku/>
        <w:overflowPunct/>
        <w:topLinePunct w:val="0"/>
        <w:bidi w:val="0"/>
        <w:spacing w:line="400" w:lineRule="exact"/>
        <w:jc w:val="left"/>
        <w:rPr>
          <w:rFonts w:hint="eastAsia" w:ascii="宋体" w:hAnsi="宋体" w:eastAsia="宋体" w:cs="Times New Roman"/>
          <w:sz w:val="24"/>
          <w:lang w:val="en-US" w:eastAsia="zh-CN"/>
        </w:rPr>
      </w:pPr>
      <w:r>
        <w:rPr>
          <w:rFonts w:hint="eastAsia" w:ascii="宋体" w:hAnsi="宋体" w:eastAsia="宋体" w:cs="Times New Roman"/>
          <w:sz w:val="24"/>
          <w:lang w:val="en-US" w:eastAsia="zh-CN"/>
        </w:rPr>
        <w:t>2、遴选响应文件的正本需打印或用不褪色墨水书写，文件的副本可采用正本的复印件。</w:t>
      </w:r>
    </w:p>
    <w:p w14:paraId="54B299C5">
      <w:pPr>
        <w:keepNext w:val="0"/>
        <w:keepLines w:val="0"/>
        <w:pageBreakBefore w:val="0"/>
        <w:widowControl/>
        <w:suppressLineNumbers w:val="0"/>
        <w:kinsoku/>
        <w:overflowPunct/>
        <w:topLinePunct w:val="0"/>
        <w:bidi w:val="0"/>
        <w:spacing w:line="400" w:lineRule="exact"/>
        <w:jc w:val="left"/>
        <w:rPr>
          <w:rFonts w:hint="eastAsia" w:ascii="宋体" w:hAnsi="宋体" w:eastAsia="宋体" w:cs="Times New Roman"/>
          <w:sz w:val="24"/>
          <w:lang w:val="en-US" w:eastAsia="zh-CN"/>
        </w:rPr>
      </w:pPr>
      <w:r>
        <w:rPr>
          <w:rFonts w:hint="eastAsia" w:ascii="宋体" w:hAnsi="宋体" w:eastAsia="宋体" w:cs="Times New Roman"/>
          <w:sz w:val="24"/>
          <w:lang w:val="en-US" w:eastAsia="zh-CN"/>
        </w:rPr>
        <w:t>3、任何行间插字、涂改和增删，必须由</w:t>
      </w:r>
      <w:r>
        <w:rPr>
          <w:rFonts w:hint="eastAsia" w:ascii="宋体" w:hAnsi="宋体" w:cs="Times New Roman"/>
          <w:sz w:val="24"/>
          <w:lang w:val="en-US" w:eastAsia="zh-CN"/>
        </w:rPr>
        <w:t>其他供应商代表或监督人员</w:t>
      </w:r>
      <w:r>
        <w:rPr>
          <w:rFonts w:hint="eastAsia" w:ascii="宋体" w:hAnsi="宋体" w:eastAsia="宋体" w:cs="Times New Roman"/>
          <w:sz w:val="24"/>
          <w:lang w:val="en-US" w:eastAsia="zh-CN"/>
        </w:rPr>
        <w:t>在旁边签字才有效。</w:t>
      </w:r>
    </w:p>
    <w:p w14:paraId="2160805F">
      <w:pPr>
        <w:keepNext w:val="0"/>
        <w:keepLines w:val="0"/>
        <w:pageBreakBefore w:val="0"/>
        <w:widowControl/>
        <w:suppressLineNumbers w:val="0"/>
        <w:kinsoku/>
        <w:overflowPunct/>
        <w:topLinePunct w:val="0"/>
        <w:bidi w:val="0"/>
        <w:spacing w:line="400" w:lineRule="exact"/>
        <w:jc w:val="left"/>
        <w:rPr>
          <w:rFonts w:hint="eastAsia" w:ascii="宋体" w:hAnsi="宋体" w:eastAsia="宋体" w:cs="Times New Roman"/>
          <w:sz w:val="24"/>
          <w:lang w:val="en-US" w:eastAsia="zh-CN"/>
        </w:rPr>
      </w:pPr>
      <w:r>
        <w:rPr>
          <w:rFonts w:hint="eastAsia" w:ascii="宋体" w:hAnsi="宋体" w:eastAsia="宋体" w:cs="Times New Roman"/>
          <w:sz w:val="24"/>
          <w:lang w:val="en-US" w:eastAsia="zh-CN"/>
        </w:rPr>
        <w:t>4、电报、电话、传真形式的遴选响应文件概不接受。</w:t>
      </w:r>
    </w:p>
    <w:p w14:paraId="427E945B">
      <w:pPr>
        <w:keepNext w:val="0"/>
        <w:keepLines w:val="0"/>
        <w:pageBreakBefore w:val="0"/>
        <w:widowControl/>
        <w:suppressLineNumbers w:val="0"/>
        <w:kinsoku/>
        <w:overflowPunct/>
        <w:topLinePunct w:val="0"/>
        <w:bidi w:val="0"/>
        <w:spacing w:line="400" w:lineRule="exact"/>
        <w:jc w:val="left"/>
        <w:rPr>
          <w:rFonts w:hint="eastAsia" w:ascii="宋体" w:hAnsi="宋体" w:eastAsia="宋体" w:cs="Times New Roman"/>
          <w:sz w:val="24"/>
          <w:lang w:val="en-US" w:eastAsia="zh-CN"/>
        </w:rPr>
      </w:pPr>
      <w:r>
        <w:rPr>
          <w:rFonts w:hint="eastAsia" w:ascii="宋体" w:hAnsi="宋体" w:eastAsia="宋体" w:cs="Times New Roman"/>
          <w:sz w:val="24"/>
          <w:lang w:val="en-US" w:eastAsia="zh-CN"/>
        </w:rPr>
        <w:t xml:space="preserve">  （</w:t>
      </w:r>
      <w:r>
        <w:rPr>
          <w:rFonts w:hint="eastAsia" w:ascii="宋体" w:hAnsi="宋体" w:cs="Times New Roman"/>
          <w:sz w:val="24"/>
          <w:lang w:val="en-US" w:eastAsia="zh-CN"/>
        </w:rPr>
        <w:t>四</w:t>
      </w:r>
      <w:r>
        <w:rPr>
          <w:rFonts w:hint="eastAsia" w:ascii="宋体" w:hAnsi="宋体" w:eastAsia="宋体" w:cs="Times New Roman"/>
          <w:sz w:val="24"/>
          <w:lang w:val="en-US" w:eastAsia="zh-CN"/>
        </w:rPr>
        <w:t>）商务报价要求</w:t>
      </w:r>
    </w:p>
    <w:p w14:paraId="6149E4E7">
      <w:pPr>
        <w:keepNext w:val="0"/>
        <w:keepLines w:val="0"/>
        <w:pageBreakBefore w:val="0"/>
        <w:widowControl/>
        <w:suppressLineNumbers w:val="0"/>
        <w:kinsoku/>
        <w:overflowPunct/>
        <w:topLinePunct w:val="0"/>
        <w:bidi w:val="0"/>
        <w:spacing w:line="400" w:lineRule="exact"/>
        <w:jc w:val="left"/>
        <w:rPr>
          <w:rFonts w:hint="eastAsia" w:ascii="宋体" w:hAnsi="宋体" w:eastAsia="宋体" w:cs="Times New Roman"/>
          <w:sz w:val="24"/>
          <w:lang w:val="en-US" w:eastAsia="zh-CN"/>
        </w:rPr>
      </w:pPr>
      <w:r>
        <w:rPr>
          <w:rFonts w:hint="eastAsia" w:ascii="宋体" w:hAnsi="宋体" w:eastAsia="宋体" w:cs="Times New Roman"/>
          <w:kern w:val="2"/>
          <w:sz w:val="24"/>
          <w:szCs w:val="24"/>
          <w:lang w:val="en-US" w:eastAsia="zh-CN" w:bidi="ar-SA"/>
        </w:rPr>
        <w:t>1</w:t>
      </w:r>
      <w:r>
        <w:rPr>
          <w:rFonts w:hint="eastAsia" w:ascii="宋体" w:hAnsi="宋体" w:eastAsia="宋体" w:cs="Times New Roman"/>
          <w:sz w:val="24"/>
          <w:lang w:val="en-US" w:eastAsia="zh-CN"/>
        </w:rPr>
        <w:t>.投标人商务报价超过本项目预算金额的将作为无效投标。</w:t>
      </w:r>
    </w:p>
    <w:p w14:paraId="736CAAA6">
      <w:pPr>
        <w:keepNext w:val="0"/>
        <w:keepLines w:val="0"/>
        <w:pageBreakBefore w:val="0"/>
        <w:widowControl/>
        <w:suppressLineNumbers w:val="0"/>
        <w:kinsoku/>
        <w:overflowPunct/>
        <w:topLinePunct w:val="0"/>
        <w:bidi w:val="0"/>
        <w:spacing w:line="400" w:lineRule="exact"/>
        <w:jc w:val="left"/>
        <w:rPr>
          <w:rFonts w:hint="eastAsia" w:ascii="宋体" w:hAnsi="宋体" w:eastAsia="宋体" w:cs="Times New Roman"/>
          <w:sz w:val="24"/>
          <w:lang w:val="en-US" w:eastAsia="zh-CN"/>
        </w:rPr>
      </w:pPr>
      <w:r>
        <w:rPr>
          <w:rFonts w:hint="eastAsia" w:ascii="宋体" w:hAnsi="宋体" w:eastAsia="宋体" w:cs="Times New Roman"/>
          <w:sz w:val="24"/>
          <w:lang w:val="en-US" w:eastAsia="zh-CN"/>
        </w:rPr>
        <w:t>2.供应商响应报价格式应按本文件中附件四格式填写。</w:t>
      </w:r>
    </w:p>
    <w:p w14:paraId="5FEE961E">
      <w:pPr>
        <w:keepNext w:val="0"/>
        <w:keepLines w:val="0"/>
        <w:pageBreakBefore w:val="0"/>
        <w:widowControl/>
        <w:suppressLineNumbers w:val="0"/>
        <w:kinsoku/>
        <w:overflowPunct/>
        <w:topLinePunct w:val="0"/>
        <w:bidi w:val="0"/>
        <w:spacing w:line="400" w:lineRule="exact"/>
        <w:jc w:val="left"/>
        <w:rPr>
          <w:rFonts w:hint="eastAsia" w:ascii="宋体" w:hAnsi="宋体" w:eastAsia="宋体" w:cs="Times New Roman"/>
          <w:color w:val="auto"/>
          <w:sz w:val="24"/>
          <w:lang w:val="en-US" w:eastAsia="zh-CN"/>
        </w:rPr>
      </w:pPr>
      <w:r>
        <w:rPr>
          <w:rFonts w:hint="eastAsia" w:ascii="宋体" w:hAnsi="宋体" w:eastAsia="宋体" w:cs="Times New Roman"/>
          <w:sz w:val="24"/>
          <w:lang w:val="en-US" w:eastAsia="zh-CN"/>
        </w:rPr>
        <w:t>3.本次项目以人民币报价，评审时以人民币价格为准。供应商应在各自技术和商务占优势的</w:t>
      </w:r>
      <w:r>
        <w:rPr>
          <w:rFonts w:hint="eastAsia" w:ascii="宋体" w:hAnsi="宋体" w:eastAsia="宋体" w:cs="Times New Roman"/>
          <w:color w:val="auto"/>
          <w:sz w:val="24"/>
          <w:lang w:val="en-US" w:eastAsia="zh-CN"/>
        </w:rPr>
        <w:t>基础上并充分考虑本项目的重要性，提供对采购人最优惠的报价。</w:t>
      </w:r>
    </w:p>
    <w:p w14:paraId="007F082A">
      <w:pPr>
        <w:keepNext w:val="0"/>
        <w:keepLines w:val="0"/>
        <w:pageBreakBefore w:val="0"/>
        <w:widowControl/>
        <w:suppressLineNumbers w:val="0"/>
        <w:kinsoku/>
        <w:overflowPunct/>
        <w:topLinePunct w:val="0"/>
        <w:bidi w:val="0"/>
        <w:spacing w:line="400" w:lineRule="exact"/>
        <w:jc w:val="left"/>
        <w:rPr>
          <w:rFonts w:hint="default" w:ascii="宋体" w:hAnsi="宋体" w:eastAsia="宋体" w:cs="Times New Roman"/>
          <w:color w:val="auto"/>
          <w:sz w:val="24"/>
          <w:lang w:val="en-US" w:eastAsia="zh-CN"/>
        </w:rPr>
      </w:pPr>
      <w:r>
        <w:rPr>
          <w:rFonts w:hint="eastAsia" w:ascii="宋体" w:hAnsi="宋体" w:eastAsia="宋体" w:cs="Times New Roman"/>
          <w:color w:val="auto"/>
          <w:sz w:val="24"/>
          <w:lang w:val="en-US" w:eastAsia="zh-CN"/>
        </w:rPr>
        <w:t>4.投标报价应包含以下费用：（1）人员成本费用；（2）机具、材料费用；（3）企业管理费用及其他费用；（4）利润；（5）税金、风险等其他一切费用。</w:t>
      </w:r>
    </w:p>
    <w:p w14:paraId="47A65CAD">
      <w:pPr>
        <w:keepNext w:val="0"/>
        <w:keepLines w:val="0"/>
        <w:pageBreakBefore w:val="0"/>
        <w:widowControl/>
        <w:suppressLineNumbers w:val="0"/>
        <w:kinsoku/>
        <w:overflowPunct/>
        <w:topLinePunct w:val="0"/>
        <w:bidi w:val="0"/>
        <w:spacing w:line="400" w:lineRule="exact"/>
        <w:jc w:val="left"/>
        <w:rPr>
          <w:rFonts w:hint="eastAsia" w:ascii="宋体" w:hAnsi="宋体" w:eastAsia="宋体" w:cs="Times New Roman"/>
          <w:color w:val="auto"/>
          <w:sz w:val="24"/>
          <w:lang w:val="en-US" w:eastAsia="zh-CN"/>
        </w:rPr>
      </w:pPr>
      <w:r>
        <w:rPr>
          <w:rFonts w:hint="eastAsia" w:ascii="宋体" w:hAnsi="宋体" w:eastAsia="宋体" w:cs="Times New Roman"/>
          <w:color w:val="auto"/>
          <w:sz w:val="24"/>
          <w:lang w:val="en-US" w:eastAsia="zh-CN"/>
        </w:rPr>
        <w:t>投标报价为完成本项目其他一切费用，投标供应商不得再要求追加任何费用。</w:t>
      </w:r>
    </w:p>
    <w:p w14:paraId="2B4DCAAA">
      <w:pPr>
        <w:keepNext w:val="0"/>
        <w:keepLines w:val="0"/>
        <w:pageBreakBefore w:val="0"/>
        <w:widowControl/>
        <w:suppressLineNumbers w:val="0"/>
        <w:kinsoku/>
        <w:overflowPunct/>
        <w:topLinePunct w:val="0"/>
        <w:bidi w:val="0"/>
        <w:spacing w:line="400" w:lineRule="exact"/>
        <w:jc w:val="left"/>
        <w:rPr>
          <w:rFonts w:hint="default" w:ascii="宋体" w:hAnsi="宋体" w:eastAsia="宋体" w:cs="Times New Roman"/>
          <w:color w:val="auto"/>
          <w:sz w:val="24"/>
          <w:lang w:val="en-US" w:eastAsia="zh-CN"/>
        </w:rPr>
      </w:pPr>
      <w:r>
        <w:rPr>
          <w:rFonts w:hint="eastAsia" w:asciiTheme="majorEastAsia" w:hAnsiTheme="majorEastAsia" w:eastAsiaTheme="majorEastAsia" w:cstheme="majorEastAsia"/>
          <w:bCs/>
          <w:sz w:val="24"/>
          <w:szCs w:val="24"/>
        </w:rPr>
        <w:t>★</w:t>
      </w:r>
      <w:r>
        <w:rPr>
          <w:rFonts w:hint="eastAsia" w:ascii="宋体" w:hAnsi="宋体" w:eastAsia="宋体" w:cs="Times New Roman"/>
          <w:color w:val="auto"/>
          <w:sz w:val="24"/>
          <w:lang w:val="en-US" w:eastAsia="zh-CN"/>
        </w:rPr>
        <w:t>供应商在投标报价中应充分考虑所有可能发生的费用，否则采购人将视投标总价中已包括所有费用。</w:t>
      </w:r>
    </w:p>
    <w:p w14:paraId="650E0C15">
      <w:pPr>
        <w:keepNext w:val="0"/>
        <w:keepLines w:val="0"/>
        <w:pageBreakBefore w:val="0"/>
        <w:widowControl/>
        <w:suppressLineNumbers w:val="0"/>
        <w:kinsoku/>
        <w:overflowPunct/>
        <w:topLinePunct w:val="0"/>
        <w:bidi w:val="0"/>
        <w:spacing w:line="400" w:lineRule="exact"/>
        <w:ind w:firstLine="240" w:firstLineChars="100"/>
        <w:jc w:val="left"/>
        <w:rPr>
          <w:rFonts w:hint="eastAsia" w:ascii="宋体" w:hAnsi="宋体" w:cs="Times New Roman"/>
          <w:sz w:val="24"/>
          <w:lang w:val="en-US" w:eastAsia="zh-CN"/>
        </w:rPr>
      </w:pPr>
      <w:r>
        <w:rPr>
          <w:rFonts w:hint="eastAsia" w:ascii="宋体" w:hAnsi="宋体" w:cs="Times New Roman"/>
          <w:sz w:val="24"/>
          <w:lang w:val="en-US" w:eastAsia="zh-CN"/>
        </w:rPr>
        <w:t>（五）其他要求</w:t>
      </w:r>
    </w:p>
    <w:p w14:paraId="5D43AE32">
      <w:pPr>
        <w:keepNext w:val="0"/>
        <w:keepLines w:val="0"/>
        <w:pageBreakBefore w:val="0"/>
        <w:widowControl/>
        <w:suppressLineNumbers w:val="0"/>
        <w:kinsoku/>
        <w:overflowPunct/>
        <w:topLinePunct w:val="0"/>
        <w:bidi w:val="0"/>
        <w:spacing w:line="400" w:lineRule="exact"/>
        <w:jc w:val="left"/>
        <w:rPr>
          <w:rFonts w:hint="eastAsia" w:ascii="宋体" w:hAnsi="宋体" w:eastAsia="宋体" w:cs="Times New Roman"/>
          <w:sz w:val="24"/>
          <w:lang w:val="en-US" w:eastAsia="zh-CN"/>
        </w:rPr>
      </w:pPr>
      <w:r>
        <w:rPr>
          <w:rFonts w:hint="eastAsia" w:ascii="宋体" w:hAnsi="宋体" w:eastAsia="宋体" w:cs="Times New Roman"/>
          <w:sz w:val="24"/>
          <w:lang w:val="en-US" w:eastAsia="zh-CN"/>
        </w:rPr>
        <w:t>1.供应商必须根据自己的技术和商务优势对此项目的全部内容进行投标，不得只投其中一部分内容，只对部分内容进行报价的供应商将按无效投标处理。</w:t>
      </w:r>
    </w:p>
    <w:p w14:paraId="7AE81A60">
      <w:pPr>
        <w:keepNext w:val="0"/>
        <w:keepLines w:val="0"/>
        <w:pageBreakBefore w:val="0"/>
        <w:widowControl/>
        <w:suppressLineNumbers w:val="0"/>
        <w:kinsoku/>
        <w:overflowPunct/>
        <w:topLinePunct w:val="0"/>
        <w:bidi w:val="0"/>
        <w:spacing w:line="400" w:lineRule="exact"/>
        <w:jc w:val="left"/>
        <w:rPr>
          <w:rFonts w:hint="eastAsia" w:ascii="宋体" w:hAnsi="宋体" w:eastAsia="宋体" w:cs="Times New Roman"/>
          <w:sz w:val="24"/>
          <w:lang w:val="en-US" w:eastAsia="zh-CN"/>
        </w:rPr>
      </w:pPr>
      <w:r>
        <w:rPr>
          <w:rFonts w:hint="eastAsia" w:ascii="宋体" w:hAnsi="宋体" w:eastAsia="宋体" w:cs="Times New Roman"/>
          <w:sz w:val="24"/>
          <w:lang w:val="en-US" w:eastAsia="zh-CN"/>
        </w:rPr>
        <w:t>2.供应商法定代表人或负责人或实际控制人是同一人，法定代表人或负责人或实际控制人是夫妻关系，法定代表人或负责人或实际控制人是直系血亲关系，法定代表人或负责人或实际控制人存在三代以内旁系血亲关系，法定代表人或负责人或实际控制人存在近姻亲关系，单位负责人为同一人或者存在直接控股、管理关系的不同供应商不得同时参加本次政府采购活动，否则所有关联供应商均按无效供应商处理。</w:t>
      </w:r>
    </w:p>
    <w:p w14:paraId="7320421A">
      <w:pPr>
        <w:keepNext w:val="0"/>
        <w:keepLines w:val="0"/>
        <w:pageBreakBefore w:val="0"/>
        <w:widowControl/>
        <w:suppressLineNumbers w:val="0"/>
        <w:kinsoku/>
        <w:overflowPunct/>
        <w:topLinePunct w:val="0"/>
        <w:bidi w:val="0"/>
        <w:spacing w:line="400" w:lineRule="exact"/>
        <w:ind w:firstLine="240" w:firstLineChars="100"/>
        <w:jc w:val="left"/>
        <w:rPr>
          <w:rFonts w:hint="eastAsia" w:ascii="宋体" w:hAnsi="宋体" w:eastAsia="宋体" w:cs="Times New Roman"/>
          <w:sz w:val="24"/>
          <w:lang w:val="en-US" w:eastAsia="zh-CN"/>
        </w:rPr>
      </w:pPr>
      <w:r>
        <w:rPr>
          <w:rFonts w:hint="eastAsia" w:ascii="宋体" w:hAnsi="宋体" w:eastAsia="宋体" w:cs="Times New Roman"/>
          <w:sz w:val="24"/>
          <w:lang w:val="en-US" w:eastAsia="zh-CN"/>
        </w:rPr>
        <w:t>（</w:t>
      </w:r>
      <w:r>
        <w:rPr>
          <w:rFonts w:hint="eastAsia" w:ascii="宋体" w:hAnsi="宋体" w:cs="Times New Roman"/>
          <w:sz w:val="24"/>
          <w:lang w:val="en-US" w:eastAsia="zh-CN"/>
        </w:rPr>
        <w:t>六</w:t>
      </w:r>
      <w:r>
        <w:rPr>
          <w:rFonts w:hint="eastAsia" w:ascii="宋体" w:hAnsi="宋体" w:eastAsia="宋体" w:cs="Times New Roman"/>
          <w:sz w:val="24"/>
          <w:lang w:val="en-US" w:eastAsia="zh-CN"/>
        </w:rPr>
        <w:t>）授予合同</w:t>
      </w:r>
    </w:p>
    <w:p w14:paraId="76404C33">
      <w:pPr>
        <w:keepNext w:val="0"/>
        <w:keepLines w:val="0"/>
        <w:pageBreakBefore w:val="0"/>
        <w:widowControl/>
        <w:suppressLineNumbers w:val="0"/>
        <w:kinsoku/>
        <w:overflowPunct/>
        <w:topLinePunct w:val="0"/>
        <w:bidi w:val="0"/>
        <w:spacing w:line="400" w:lineRule="exact"/>
        <w:jc w:val="left"/>
        <w:rPr>
          <w:rFonts w:hint="eastAsia" w:ascii="宋体" w:hAnsi="宋体" w:eastAsia="宋体" w:cs="Times New Roman"/>
          <w:sz w:val="24"/>
          <w:lang w:val="en-US" w:eastAsia="zh-CN"/>
        </w:rPr>
      </w:pPr>
      <w:r>
        <w:rPr>
          <w:rFonts w:hint="eastAsia" w:ascii="宋体" w:hAnsi="宋体" w:eastAsia="宋体" w:cs="Times New Roman"/>
          <w:sz w:val="24"/>
          <w:lang w:val="en-US" w:eastAsia="zh-CN"/>
        </w:rPr>
        <w:t>1.评标结果：评审小组根据评分标准，评出中标的</w:t>
      </w:r>
      <w:r>
        <w:rPr>
          <w:rFonts w:hint="eastAsia" w:ascii="宋体" w:hAnsi="宋体" w:cs="Times New Roman"/>
          <w:sz w:val="24"/>
          <w:lang w:val="en-US" w:eastAsia="zh-CN"/>
        </w:rPr>
        <w:t>供应商</w:t>
      </w:r>
      <w:r>
        <w:rPr>
          <w:rFonts w:hint="eastAsia" w:ascii="宋体" w:hAnsi="宋体" w:eastAsia="宋体" w:cs="Times New Roman"/>
          <w:sz w:val="24"/>
          <w:lang w:val="en-US" w:eastAsia="zh-CN"/>
        </w:rPr>
        <w:t>。</w:t>
      </w:r>
    </w:p>
    <w:p w14:paraId="67A6E668">
      <w:pPr>
        <w:keepNext w:val="0"/>
        <w:keepLines w:val="0"/>
        <w:pageBreakBefore w:val="0"/>
        <w:widowControl/>
        <w:suppressLineNumbers w:val="0"/>
        <w:kinsoku/>
        <w:overflowPunct/>
        <w:topLinePunct w:val="0"/>
        <w:bidi w:val="0"/>
        <w:spacing w:line="400" w:lineRule="exact"/>
        <w:jc w:val="left"/>
        <w:rPr>
          <w:rFonts w:hint="eastAsia" w:ascii="宋体" w:hAnsi="宋体" w:eastAsia="宋体" w:cs="Times New Roman"/>
          <w:sz w:val="24"/>
          <w:lang w:val="en-US" w:eastAsia="zh-CN"/>
        </w:rPr>
      </w:pPr>
      <w:r>
        <w:rPr>
          <w:rFonts w:hint="eastAsia" w:ascii="宋体" w:hAnsi="宋体" w:eastAsia="宋体" w:cs="Times New Roman"/>
          <w:sz w:val="24"/>
          <w:lang w:val="en-US" w:eastAsia="zh-CN"/>
        </w:rPr>
        <w:t>2.中标通知和合同授予：医院将以书面形式发出《中标通知书》。《中标通知书》将作为签订合同的依据。</w:t>
      </w:r>
    </w:p>
    <w:p w14:paraId="2519DC25">
      <w:pPr>
        <w:keepLines w:val="0"/>
        <w:pageBreakBefore w:val="0"/>
        <w:kinsoku/>
        <w:overflowPunct/>
        <w:topLinePunct w:val="0"/>
        <w:bidi w:val="0"/>
        <w:spacing w:line="400" w:lineRule="exact"/>
        <w:rPr>
          <w:rFonts w:asciiTheme="majorEastAsia" w:hAnsiTheme="majorEastAsia" w:eastAsiaTheme="majorEastAsia" w:cstheme="majorEastAsia"/>
          <w:b/>
          <w:sz w:val="24"/>
        </w:rPr>
      </w:pPr>
      <w:r>
        <w:rPr>
          <w:rFonts w:hint="eastAsia" w:asciiTheme="majorEastAsia" w:hAnsiTheme="majorEastAsia" w:eastAsiaTheme="majorEastAsia" w:cstheme="majorEastAsia"/>
          <w:b/>
          <w:sz w:val="24"/>
        </w:rPr>
        <w:t>三、投标文件组成</w:t>
      </w:r>
    </w:p>
    <w:p w14:paraId="2BF97337">
      <w:pPr>
        <w:keepLines w:val="0"/>
        <w:pageBreakBefore w:val="0"/>
        <w:kinsoku/>
        <w:overflowPunct/>
        <w:topLinePunct w:val="0"/>
        <w:bidi w:val="0"/>
        <w:spacing w:line="400" w:lineRule="exact"/>
        <w:ind w:firstLine="480" w:firstLineChars="200"/>
        <w:rPr>
          <w:rStyle w:val="19"/>
          <w:rFonts w:asciiTheme="majorEastAsia" w:hAnsiTheme="majorEastAsia" w:eastAsiaTheme="majorEastAsia" w:cstheme="majorEastAsia"/>
          <w:b w:val="0"/>
          <w:bCs w:val="0"/>
          <w:color w:val="000000" w:themeColor="text1"/>
          <w:sz w:val="24"/>
          <w:shd w:val="clear" w:color="auto" w:fill="FFFFFF"/>
          <w14:textFill>
            <w14:solidFill>
              <w14:schemeClr w14:val="tx1"/>
            </w14:solidFill>
          </w14:textFill>
        </w:rPr>
      </w:pPr>
      <w:r>
        <w:rPr>
          <w:rStyle w:val="19"/>
          <w:rFonts w:hint="eastAsia" w:asciiTheme="majorEastAsia" w:hAnsiTheme="majorEastAsia" w:eastAsiaTheme="majorEastAsia" w:cstheme="majorEastAsia"/>
          <w:b w:val="0"/>
          <w:bCs w:val="0"/>
          <w:color w:val="333333"/>
          <w:sz w:val="24"/>
          <w:shd w:val="clear" w:color="auto" w:fill="FFFFFF"/>
        </w:rPr>
        <w:t>（1）技</w:t>
      </w:r>
      <w:r>
        <w:rPr>
          <w:rStyle w:val="19"/>
          <w:rFonts w:hint="eastAsia" w:asciiTheme="majorEastAsia" w:hAnsiTheme="majorEastAsia" w:eastAsiaTheme="majorEastAsia" w:cstheme="majorEastAsia"/>
          <w:b w:val="0"/>
          <w:bCs w:val="0"/>
          <w:color w:val="000000" w:themeColor="text1"/>
          <w:sz w:val="24"/>
          <w:shd w:val="clear" w:color="auto" w:fill="FFFFFF"/>
          <w14:textFill>
            <w14:solidFill>
              <w14:schemeClr w14:val="tx1"/>
            </w14:solidFill>
          </w14:textFill>
        </w:rPr>
        <w:t>术</w:t>
      </w:r>
      <w:r>
        <w:rPr>
          <w:rStyle w:val="19"/>
          <w:rFonts w:hint="eastAsia" w:asciiTheme="majorEastAsia" w:hAnsiTheme="majorEastAsia" w:eastAsiaTheme="majorEastAsia" w:cstheme="majorEastAsia"/>
          <w:b w:val="0"/>
          <w:bCs w:val="0"/>
          <w:color w:val="000000" w:themeColor="text1"/>
          <w:sz w:val="24"/>
          <w:shd w:val="clear" w:color="auto" w:fill="FFFFFF"/>
          <w:lang w:eastAsia="zh-CN"/>
          <w14:textFill>
            <w14:solidFill>
              <w14:schemeClr w14:val="tx1"/>
            </w14:solidFill>
          </w14:textFill>
        </w:rPr>
        <w:t>资信</w:t>
      </w:r>
      <w:r>
        <w:rPr>
          <w:rStyle w:val="19"/>
          <w:rFonts w:hint="eastAsia" w:asciiTheme="majorEastAsia" w:hAnsiTheme="majorEastAsia" w:eastAsiaTheme="majorEastAsia" w:cstheme="majorEastAsia"/>
          <w:b w:val="0"/>
          <w:bCs w:val="0"/>
          <w:color w:val="000000" w:themeColor="text1"/>
          <w:sz w:val="24"/>
          <w:shd w:val="clear" w:color="auto" w:fill="FFFFFF"/>
          <w14:textFill>
            <w14:solidFill>
              <w14:schemeClr w14:val="tx1"/>
            </w14:solidFill>
          </w14:textFill>
        </w:rPr>
        <w:t>标</w:t>
      </w:r>
    </w:p>
    <w:tbl>
      <w:tblPr>
        <w:tblStyle w:val="16"/>
        <w:tblW w:w="98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
        <w:gridCol w:w="7193"/>
        <w:gridCol w:w="1717"/>
      </w:tblGrid>
      <w:tr w14:paraId="671E26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8" w:type="dxa"/>
            <w:vAlign w:val="center"/>
          </w:tcPr>
          <w:p w14:paraId="79123D05">
            <w:pPr>
              <w:keepLines w:val="0"/>
              <w:pageBreakBefore w:val="0"/>
              <w:kinsoku/>
              <w:overflowPunct/>
              <w:topLinePunct w:val="0"/>
              <w:bidi w:val="0"/>
              <w:adjustRightInd w:val="0"/>
              <w:snapToGrid w:val="0"/>
              <w:spacing w:line="400" w:lineRule="exact"/>
              <w:jc w:val="center"/>
              <w:rPr>
                <w:rFonts w:asciiTheme="majorEastAsia" w:hAnsiTheme="majorEastAsia" w:eastAsiaTheme="majorEastAsia" w:cstheme="majorEastAsia"/>
                <w:bCs/>
                <w:color w:val="000000" w:themeColor="text1"/>
                <w:sz w:val="24"/>
                <w14:textFill>
                  <w14:solidFill>
                    <w14:schemeClr w14:val="tx1"/>
                  </w14:solidFill>
                </w14:textFill>
              </w:rPr>
            </w:pPr>
            <w:r>
              <w:rPr>
                <w:rFonts w:hint="eastAsia" w:asciiTheme="majorEastAsia" w:hAnsiTheme="majorEastAsia" w:eastAsiaTheme="majorEastAsia" w:cstheme="majorEastAsia"/>
                <w:bCs/>
                <w:color w:val="000000" w:themeColor="text1"/>
                <w:sz w:val="24"/>
                <w14:textFill>
                  <w14:solidFill>
                    <w14:schemeClr w14:val="tx1"/>
                  </w14:solidFill>
                </w14:textFill>
              </w:rPr>
              <w:t>序号</w:t>
            </w:r>
          </w:p>
        </w:tc>
        <w:tc>
          <w:tcPr>
            <w:tcW w:w="7193" w:type="dxa"/>
            <w:vAlign w:val="center"/>
          </w:tcPr>
          <w:p w14:paraId="762621AA">
            <w:pPr>
              <w:keepLines w:val="0"/>
              <w:pageBreakBefore w:val="0"/>
              <w:kinsoku/>
              <w:overflowPunct/>
              <w:topLinePunct w:val="0"/>
              <w:bidi w:val="0"/>
              <w:adjustRightInd w:val="0"/>
              <w:snapToGrid w:val="0"/>
              <w:spacing w:line="400" w:lineRule="exact"/>
              <w:jc w:val="center"/>
              <w:rPr>
                <w:rFonts w:asciiTheme="majorEastAsia" w:hAnsiTheme="majorEastAsia" w:eastAsiaTheme="majorEastAsia" w:cstheme="majorEastAsia"/>
                <w:bCs/>
                <w:color w:val="000000" w:themeColor="text1"/>
                <w:sz w:val="24"/>
                <w14:textFill>
                  <w14:solidFill>
                    <w14:schemeClr w14:val="tx1"/>
                  </w14:solidFill>
                </w14:textFill>
              </w:rPr>
            </w:pPr>
            <w:r>
              <w:rPr>
                <w:rFonts w:hint="eastAsia" w:asciiTheme="majorEastAsia" w:hAnsiTheme="majorEastAsia" w:eastAsiaTheme="majorEastAsia" w:cstheme="majorEastAsia"/>
                <w:bCs/>
                <w:color w:val="000000" w:themeColor="text1"/>
                <w:sz w:val="24"/>
                <w14:textFill>
                  <w14:solidFill>
                    <w14:schemeClr w14:val="tx1"/>
                  </w14:solidFill>
                </w14:textFill>
              </w:rPr>
              <w:t>内容</w:t>
            </w:r>
          </w:p>
        </w:tc>
        <w:tc>
          <w:tcPr>
            <w:tcW w:w="1717" w:type="dxa"/>
            <w:vAlign w:val="center"/>
          </w:tcPr>
          <w:p w14:paraId="1A062517">
            <w:pPr>
              <w:keepLines w:val="0"/>
              <w:pageBreakBefore w:val="0"/>
              <w:kinsoku/>
              <w:overflowPunct/>
              <w:topLinePunct w:val="0"/>
              <w:bidi w:val="0"/>
              <w:adjustRightInd w:val="0"/>
              <w:snapToGrid w:val="0"/>
              <w:spacing w:line="400" w:lineRule="exact"/>
              <w:jc w:val="center"/>
              <w:rPr>
                <w:rFonts w:asciiTheme="majorEastAsia" w:hAnsiTheme="majorEastAsia" w:eastAsiaTheme="majorEastAsia" w:cstheme="majorEastAsia"/>
                <w:bCs/>
                <w:color w:val="000000" w:themeColor="text1"/>
                <w:sz w:val="24"/>
                <w14:textFill>
                  <w14:solidFill>
                    <w14:schemeClr w14:val="tx1"/>
                  </w14:solidFill>
                </w14:textFill>
              </w:rPr>
            </w:pPr>
            <w:r>
              <w:rPr>
                <w:rFonts w:hint="eastAsia" w:asciiTheme="majorEastAsia" w:hAnsiTheme="majorEastAsia" w:eastAsiaTheme="majorEastAsia" w:cstheme="majorEastAsia"/>
                <w:bCs/>
                <w:color w:val="000000" w:themeColor="text1"/>
                <w:sz w:val="24"/>
                <w14:textFill>
                  <w14:solidFill>
                    <w14:schemeClr w14:val="tx1"/>
                  </w14:solidFill>
                </w14:textFill>
              </w:rPr>
              <w:t>备注</w:t>
            </w:r>
          </w:p>
        </w:tc>
      </w:tr>
      <w:tr w14:paraId="29AEAD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527E9A47">
            <w:pPr>
              <w:keepLines w:val="0"/>
              <w:pageBreakBefore w:val="0"/>
              <w:kinsoku/>
              <w:overflowPunct/>
              <w:topLinePunct w:val="0"/>
              <w:bidi w:val="0"/>
              <w:adjustRightInd w:val="0"/>
              <w:snapToGrid w:val="0"/>
              <w:spacing w:line="400" w:lineRule="exact"/>
              <w:jc w:val="center"/>
              <w:rPr>
                <w:rFonts w:asciiTheme="majorEastAsia" w:hAnsiTheme="majorEastAsia" w:eastAsiaTheme="majorEastAsia" w:cstheme="majorEastAsia"/>
                <w:b/>
                <w:color w:val="000000" w:themeColor="text1"/>
                <w:sz w:val="24"/>
                <w14:textFill>
                  <w14:solidFill>
                    <w14:schemeClr w14:val="tx1"/>
                  </w14:solidFill>
                </w14:textFill>
              </w:rPr>
            </w:pPr>
            <w:r>
              <w:rPr>
                <w:rFonts w:hint="eastAsia" w:asciiTheme="majorEastAsia" w:hAnsiTheme="majorEastAsia" w:eastAsiaTheme="majorEastAsia" w:cstheme="majorEastAsia"/>
                <w:b/>
                <w:color w:val="000000" w:themeColor="text1"/>
                <w:sz w:val="24"/>
                <w14:textFill>
                  <w14:solidFill>
                    <w14:schemeClr w14:val="tx1"/>
                  </w14:solidFill>
                </w14:textFill>
              </w:rPr>
              <w:t>1</w:t>
            </w:r>
          </w:p>
        </w:tc>
        <w:tc>
          <w:tcPr>
            <w:tcW w:w="7193" w:type="dxa"/>
            <w:vAlign w:val="center"/>
          </w:tcPr>
          <w:p w14:paraId="4A31C125">
            <w:pPr>
              <w:keepLines w:val="0"/>
              <w:pageBreakBefore w:val="0"/>
              <w:kinsoku/>
              <w:overflowPunct/>
              <w:topLinePunct w:val="0"/>
              <w:bidi w:val="0"/>
              <w:adjustRightInd w:val="0"/>
              <w:snapToGrid w:val="0"/>
              <w:spacing w:line="400" w:lineRule="exact"/>
              <w:rPr>
                <w:rFonts w:asciiTheme="majorEastAsia" w:hAnsiTheme="majorEastAsia" w:eastAsiaTheme="majorEastAsia" w:cstheme="majorEastAsia"/>
                <w:b/>
                <w:color w:val="000000" w:themeColor="text1"/>
                <w:sz w:val="24"/>
                <w14:textFill>
                  <w14:solidFill>
                    <w14:schemeClr w14:val="tx1"/>
                  </w14:solidFill>
                </w14:textFill>
              </w:rPr>
            </w:pPr>
            <w:r>
              <w:rPr>
                <w:rFonts w:hint="eastAsia" w:asciiTheme="majorEastAsia" w:hAnsiTheme="majorEastAsia" w:eastAsiaTheme="majorEastAsia" w:cstheme="majorEastAsia"/>
                <w:b/>
                <w:color w:val="000000" w:themeColor="text1"/>
                <w:sz w:val="24"/>
                <w14:textFill>
                  <w14:solidFill>
                    <w14:schemeClr w14:val="tx1"/>
                  </w14:solidFill>
                </w14:textFill>
              </w:rPr>
              <w:t>投标函</w:t>
            </w:r>
          </w:p>
        </w:tc>
        <w:tc>
          <w:tcPr>
            <w:tcW w:w="1717" w:type="dxa"/>
            <w:vAlign w:val="center"/>
          </w:tcPr>
          <w:p w14:paraId="411BFDB7">
            <w:pPr>
              <w:keepLines w:val="0"/>
              <w:pageBreakBefore w:val="0"/>
              <w:kinsoku/>
              <w:overflowPunct/>
              <w:topLinePunct w:val="0"/>
              <w:bidi w:val="0"/>
              <w:adjustRightInd w:val="0"/>
              <w:snapToGrid w:val="0"/>
              <w:spacing w:line="400" w:lineRule="exact"/>
              <w:jc w:val="center"/>
              <w:rPr>
                <w:rFonts w:asciiTheme="majorEastAsia" w:hAnsiTheme="majorEastAsia" w:eastAsiaTheme="majorEastAsia" w:cstheme="majorEastAsia"/>
                <w:bCs/>
                <w:color w:val="000000" w:themeColor="text1"/>
                <w:sz w:val="24"/>
                <w14:textFill>
                  <w14:solidFill>
                    <w14:schemeClr w14:val="tx1"/>
                  </w14:solidFill>
                </w14:textFill>
              </w:rPr>
            </w:pPr>
            <w:r>
              <w:rPr>
                <w:rFonts w:hint="eastAsia" w:asciiTheme="majorEastAsia" w:hAnsiTheme="majorEastAsia" w:eastAsiaTheme="majorEastAsia" w:cstheme="majorEastAsia"/>
                <w:bCs/>
                <w:color w:val="000000" w:themeColor="text1"/>
                <w:sz w:val="24"/>
                <w14:textFill>
                  <w14:solidFill>
                    <w14:schemeClr w14:val="tx1"/>
                  </w14:solidFill>
                </w14:textFill>
              </w:rPr>
              <w:t>附件一</w:t>
            </w:r>
          </w:p>
        </w:tc>
      </w:tr>
      <w:tr w14:paraId="7E2B2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708DDB5C">
            <w:pPr>
              <w:keepLines w:val="0"/>
              <w:pageBreakBefore w:val="0"/>
              <w:kinsoku/>
              <w:overflowPunct/>
              <w:topLinePunct w:val="0"/>
              <w:bidi w:val="0"/>
              <w:adjustRightInd w:val="0"/>
              <w:snapToGrid w:val="0"/>
              <w:spacing w:line="400" w:lineRule="exact"/>
              <w:jc w:val="center"/>
              <w:rPr>
                <w:rFonts w:asciiTheme="majorEastAsia" w:hAnsiTheme="majorEastAsia" w:eastAsiaTheme="majorEastAsia" w:cstheme="majorEastAsia"/>
                <w:b/>
                <w:color w:val="000000" w:themeColor="text1"/>
                <w:sz w:val="24"/>
                <w14:textFill>
                  <w14:solidFill>
                    <w14:schemeClr w14:val="tx1"/>
                  </w14:solidFill>
                </w14:textFill>
              </w:rPr>
            </w:pPr>
            <w:r>
              <w:rPr>
                <w:rFonts w:hint="eastAsia" w:asciiTheme="majorEastAsia" w:hAnsiTheme="majorEastAsia" w:eastAsiaTheme="majorEastAsia" w:cstheme="majorEastAsia"/>
                <w:b/>
                <w:color w:val="000000" w:themeColor="text1"/>
                <w:sz w:val="24"/>
                <w14:textFill>
                  <w14:solidFill>
                    <w14:schemeClr w14:val="tx1"/>
                  </w14:solidFill>
                </w14:textFill>
              </w:rPr>
              <w:t>2</w:t>
            </w:r>
          </w:p>
        </w:tc>
        <w:tc>
          <w:tcPr>
            <w:tcW w:w="7193" w:type="dxa"/>
            <w:vAlign w:val="center"/>
          </w:tcPr>
          <w:p w14:paraId="157F2AA9">
            <w:pPr>
              <w:keepLines w:val="0"/>
              <w:pageBreakBefore w:val="0"/>
              <w:kinsoku/>
              <w:overflowPunct/>
              <w:topLinePunct w:val="0"/>
              <w:bidi w:val="0"/>
              <w:adjustRightInd w:val="0"/>
              <w:snapToGrid w:val="0"/>
              <w:spacing w:line="400" w:lineRule="exact"/>
              <w:rPr>
                <w:rFonts w:asciiTheme="majorEastAsia" w:hAnsiTheme="majorEastAsia" w:eastAsiaTheme="majorEastAsia" w:cstheme="majorEastAsia"/>
                <w:b/>
                <w:color w:val="000000" w:themeColor="text1"/>
                <w:sz w:val="24"/>
                <w14:textFill>
                  <w14:solidFill>
                    <w14:schemeClr w14:val="tx1"/>
                  </w14:solidFill>
                </w14:textFill>
              </w:rPr>
            </w:pPr>
            <w:r>
              <w:rPr>
                <w:rFonts w:hint="eastAsia" w:asciiTheme="majorEastAsia" w:hAnsiTheme="majorEastAsia" w:eastAsiaTheme="majorEastAsia" w:cstheme="majorEastAsia"/>
                <w:b/>
                <w:color w:val="000000" w:themeColor="text1"/>
                <w:sz w:val="24"/>
                <w14:textFill>
                  <w14:solidFill>
                    <w14:schemeClr w14:val="tx1"/>
                  </w14:solidFill>
                </w14:textFill>
              </w:rPr>
              <w:t>资格证明文件</w:t>
            </w:r>
          </w:p>
        </w:tc>
        <w:tc>
          <w:tcPr>
            <w:tcW w:w="1717" w:type="dxa"/>
            <w:vAlign w:val="center"/>
          </w:tcPr>
          <w:p w14:paraId="7DBD2225">
            <w:pPr>
              <w:keepLines w:val="0"/>
              <w:pageBreakBefore w:val="0"/>
              <w:kinsoku/>
              <w:overflowPunct/>
              <w:topLinePunct w:val="0"/>
              <w:bidi w:val="0"/>
              <w:adjustRightInd w:val="0"/>
              <w:snapToGrid w:val="0"/>
              <w:spacing w:line="400" w:lineRule="exact"/>
              <w:jc w:val="center"/>
              <w:rPr>
                <w:rFonts w:asciiTheme="majorEastAsia" w:hAnsiTheme="majorEastAsia" w:eastAsiaTheme="majorEastAsia" w:cstheme="majorEastAsia"/>
                <w:bCs/>
                <w:color w:val="000000" w:themeColor="text1"/>
                <w:sz w:val="24"/>
                <w14:textFill>
                  <w14:solidFill>
                    <w14:schemeClr w14:val="tx1"/>
                  </w14:solidFill>
                </w14:textFill>
              </w:rPr>
            </w:pPr>
          </w:p>
        </w:tc>
      </w:tr>
      <w:tr w14:paraId="1016FE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56DC1938">
            <w:pPr>
              <w:keepLines w:val="0"/>
              <w:pageBreakBefore w:val="0"/>
              <w:kinsoku/>
              <w:overflowPunct/>
              <w:topLinePunct w:val="0"/>
              <w:bidi w:val="0"/>
              <w:adjustRightInd w:val="0"/>
              <w:snapToGrid w:val="0"/>
              <w:spacing w:line="400" w:lineRule="exact"/>
              <w:jc w:val="center"/>
              <w:rPr>
                <w:rFonts w:asciiTheme="majorEastAsia" w:hAnsiTheme="majorEastAsia" w:eastAsiaTheme="majorEastAsia" w:cstheme="majorEastAsia"/>
                <w:bCs/>
                <w:color w:val="000000" w:themeColor="text1"/>
                <w:sz w:val="24"/>
                <w14:textFill>
                  <w14:solidFill>
                    <w14:schemeClr w14:val="tx1"/>
                  </w14:solidFill>
                </w14:textFill>
              </w:rPr>
            </w:pPr>
            <w:r>
              <w:rPr>
                <w:rFonts w:hint="eastAsia" w:asciiTheme="majorEastAsia" w:hAnsiTheme="majorEastAsia" w:eastAsiaTheme="majorEastAsia" w:cstheme="majorEastAsia"/>
                <w:bCs/>
                <w:color w:val="000000" w:themeColor="text1"/>
                <w:sz w:val="24"/>
                <w14:textFill>
                  <w14:solidFill>
                    <w14:schemeClr w14:val="tx1"/>
                  </w14:solidFill>
                </w14:textFill>
              </w:rPr>
              <w:t>2.1</w:t>
            </w:r>
          </w:p>
        </w:tc>
        <w:tc>
          <w:tcPr>
            <w:tcW w:w="7193" w:type="dxa"/>
            <w:vAlign w:val="center"/>
          </w:tcPr>
          <w:p w14:paraId="2FDD63F5">
            <w:pPr>
              <w:keepLines w:val="0"/>
              <w:pageBreakBefore w:val="0"/>
              <w:kinsoku/>
              <w:overflowPunct/>
              <w:topLinePunct w:val="0"/>
              <w:bidi w:val="0"/>
              <w:adjustRightInd w:val="0"/>
              <w:snapToGrid w:val="0"/>
              <w:spacing w:line="400" w:lineRule="exact"/>
              <w:rPr>
                <w:rFonts w:asciiTheme="majorEastAsia" w:hAnsiTheme="majorEastAsia" w:eastAsiaTheme="majorEastAsia" w:cstheme="majorEastAsia"/>
                <w:bCs/>
                <w:color w:val="000000" w:themeColor="text1"/>
                <w:sz w:val="24"/>
                <w:lang w:val="zh-CN"/>
                <w14:textFill>
                  <w14:solidFill>
                    <w14:schemeClr w14:val="tx1"/>
                  </w14:solidFill>
                </w14:textFill>
              </w:rPr>
            </w:pPr>
            <w:r>
              <w:rPr>
                <w:rFonts w:hint="eastAsia" w:asciiTheme="majorEastAsia" w:hAnsiTheme="majorEastAsia" w:eastAsiaTheme="majorEastAsia" w:cstheme="majorEastAsia"/>
                <w:bCs/>
                <w:color w:val="000000" w:themeColor="text1"/>
                <w:sz w:val="24"/>
                <w14:textFill>
                  <w14:solidFill>
                    <w14:schemeClr w14:val="tx1"/>
                  </w14:solidFill>
                </w14:textFill>
              </w:rPr>
              <w:t>法定代表人授权书</w:t>
            </w:r>
          </w:p>
        </w:tc>
        <w:tc>
          <w:tcPr>
            <w:tcW w:w="1717" w:type="dxa"/>
            <w:vAlign w:val="center"/>
          </w:tcPr>
          <w:p w14:paraId="785F63EF">
            <w:pPr>
              <w:keepLines w:val="0"/>
              <w:pageBreakBefore w:val="0"/>
              <w:kinsoku/>
              <w:overflowPunct/>
              <w:topLinePunct w:val="0"/>
              <w:bidi w:val="0"/>
              <w:adjustRightInd w:val="0"/>
              <w:snapToGrid w:val="0"/>
              <w:spacing w:line="400" w:lineRule="exact"/>
              <w:jc w:val="center"/>
              <w:rPr>
                <w:rFonts w:asciiTheme="majorEastAsia" w:hAnsiTheme="majorEastAsia" w:eastAsiaTheme="majorEastAsia" w:cstheme="majorEastAsia"/>
                <w:bCs/>
                <w:color w:val="000000" w:themeColor="text1"/>
                <w:sz w:val="24"/>
                <w14:textFill>
                  <w14:solidFill>
                    <w14:schemeClr w14:val="tx1"/>
                  </w14:solidFill>
                </w14:textFill>
              </w:rPr>
            </w:pPr>
            <w:r>
              <w:rPr>
                <w:rFonts w:hint="eastAsia" w:asciiTheme="majorEastAsia" w:hAnsiTheme="majorEastAsia" w:eastAsiaTheme="majorEastAsia" w:cstheme="majorEastAsia"/>
                <w:bCs/>
                <w:color w:val="000000" w:themeColor="text1"/>
                <w:sz w:val="24"/>
                <w14:textFill>
                  <w14:solidFill>
                    <w14:schemeClr w14:val="tx1"/>
                  </w14:solidFill>
                </w14:textFill>
              </w:rPr>
              <w:t>附件二</w:t>
            </w:r>
          </w:p>
        </w:tc>
      </w:tr>
      <w:tr w14:paraId="69FE5C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4257C12A">
            <w:pPr>
              <w:keepLines w:val="0"/>
              <w:pageBreakBefore w:val="0"/>
              <w:kinsoku/>
              <w:overflowPunct/>
              <w:topLinePunct w:val="0"/>
              <w:bidi w:val="0"/>
              <w:adjustRightInd w:val="0"/>
              <w:snapToGrid w:val="0"/>
              <w:spacing w:line="400" w:lineRule="exact"/>
              <w:jc w:val="center"/>
              <w:rPr>
                <w:rFonts w:hint="eastAsia" w:asciiTheme="majorEastAsia" w:hAnsiTheme="majorEastAsia" w:eastAsiaTheme="majorEastAsia" w:cstheme="majorEastAsia"/>
                <w:bCs/>
                <w:color w:val="000000" w:themeColor="text1"/>
                <w:sz w:val="24"/>
                <w:lang w:eastAsia="zh-CN"/>
                <w14:textFill>
                  <w14:solidFill>
                    <w14:schemeClr w14:val="tx1"/>
                  </w14:solidFill>
                </w14:textFill>
              </w:rPr>
            </w:pPr>
            <w:r>
              <w:rPr>
                <w:rFonts w:hint="eastAsia" w:asciiTheme="majorEastAsia" w:hAnsiTheme="majorEastAsia" w:eastAsiaTheme="majorEastAsia" w:cstheme="majorEastAsia"/>
                <w:bCs/>
                <w:color w:val="000000" w:themeColor="text1"/>
                <w:sz w:val="24"/>
                <w14:textFill>
                  <w14:solidFill>
                    <w14:schemeClr w14:val="tx1"/>
                  </w14:solidFill>
                </w14:textFill>
              </w:rPr>
              <w:t>2.</w:t>
            </w:r>
            <w:r>
              <w:rPr>
                <w:rFonts w:hint="eastAsia" w:asciiTheme="majorEastAsia" w:hAnsiTheme="majorEastAsia" w:eastAsiaTheme="majorEastAsia" w:cstheme="majorEastAsia"/>
                <w:bCs/>
                <w:color w:val="000000" w:themeColor="text1"/>
                <w:sz w:val="24"/>
                <w:lang w:val="en-US" w:eastAsia="zh-CN"/>
                <w14:textFill>
                  <w14:solidFill>
                    <w14:schemeClr w14:val="tx1"/>
                  </w14:solidFill>
                </w14:textFill>
              </w:rPr>
              <w:t>2</w:t>
            </w:r>
          </w:p>
        </w:tc>
        <w:tc>
          <w:tcPr>
            <w:tcW w:w="7193" w:type="dxa"/>
            <w:vAlign w:val="center"/>
          </w:tcPr>
          <w:p w14:paraId="03347284">
            <w:pPr>
              <w:keepLines w:val="0"/>
              <w:pageBreakBefore w:val="0"/>
              <w:kinsoku/>
              <w:overflowPunct/>
              <w:topLinePunct w:val="0"/>
              <w:bidi w:val="0"/>
              <w:adjustRightInd w:val="0"/>
              <w:snapToGrid w:val="0"/>
              <w:spacing w:line="400" w:lineRule="exact"/>
              <w:rPr>
                <w:rFonts w:hint="eastAsia" w:asciiTheme="majorEastAsia" w:hAnsiTheme="majorEastAsia" w:eastAsiaTheme="majorEastAsia" w:cstheme="majorEastAsia"/>
                <w:bCs/>
                <w:color w:val="auto"/>
                <w:sz w:val="24"/>
                <w:lang w:eastAsia="zh-CN"/>
              </w:rPr>
            </w:pPr>
            <w:r>
              <w:rPr>
                <w:rFonts w:hint="eastAsia" w:asciiTheme="majorEastAsia" w:hAnsiTheme="majorEastAsia" w:eastAsiaTheme="majorEastAsia" w:cstheme="majorEastAsia"/>
                <w:bCs/>
                <w:color w:val="auto"/>
                <w:sz w:val="24"/>
                <w:lang w:eastAsia="zh-CN"/>
              </w:rPr>
              <w:t>包含广告服务等符合本项目要求的经营许可证明文件。</w:t>
            </w:r>
          </w:p>
        </w:tc>
        <w:tc>
          <w:tcPr>
            <w:tcW w:w="1717" w:type="dxa"/>
            <w:vAlign w:val="center"/>
          </w:tcPr>
          <w:p w14:paraId="48FD7AC3">
            <w:pPr>
              <w:keepLines w:val="0"/>
              <w:pageBreakBefore w:val="0"/>
              <w:kinsoku/>
              <w:overflowPunct/>
              <w:topLinePunct w:val="0"/>
              <w:bidi w:val="0"/>
              <w:adjustRightInd w:val="0"/>
              <w:snapToGrid w:val="0"/>
              <w:spacing w:line="400" w:lineRule="exact"/>
              <w:jc w:val="center"/>
              <w:rPr>
                <w:rFonts w:asciiTheme="majorEastAsia" w:hAnsiTheme="majorEastAsia" w:eastAsiaTheme="majorEastAsia" w:cstheme="majorEastAsia"/>
                <w:bCs/>
                <w:color w:val="000000" w:themeColor="text1"/>
                <w:sz w:val="24"/>
                <w14:textFill>
                  <w14:solidFill>
                    <w14:schemeClr w14:val="tx1"/>
                  </w14:solidFill>
                </w14:textFill>
              </w:rPr>
            </w:pPr>
          </w:p>
        </w:tc>
      </w:tr>
      <w:tr w14:paraId="60AF46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2D5FE339">
            <w:pPr>
              <w:keepLines w:val="0"/>
              <w:pageBreakBefore w:val="0"/>
              <w:kinsoku/>
              <w:overflowPunct/>
              <w:topLinePunct w:val="0"/>
              <w:bidi w:val="0"/>
              <w:adjustRightInd w:val="0"/>
              <w:snapToGrid w:val="0"/>
              <w:spacing w:line="400" w:lineRule="exact"/>
              <w:jc w:val="center"/>
              <w:rPr>
                <w:rFonts w:hint="default" w:asciiTheme="majorEastAsia" w:hAnsiTheme="majorEastAsia" w:eastAsiaTheme="majorEastAsia" w:cstheme="majorEastAsia"/>
                <w:bCs/>
                <w:color w:val="000000" w:themeColor="text1"/>
                <w:sz w:val="24"/>
                <w:lang w:val="en-US" w:eastAsia="zh-CN"/>
                <w14:textFill>
                  <w14:solidFill>
                    <w14:schemeClr w14:val="tx1"/>
                  </w14:solidFill>
                </w14:textFill>
              </w:rPr>
            </w:pPr>
            <w:r>
              <w:rPr>
                <w:rFonts w:hint="eastAsia" w:asciiTheme="majorEastAsia" w:hAnsiTheme="majorEastAsia" w:eastAsiaTheme="majorEastAsia" w:cstheme="majorEastAsia"/>
                <w:bCs/>
                <w:color w:val="000000" w:themeColor="text1"/>
                <w:sz w:val="24"/>
                <w:lang w:val="en-US" w:eastAsia="zh-CN"/>
                <w14:textFill>
                  <w14:solidFill>
                    <w14:schemeClr w14:val="tx1"/>
                  </w14:solidFill>
                </w14:textFill>
              </w:rPr>
              <w:t>2.3</w:t>
            </w:r>
          </w:p>
        </w:tc>
        <w:tc>
          <w:tcPr>
            <w:tcW w:w="7193" w:type="dxa"/>
            <w:vAlign w:val="center"/>
          </w:tcPr>
          <w:p w14:paraId="176BFFA2">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rPr>
                <w:rFonts w:hint="eastAsia" w:asciiTheme="majorEastAsia" w:hAnsiTheme="majorEastAsia" w:eastAsiaTheme="majorEastAsia" w:cstheme="majorEastAsia"/>
                <w:bCs/>
                <w:color w:val="auto"/>
                <w:sz w:val="24"/>
              </w:rPr>
            </w:pPr>
            <w:r>
              <w:rPr>
                <w:rFonts w:hint="eastAsia" w:asciiTheme="majorEastAsia" w:hAnsiTheme="majorEastAsia" w:eastAsiaTheme="majorEastAsia" w:cstheme="majorEastAsia"/>
                <w:bCs/>
                <w:color w:val="auto"/>
                <w:kern w:val="2"/>
                <w:sz w:val="24"/>
                <w:szCs w:val="24"/>
                <w:lang w:val="en-US" w:eastAsia="zh-CN" w:bidi="ar-SA"/>
              </w:rPr>
              <w:t>自有广告位的供应商需提供《大型户外广告设施设置许可证》，代理广告位的供应商需提供《大型户外广告设施设置许可证》及其经营单位相关证明文件。</w:t>
            </w:r>
          </w:p>
        </w:tc>
        <w:tc>
          <w:tcPr>
            <w:tcW w:w="1717" w:type="dxa"/>
            <w:vAlign w:val="center"/>
          </w:tcPr>
          <w:p w14:paraId="7ECA630F">
            <w:pPr>
              <w:keepLines w:val="0"/>
              <w:pageBreakBefore w:val="0"/>
              <w:kinsoku/>
              <w:overflowPunct/>
              <w:topLinePunct w:val="0"/>
              <w:bidi w:val="0"/>
              <w:adjustRightInd w:val="0"/>
              <w:snapToGrid w:val="0"/>
              <w:spacing w:line="400" w:lineRule="exact"/>
              <w:jc w:val="center"/>
              <w:rPr>
                <w:rFonts w:asciiTheme="majorEastAsia" w:hAnsiTheme="majorEastAsia" w:eastAsiaTheme="majorEastAsia" w:cstheme="majorEastAsia"/>
                <w:bCs/>
                <w:color w:val="000000" w:themeColor="text1"/>
                <w:sz w:val="24"/>
                <w14:textFill>
                  <w14:solidFill>
                    <w14:schemeClr w14:val="tx1"/>
                  </w14:solidFill>
                </w14:textFill>
              </w:rPr>
            </w:pPr>
          </w:p>
        </w:tc>
      </w:tr>
      <w:tr w14:paraId="25D33B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07228674">
            <w:pPr>
              <w:keepLines w:val="0"/>
              <w:pageBreakBefore w:val="0"/>
              <w:kinsoku/>
              <w:overflowPunct/>
              <w:topLinePunct w:val="0"/>
              <w:bidi w:val="0"/>
              <w:adjustRightInd w:val="0"/>
              <w:snapToGrid w:val="0"/>
              <w:spacing w:line="400" w:lineRule="exact"/>
              <w:jc w:val="center"/>
              <w:rPr>
                <w:rFonts w:hint="eastAsia" w:asciiTheme="majorEastAsia" w:hAnsiTheme="majorEastAsia" w:eastAsiaTheme="majorEastAsia" w:cstheme="majorEastAsia"/>
                <w:bCs/>
                <w:color w:val="000000" w:themeColor="text1"/>
                <w:sz w:val="24"/>
                <w:lang w:eastAsia="zh-CN"/>
                <w14:textFill>
                  <w14:solidFill>
                    <w14:schemeClr w14:val="tx1"/>
                  </w14:solidFill>
                </w14:textFill>
              </w:rPr>
            </w:pPr>
            <w:r>
              <w:rPr>
                <w:rFonts w:hint="eastAsia" w:asciiTheme="majorEastAsia" w:hAnsiTheme="majorEastAsia" w:eastAsiaTheme="majorEastAsia" w:cstheme="majorEastAsia"/>
                <w:bCs/>
                <w:color w:val="000000" w:themeColor="text1"/>
                <w:sz w:val="24"/>
                <w14:textFill>
                  <w14:solidFill>
                    <w14:schemeClr w14:val="tx1"/>
                  </w14:solidFill>
                </w14:textFill>
              </w:rPr>
              <w:t>2.</w:t>
            </w:r>
            <w:r>
              <w:rPr>
                <w:rFonts w:hint="eastAsia" w:asciiTheme="majorEastAsia" w:hAnsiTheme="majorEastAsia" w:eastAsiaTheme="majorEastAsia" w:cstheme="majorEastAsia"/>
                <w:bCs/>
                <w:color w:val="000000" w:themeColor="text1"/>
                <w:sz w:val="24"/>
                <w:lang w:val="en-US" w:eastAsia="zh-CN"/>
                <w14:textFill>
                  <w14:solidFill>
                    <w14:schemeClr w14:val="tx1"/>
                  </w14:solidFill>
                </w14:textFill>
              </w:rPr>
              <w:t>4</w:t>
            </w:r>
          </w:p>
        </w:tc>
        <w:tc>
          <w:tcPr>
            <w:tcW w:w="7193" w:type="dxa"/>
            <w:vAlign w:val="center"/>
          </w:tcPr>
          <w:p w14:paraId="17187741">
            <w:pPr>
              <w:keepLines w:val="0"/>
              <w:pageBreakBefore w:val="0"/>
              <w:kinsoku/>
              <w:overflowPunct/>
              <w:topLinePunct w:val="0"/>
              <w:bidi w:val="0"/>
              <w:adjustRightInd w:val="0"/>
              <w:snapToGrid w:val="0"/>
              <w:spacing w:line="400" w:lineRule="exact"/>
              <w:rPr>
                <w:rFonts w:asciiTheme="majorEastAsia" w:hAnsiTheme="majorEastAsia" w:eastAsiaTheme="majorEastAsia" w:cstheme="majorEastAsia"/>
                <w:bCs/>
                <w:color w:val="000000" w:themeColor="text1"/>
                <w:sz w:val="24"/>
                <w14:textFill>
                  <w14:solidFill>
                    <w14:schemeClr w14:val="tx1"/>
                  </w14:solidFill>
                </w14:textFill>
              </w:rPr>
            </w:pPr>
            <w:r>
              <w:rPr>
                <w:rFonts w:hint="eastAsia" w:asciiTheme="majorEastAsia" w:hAnsiTheme="majorEastAsia" w:eastAsiaTheme="majorEastAsia" w:cstheme="majorEastAsia"/>
                <w:bCs/>
                <w:color w:val="000000" w:themeColor="text1"/>
                <w:sz w:val="24"/>
                <w14:textFill>
                  <w14:solidFill>
                    <w14:schemeClr w14:val="tx1"/>
                  </w14:solidFill>
                </w14:textFill>
              </w:rPr>
              <w:t>投标人参加本项目比选前三年内未被列入“信用中国”网站(www.creditchina.gov.cn)失信被执行人、重大税收违法案件当事人（查询时间以发布招标公告之后查询结果为准，并将查询结果“截图”加盖公章附在投标文件中）</w:t>
            </w:r>
          </w:p>
        </w:tc>
        <w:tc>
          <w:tcPr>
            <w:tcW w:w="1717" w:type="dxa"/>
            <w:vAlign w:val="center"/>
          </w:tcPr>
          <w:p w14:paraId="61EA1186">
            <w:pPr>
              <w:keepLines w:val="0"/>
              <w:pageBreakBefore w:val="0"/>
              <w:kinsoku/>
              <w:overflowPunct/>
              <w:topLinePunct w:val="0"/>
              <w:bidi w:val="0"/>
              <w:adjustRightInd w:val="0"/>
              <w:snapToGrid w:val="0"/>
              <w:spacing w:line="400" w:lineRule="exact"/>
              <w:jc w:val="center"/>
              <w:rPr>
                <w:rFonts w:asciiTheme="majorEastAsia" w:hAnsiTheme="majorEastAsia" w:eastAsiaTheme="majorEastAsia" w:cstheme="majorEastAsia"/>
                <w:bCs/>
                <w:color w:val="000000" w:themeColor="text1"/>
                <w:sz w:val="24"/>
                <w14:textFill>
                  <w14:solidFill>
                    <w14:schemeClr w14:val="tx1"/>
                  </w14:solidFill>
                </w14:textFill>
              </w:rPr>
            </w:pPr>
          </w:p>
        </w:tc>
      </w:tr>
      <w:tr w14:paraId="3F51D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0A327F28">
            <w:pPr>
              <w:keepLines w:val="0"/>
              <w:pageBreakBefore w:val="0"/>
              <w:kinsoku/>
              <w:overflowPunct/>
              <w:topLinePunct w:val="0"/>
              <w:bidi w:val="0"/>
              <w:adjustRightInd w:val="0"/>
              <w:snapToGrid w:val="0"/>
              <w:spacing w:line="400" w:lineRule="exact"/>
              <w:jc w:val="center"/>
              <w:rPr>
                <w:rFonts w:asciiTheme="majorEastAsia" w:hAnsiTheme="majorEastAsia" w:eastAsiaTheme="majorEastAsia" w:cstheme="majorEastAsia"/>
                <w:bCs/>
                <w:color w:val="000000" w:themeColor="text1"/>
                <w:sz w:val="24"/>
                <w14:textFill>
                  <w14:solidFill>
                    <w14:schemeClr w14:val="tx1"/>
                  </w14:solidFill>
                </w14:textFill>
              </w:rPr>
            </w:pPr>
            <w:r>
              <w:rPr>
                <w:rFonts w:hint="eastAsia" w:asciiTheme="majorEastAsia" w:hAnsiTheme="majorEastAsia" w:eastAsiaTheme="majorEastAsia" w:cstheme="majorEastAsia"/>
                <w:bCs/>
                <w:color w:val="000000" w:themeColor="text1"/>
                <w:sz w:val="24"/>
                <w14:textFill>
                  <w14:solidFill>
                    <w14:schemeClr w14:val="tx1"/>
                  </w14:solidFill>
                </w14:textFill>
              </w:rPr>
              <w:t>3</w:t>
            </w:r>
          </w:p>
        </w:tc>
        <w:tc>
          <w:tcPr>
            <w:tcW w:w="7193" w:type="dxa"/>
            <w:vAlign w:val="center"/>
          </w:tcPr>
          <w:p w14:paraId="730094AB">
            <w:pPr>
              <w:keepLines w:val="0"/>
              <w:pageBreakBefore w:val="0"/>
              <w:kinsoku/>
              <w:overflowPunct/>
              <w:topLinePunct w:val="0"/>
              <w:bidi w:val="0"/>
              <w:adjustRightInd w:val="0"/>
              <w:snapToGrid w:val="0"/>
              <w:spacing w:line="400" w:lineRule="exact"/>
              <w:rPr>
                <w:rFonts w:asciiTheme="majorEastAsia" w:hAnsiTheme="majorEastAsia" w:eastAsiaTheme="majorEastAsia" w:cstheme="majorEastAsia"/>
                <w:bCs/>
                <w:color w:val="000000" w:themeColor="text1"/>
                <w:sz w:val="24"/>
                <w14:textFill>
                  <w14:solidFill>
                    <w14:schemeClr w14:val="tx1"/>
                  </w14:solidFill>
                </w14:textFill>
              </w:rPr>
            </w:pPr>
            <w:r>
              <w:rPr>
                <w:rFonts w:hint="eastAsia" w:asciiTheme="majorEastAsia" w:hAnsiTheme="majorEastAsia" w:eastAsiaTheme="majorEastAsia" w:cstheme="majorEastAsia"/>
                <w:bCs/>
                <w:color w:val="000000" w:themeColor="text1"/>
                <w:sz w:val="24"/>
                <w14:textFill>
                  <w14:solidFill>
                    <w14:schemeClr w14:val="tx1"/>
                  </w14:solidFill>
                </w14:textFill>
              </w:rPr>
              <w:t>采购要求响应表</w:t>
            </w:r>
          </w:p>
        </w:tc>
        <w:tc>
          <w:tcPr>
            <w:tcW w:w="1717" w:type="dxa"/>
            <w:vAlign w:val="center"/>
          </w:tcPr>
          <w:p w14:paraId="1DFB3066">
            <w:pPr>
              <w:keepLines w:val="0"/>
              <w:pageBreakBefore w:val="0"/>
              <w:kinsoku/>
              <w:overflowPunct/>
              <w:topLinePunct w:val="0"/>
              <w:bidi w:val="0"/>
              <w:adjustRightInd w:val="0"/>
              <w:snapToGrid w:val="0"/>
              <w:spacing w:line="400" w:lineRule="exact"/>
              <w:jc w:val="center"/>
              <w:rPr>
                <w:rFonts w:asciiTheme="majorEastAsia" w:hAnsiTheme="majorEastAsia" w:eastAsiaTheme="majorEastAsia" w:cstheme="majorEastAsia"/>
                <w:bCs/>
                <w:color w:val="000000" w:themeColor="text1"/>
                <w:sz w:val="24"/>
                <w14:textFill>
                  <w14:solidFill>
                    <w14:schemeClr w14:val="tx1"/>
                  </w14:solidFill>
                </w14:textFill>
              </w:rPr>
            </w:pPr>
            <w:r>
              <w:rPr>
                <w:rFonts w:hint="eastAsia" w:asciiTheme="majorEastAsia" w:hAnsiTheme="majorEastAsia" w:eastAsiaTheme="majorEastAsia" w:cstheme="majorEastAsia"/>
                <w:bCs/>
                <w:color w:val="000000" w:themeColor="text1"/>
                <w:sz w:val="24"/>
                <w14:textFill>
                  <w14:solidFill>
                    <w14:schemeClr w14:val="tx1"/>
                  </w14:solidFill>
                </w14:textFill>
              </w:rPr>
              <w:t>附件三</w:t>
            </w:r>
          </w:p>
        </w:tc>
      </w:tr>
      <w:tr w14:paraId="1D999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918" w:type="dxa"/>
            <w:vAlign w:val="center"/>
          </w:tcPr>
          <w:p w14:paraId="1F2DED1A">
            <w:pPr>
              <w:keepLines w:val="0"/>
              <w:pageBreakBefore w:val="0"/>
              <w:kinsoku/>
              <w:overflowPunct/>
              <w:topLinePunct w:val="0"/>
              <w:bidi w:val="0"/>
              <w:adjustRightInd w:val="0"/>
              <w:snapToGrid w:val="0"/>
              <w:spacing w:line="400" w:lineRule="exact"/>
              <w:jc w:val="center"/>
              <w:rPr>
                <w:rFonts w:asciiTheme="majorEastAsia" w:hAnsiTheme="majorEastAsia" w:eastAsiaTheme="majorEastAsia" w:cstheme="majorEastAsia"/>
                <w:bCs/>
                <w:color w:val="000000" w:themeColor="text1"/>
                <w:sz w:val="24"/>
                <w14:textFill>
                  <w14:solidFill>
                    <w14:schemeClr w14:val="tx1"/>
                  </w14:solidFill>
                </w14:textFill>
              </w:rPr>
            </w:pPr>
            <w:r>
              <w:rPr>
                <w:rFonts w:hint="eastAsia" w:asciiTheme="majorEastAsia" w:hAnsiTheme="majorEastAsia" w:eastAsiaTheme="majorEastAsia" w:cstheme="majorEastAsia"/>
                <w:bCs/>
                <w:color w:val="000000" w:themeColor="text1"/>
                <w:sz w:val="24"/>
                <w14:textFill>
                  <w14:solidFill>
                    <w14:schemeClr w14:val="tx1"/>
                  </w14:solidFill>
                </w14:textFill>
              </w:rPr>
              <w:t>5</w:t>
            </w:r>
          </w:p>
        </w:tc>
        <w:tc>
          <w:tcPr>
            <w:tcW w:w="7193" w:type="dxa"/>
            <w:vAlign w:val="center"/>
          </w:tcPr>
          <w:p w14:paraId="5077932E">
            <w:pPr>
              <w:keepLines w:val="0"/>
              <w:pageBreakBefore w:val="0"/>
              <w:kinsoku/>
              <w:overflowPunct/>
              <w:topLinePunct w:val="0"/>
              <w:bidi w:val="0"/>
              <w:adjustRightInd w:val="0"/>
              <w:snapToGrid w:val="0"/>
              <w:spacing w:line="400" w:lineRule="exact"/>
              <w:jc w:val="left"/>
              <w:rPr>
                <w:rFonts w:hint="eastAsia" w:asciiTheme="majorEastAsia" w:hAnsiTheme="majorEastAsia" w:eastAsiaTheme="majorEastAsia" w:cstheme="majorEastAsia"/>
                <w:bCs/>
                <w:color w:val="000000" w:themeColor="text1"/>
                <w:sz w:val="24"/>
                <w:lang w:eastAsia="zh-CN"/>
                <w14:textFill>
                  <w14:solidFill>
                    <w14:schemeClr w14:val="tx1"/>
                  </w14:solidFill>
                </w14:textFill>
              </w:rPr>
            </w:pPr>
            <w:r>
              <w:rPr>
                <w:rFonts w:hint="eastAsia" w:asciiTheme="majorEastAsia" w:hAnsiTheme="majorEastAsia" w:eastAsiaTheme="majorEastAsia" w:cstheme="majorEastAsia"/>
                <w:bCs/>
                <w:color w:val="000000" w:themeColor="text1"/>
                <w:sz w:val="24"/>
                <w14:textFill>
                  <w14:solidFill>
                    <w14:schemeClr w14:val="tx1"/>
                  </w14:solidFill>
                </w14:textFill>
              </w:rPr>
              <w:t>技术标</w:t>
            </w:r>
            <w:r>
              <w:rPr>
                <w:rFonts w:hint="eastAsia" w:asciiTheme="majorEastAsia" w:hAnsiTheme="majorEastAsia" w:eastAsiaTheme="majorEastAsia" w:cstheme="majorEastAsia"/>
                <w:bCs/>
                <w:color w:val="000000" w:themeColor="text1"/>
                <w:sz w:val="24"/>
                <w:lang w:eastAsia="zh-CN"/>
                <w14:textFill>
                  <w14:solidFill>
                    <w14:schemeClr w14:val="tx1"/>
                  </w14:solidFill>
                </w14:textFill>
              </w:rPr>
              <w:t>评分细则要求的各项内容</w:t>
            </w:r>
          </w:p>
        </w:tc>
        <w:tc>
          <w:tcPr>
            <w:tcW w:w="1717" w:type="dxa"/>
            <w:vAlign w:val="center"/>
          </w:tcPr>
          <w:p w14:paraId="53612E8B">
            <w:pPr>
              <w:keepLines w:val="0"/>
              <w:pageBreakBefore w:val="0"/>
              <w:kinsoku/>
              <w:overflowPunct/>
              <w:topLinePunct w:val="0"/>
              <w:bidi w:val="0"/>
              <w:adjustRightInd w:val="0"/>
              <w:snapToGrid w:val="0"/>
              <w:spacing w:line="400" w:lineRule="exact"/>
              <w:jc w:val="center"/>
              <w:rPr>
                <w:rFonts w:asciiTheme="majorEastAsia" w:hAnsiTheme="majorEastAsia" w:eastAsiaTheme="majorEastAsia" w:cstheme="majorEastAsia"/>
                <w:bCs/>
                <w:color w:val="000000" w:themeColor="text1"/>
                <w:sz w:val="24"/>
                <w14:textFill>
                  <w14:solidFill>
                    <w14:schemeClr w14:val="tx1"/>
                  </w14:solidFill>
                </w14:textFill>
              </w:rPr>
            </w:pPr>
          </w:p>
        </w:tc>
      </w:tr>
    </w:tbl>
    <w:p w14:paraId="016B8626">
      <w:pPr>
        <w:keepLines w:val="0"/>
        <w:pageBreakBefore w:val="0"/>
        <w:kinsoku/>
        <w:overflowPunct/>
        <w:topLinePunct w:val="0"/>
        <w:bidi w:val="0"/>
        <w:adjustRightInd w:val="0"/>
        <w:snapToGrid w:val="0"/>
        <w:spacing w:line="400" w:lineRule="exact"/>
        <w:rPr>
          <w:rStyle w:val="19"/>
          <w:rFonts w:asciiTheme="majorEastAsia" w:hAnsiTheme="majorEastAsia" w:eastAsiaTheme="majorEastAsia" w:cstheme="majorEastAsia"/>
          <w:b w:val="0"/>
          <w:bCs w:val="0"/>
          <w:color w:val="333333"/>
          <w:sz w:val="24"/>
          <w:shd w:val="clear" w:color="auto" w:fill="FFFFFF"/>
        </w:rPr>
      </w:pPr>
    </w:p>
    <w:p w14:paraId="635F2A23">
      <w:pPr>
        <w:keepLines w:val="0"/>
        <w:pageBreakBefore w:val="0"/>
        <w:kinsoku/>
        <w:overflowPunct/>
        <w:topLinePunct w:val="0"/>
        <w:bidi w:val="0"/>
        <w:adjustRightInd w:val="0"/>
        <w:snapToGrid w:val="0"/>
        <w:spacing w:line="400" w:lineRule="exact"/>
        <w:rPr>
          <w:rStyle w:val="19"/>
          <w:rFonts w:asciiTheme="majorEastAsia" w:hAnsiTheme="majorEastAsia" w:eastAsiaTheme="majorEastAsia" w:cstheme="majorEastAsia"/>
          <w:b w:val="0"/>
          <w:bCs w:val="0"/>
          <w:color w:val="333333"/>
          <w:sz w:val="24"/>
          <w:shd w:val="clear" w:color="auto" w:fill="FFFFFF"/>
        </w:rPr>
      </w:pPr>
      <w:r>
        <w:rPr>
          <w:rStyle w:val="19"/>
          <w:rFonts w:hint="eastAsia" w:asciiTheme="majorEastAsia" w:hAnsiTheme="majorEastAsia" w:eastAsiaTheme="majorEastAsia" w:cstheme="majorEastAsia"/>
          <w:b w:val="0"/>
          <w:bCs w:val="0"/>
          <w:color w:val="333333"/>
          <w:sz w:val="24"/>
          <w:shd w:val="clear" w:color="auto" w:fill="FFFFFF"/>
        </w:rPr>
        <w:t>（2）商务标</w:t>
      </w:r>
    </w:p>
    <w:tbl>
      <w:tblPr>
        <w:tblStyle w:val="16"/>
        <w:tblW w:w="98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1"/>
        <w:gridCol w:w="7194"/>
        <w:gridCol w:w="1729"/>
      </w:tblGrid>
      <w:tr w14:paraId="1A6CFC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31" w:type="dxa"/>
            <w:vAlign w:val="center"/>
          </w:tcPr>
          <w:p w14:paraId="21F4927E">
            <w:pPr>
              <w:keepLines w:val="0"/>
              <w:pageBreakBefore w:val="0"/>
              <w:kinsoku/>
              <w:overflowPunct/>
              <w:topLinePunct w:val="0"/>
              <w:bidi w:val="0"/>
              <w:adjustRightInd w:val="0"/>
              <w:snapToGrid w:val="0"/>
              <w:spacing w:line="400" w:lineRule="exact"/>
              <w:jc w:val="center"/>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序号</w:t>
            </w:r>
          </w:p>
        </w:tc>
        <w:tc>
          <w:tcPr>
            <w:tcW w:w="7194" w:type="dxa"/>
            <w:vAlign w:val="center"/>
          </w:tcPr>
          <w:p w14:paraId="1ED6060A">
            <w:pPr>
              <w:keepLines w:val="0"/>
              <w:pageBreakBefore w:val="0"/>
              <w:kinsoku/>
              <w:overflowPunct/>
              <w:topLinePunct w:val="0"/>
              <w:bidi w:val="0"/>
              <w:adjustRightInd w:val="0"/>
              <w:snapToGrid w:val="0"/>
              <w:spacing w:line="400" w:lineRule="exact"/>
              <w:jc w:val="center"/>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内容</w:t>
            </w:r>
          </w:p>
        </w:tc>
        <w:tc>
          <w:tcPr>
            <w:tcW w:w="1729" w:type="dxa"/>
            <w:vAlign w:val="center"/>
          </w:tcPr>
          <w:p w14:paraId="1C28069B">
            <w:pPr>
              <w:keepLines w:val="0"/>
              <w:pageBreakBefore w:val="0"/>
              <w:kinsoku/>
              <w:overflowPunct/>
              <w:topLinePunct w:val="0"/>
              <w:bidi w:val="0"/>
              <w:adjustRightInd w:val="0"/>
              <w:snapToGrid w:val="0"/>
              <w:spacing w:line="400" w:lineRule="exact"/>
              <w:jc w:val="center"/>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备注</w:t>
            </w:r>
          </w:p>
        </w:tc>
      </w:tr>
      <w:tr w14:paraId="574E26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31" w:type="dxa"/>
            <w:vAlign w:val="center"/>
          </w:tcPr>
          <w:p w14:paraId="5F316D78">
            <w:pPr>
              <w:keepLines w:val="0"/>
              <w:pageBreakBefore w:val="0"/>
              <w:kinsoku/>
              <w:overflowPunct/>
              <w:topLinePunct w:val="0"/>
              <w:bidi w:val="0"/>
              <w:adjustRightInd w:val="0"/>
              <w:snapToGrid w:val="0"/>
              <w:spacing w:line="400" w:lineRule="exact"/>
              <w:jc w:val="center"/>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1</w:t>
            </w:r>
          </w:p>
        </w:tc>
        <w:tc>
          <w:tcPr>
            <w:tcW w:w="7194" w:type="dxa"/>
            <w:vAlign w:val="center"/>
          </w:tcPr>
          <w:p w14:paraId="1995514E">
            <w:pPr>
              <w:keepLines w:val="0"/>
              <w:pageBreakBefore w:val="0"/>
              <w:kinsoku/>
              <w:overflowPunct/>
              <w:topLinePunct w:val="0"/>
              <w:bidi w:val="0"/>
              <w:adjustRightInd w:val="0"/>
              <w:snapToGrid w:val="0"/>
              <w:spacing w:line="400" w:lineRule="exact"/>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投标报价一览表</w:t>
            </w:r>
          </w:p>
        </w:tc>
        <w:tc>
          <w:tcPr>
            <w:tcW w:w="1729" w:type="dxa"/>
            <w:vAlign w:val="center"/>
          </w:tcPr>
          <w:p w14:paraId="71BF130E">
            <w:pPr>
              <w:keepLines w:val="0"/>
              <w:pageBreakBefore w:val="0"/>
              <w:kinsoku/>
              <w:overflowPunct/>
              <w:topLinePunct w:val="0"/>
              <w:bidi w:val="0"/>
              <w:adjustRightInd w:val="0"/>
              <w:snapToGrid w:val="0"/>
              <w:spacing w:line="400" w:lineRule="exact"/>
              <w:jc w:val="center"/>
              <w:rPr>
                <w:rFonts w:hint="eastAsia" w:asciiTheme="majorEastAsia" w:hAnsiTheme="majorEastAsia" w:eastAsiaTheme="majorEastAsia" w:cstheme="majorEastAsia"/>
                <w:bCs/>
                <w:sz w:val="24"/>
                <w:lang w:eastAsia="zh-CN"/>
              </w:rPr>
            </w:pPr>
            <w:r>
              <w:rPr>
                <w:rFonts w:hint="eastAsia" w:asciiTheme="majorEastAsia" w:hAnsiTheme="majorEastAsia" w:eastAsiaTheme="majorEastAsia" w:cstheme="majorEastAsia"/>
                <w:bCs/>
                <w:sz w:val="24"/>
              </w:rPr>
              <w:t>附件</w:t>
            </w:r>
            <w:r>
              <w:rPr>
                <w:rFonts w:hint="eastAsia" w:asciiTheme="majorEastAsia" w:hAnsiTheme="majorEastAsia" w:eastAsiaTheme="majorEastAsia" w:cstheme="majorEastAsia"/>
                <w:bCs/>
                <w:sz w:val="24"/>
                <w:lang w:eastAsia="zh-CN"/>
              </w:rPr>
              <w:t>四</w:t>
            </w:r>
          </w:p>
        </w:tc>
      </w:tr>
    </w:tbl>
    <w:p w14:paraId="5BECF6BD">
      <w:pPr>
        <w:keepLines w:val="0"/>
        <w:pageBreakBefore w:val="0"/>
        <w:kinsoku/>
        <w:overflowPunct/>
        <w:topLinePunct w:val="0"/>
        <w:bidi w:val="0"/>
        <w:spacing w:line="400" w:lineRule="exact"/>
        <w:ind w:firstLine="720" w:firstLineChars="300"/>
        <w:rPr>
          <w:rFonts w:ascii="宋体" w:hAnsi="宋体" w:cs="宋体"/>
          <w:sz w:val="24"/>
        </w:rPr>
      </w:pPr>
    </w:p>
    <w:p w14:paraId="3151265E">
      <w:pPr>
        <w:keepLines w:val="0"/>
        <w:pageBreakBefore w:val="0"/>
        <w:kinsoku/>
        <w:overflowPunct/>
        <w:topLinePunct w:val="0"/>
        <w:bidi w:val="0"/>
        <w:spacing w:line="400" w:lineRule="exact"/>
        <w:ind w:firstLine="720" w:firstLineChars="300"/>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投标人应根据比选文件所提供的格式，内容按顺序装订成册，</w:t>
      </w:r>
      <w:r>
        <w:rPr>
          <w:rFonts w:hint="eastAsia" w:asciiTheme="majorEastAsia" w:hAnsiTheme="majorEastAsia" w:eastAsiaTheme="majorEastAsia" w:cstheme="majorEastAsia"/>
          <w:b/>
          <w:bCs/>
          <w:sz w:val="24"/>
        </w:rPr>
        <w:t>分别装于技术标和商务标内（密封包装）。投标人应提供技术标、商务标各一式四份的投标文件。</w:t>
      </w:r>
      <w:r>
        <w:rPr>
          <w:rFonts w:hint="eastAsia" w:asciiTheme="majorEastAsia" w:hAnsiTheme="majorEastAsia" w:eastAsiaTheme="majorEastAsia" w:cstheme="majorEastAsia"/>
          <w:sz w:val="24"/>
        </w:rPr>
        <w:t>其中正本一份、副本三份，每套投标文件的封面应清楚标明“正本”或“副本”字样，若“正本”与“副本”不符，以“正本”为准。投标人没有按照比选文件要求提交全部资料，或者没有对招标文件各个方面做出实质性响应，导致投标被否决的风险由投标人自行承担。</w:t>
      </w:r>
    </w:p>
    <w:p w14:paraId="3A7CCB84">
      <w:pPr>
        <w:keepLines w:val="0"/>
        <w:pageBreakBefore w:val="0"/>
        <w:kinsoku/>
        <w:overflowPunct/>
        <w:topLinePunct w:val="0"/>
        <w:bidi w:val="0"/>
        <w:spacing w:line="400" w:lineRule="exact"/>
        <w:rPr>
          <w:rFonts w:ascii="新宋体" w:hAnsi="新宋体" w:eastAsia="新宋体" w:cs="宋体"/>
          <w:b/>
          <w:bCs/>
          <w:kern w:val="0"/>
          <w:sz w:val="32"/>
          <w:szCs w:val="32"/>
        </w:rPr>
      </w:pPr>
      <w:r>
        <w:rPr>
          <w:rFonts w:hint="eastAsia" w:ascii="新宋体" w:hAnsi="新宋体" w:eastAsia="新宋体" w:cs="宋体"/>
          <w:b/>
          <w:bCs/>
          <w:kern w:val="0"/>
          <w:sz w:val="32"/>
          <w:szCs w:val="32"/>
        </w:rPr>
        <w:br w:type="page"/>
      </w:r>
    </w:p>
    <w:p w14:paraId="14363313">
      <w:pPr>
        <w:keepLines w:val="0"/>
        <w:pageBreakBefore w:val="0"/>
        <w:kinsoku/>
        <w:overflowPunct/>
        <w:topLinePunct w:val="0"/>
        <w:bidi w:val="0"/>
        <w:spacing w:line="400" w:lineRule="exact"/>
        <w:jc w:val="center"/>
        <w:rPr>
          <w:rFonts w:ascii="新宋体" w:hAnsi="新宋体" w:eastAsia="新宋体" w:cs="宋体"/>
          <w:b/>
          <w:bCs/>
          <w:kern w:val="0"/>
          <w:sz w:val="32"/>
          <w:szCs w:val="32"/>
        </w:rPr>
      </w:pPr>
      <w:r>
        <w:rPr>
          <w:rFonts w:hint="eastAsia" w:ascii="新宋体" w:hAnsi="新宋体" w:eastAsia="新宋体" w:cs="宋体"/>
          <w:b/>
          <w:bCs/>
          <w:kern w:val="0"/>
          <w:sz w:val="32"/>
          <w:szCs w:val="32"/>
        </w:rPr>
        <w:t>评审原则及方法</w:t>
      </w:r>
    </w:p>
    <w:p w14:paraId="511DD322">
      <w:pPr>
        <w:pStyle w:val="15"/>
        <w:keepLines w:val="0"/>
        <w:pageBreakBefore w:val="0"/>
        <w:shd w:val="clear" w:color="auto" w:fill="FFFFFF"/>
        <w:kinsoku/>
        <w:overflowPunct/>
        <w:topLinePunct w:val="0"/>
        <w:bidi w:val="0"/>
        <w:spacing w:line="400" w:lineRule="exact"/>
        <w:ind w:firstLine="556"/>
        <w:rPr>
          <w:rFonts w:asciiTheme="majorEastAsia" w:hAnsiTheme="majorEastAsia" w:eastAsiaTheme="majorEastAsia" w:cstheme="majorEastAsia"/>
          <w:b/>
          <w:bCs/>
          <w:kern w:val="2"/>
        </w:rPr>
      </w:pPr>
      <w:r>
        <w:rPr>
          <w:rFonts w:hint="eastAsia" w:asciiTheme="majorEastAsia" w:hAnsiTheme="majorEastAsia" w:eastAsiaTheme="majorEastAsia" w:cstheme="majorEastAsia"/>
          <w:b/>
        </w:rPr>
        <w:t>参考《中华人民共和国政府采购法》、《政府采购货物和服务招标投标管理办法》、《中华人民共和国政府采购法实施条例》和《关于进一步规范政府采购活动的若干意见》等相关法规特制定以下评标办法。</w:t>
      </w:r>
    </w:p>
    <w:p w14:paraId="7A404233">
      <w:pPr>
        <w:keepLines w:val="0"/>
        <w:pageBreakBefore w:val="0"/>
        <w:kinsoku/>
        <w:overflowPunct/>
        <w:topLinePunct w:val="0"/>
        <w:bidi w:val="0"/>
        <w:spacing w:line="400" w:lineRule="exact"/>
        <w:ind w:firstLine="590" w:firstLineChars="245"/>
        <w:outlineLvl w:val="1"/>
        <w:rPr>
          <w:rFonts w:asciiTheme="majorEastAsia" w:hAnsiTheme="majorEastAsia" w:eastAsiaTheme="majorEastAsia" w:cstheme="majorEastAsia"/>
          <w:b/>
          <w:sz w:val="24"/>
        </w:rPr>
      </w:pPr>
      <w:bookmarkStart w:id="3" w:name="_Toc15153"/>
      <w:bookmarkStart w:id="4" w:name="_Toc67"/>
      <w:r>
        <w:rPr>
          <w:rFonts w:hint="eastAsia" w:asciiTheme="majorEastAsia" w:hAnsiTheme="majorEastAsia" w:eastAsiaTheme="majorEastAsia" w:cstheme="majorEastAsia"/>
          <w:b/>
          <w:sz w:val="24"/>
        </w:rPr>
        <w:t>一、评标程序</w:t>
      </w:r>
      <w:bookmarkEnd w:id="3"/>
      <w:bookmarkEnd w:id="4"/>
    </w:p>
    <w:p w14:paraId="17E333EC">
      <w:pPr>
        <w:keepLines w:val="0"/>
        <w:pageBreakBefore w:val="0"/>
        <w:kinsoku/>
        <w:overflowPunct/>
        <w:topLinePunct w:val="0"/>
        <w:bidi w:val="0"/>
        <w:spacing w:line="400" w:lineRule="exact"/>
        <w:ind w:firstLine="480" w:firstLineChars="200"/>
        <w:rPr>
          <w:rFonts w:asciiTheme="majorEastAsia" w:hAnsiTheme="majorEastAsia" w:eastAsiaTheme="majorEastAsia" w:cstheme="majorEastAsia"/>
          <w:sz w:val="24"/>
        </w:rPr>
      </w:pPr>
      <w:r>
        <w:rPr>
          <w:rFonts w:hint="eastAsia" w:asciiTheme="majorEastAsia" w:hAnsiTheme="majorEastAsia" w:eastAsiaTheme="majorEastAsia" w:cstheme="majorEastAsia"/>
          <w:bCs/>
          <w:sz w:val="24"/>
        </w:rPr>
        <w:t>评标委员按照比选文件中规定的评标方法和标准，对投标文件进行商务和技术评估，综合比较与评价</w:t>
      </w:r>
      <w:r>
        <w:rPr>
          <w:rFonts w:hint="eastAsia" w:asciiTheme="majorEastAsia" w:hAnsiTheme="majorEastAsia" w:eastAsiaTheme="majorEastAsia" w:cstheme="majorEastAsia"/>
          <w:sz w:val="24"/>
        </w:rPr>
        <w:t>，根据综合评审结果，提交评审报告。</w:t>
      </w:r>
    </w:p>
    <w:p w14:paraId="446BC002">
      <w:pPr>
        <w:keepLines w:val="0"/>
        <w:pageBreakBefore w:val="0"/>
        <w:kinsoku/>
        <w:overflowPunct/>
        <w:topLinePunct w:val="0"/>
        <w:bidi w:val="0"/>
        <w:spacing w:line="400" w:lineRule="exact"/>
        <w:ind w:firstLine="590" w:firstLineChars="245"/>
        <w:outlineLvl w:val="1"/>
        <w:rPr>
          <w:rFonts w:asciiTheme="majorEastAsia" w:hAnsiTheme="majorEastAsia" w:eastAsiaTheme="majorEastAsia" w:cstheme="majorEastAsia"/>
          <w:b/>
          <w:sz w:val="24"/>
        </w:rPr>
      </w:pPr>
      <w:bookmarkStart w:id="5" w:name="_Toc11306"/>
      <w:bookmarkStart w:id="6" w:name="_Toc24825"/>
      <w:r>
        <w:rPr>
          <w:rFonts w:hint="eastAsia" w:asciiTheme="majorEastAsia" w:hAnsiTheme="majorEastAsia" w:eastAsiaTheme="majorEastAsia" w:cstheme="majorEastAsia"/>
          <w:b/>
          <w:sz w:val="24"/>
        </w:rPr>
        <w:t>二、评标办法</w:t>
      </w:r>
      <w:bookmarkEnd w:id="5"/>
      <w:bookmarkEnd w:id="6"/>
    </w:p>
    <w:p w14:paraId="6F99AF93">
      <w:pPr>
        <w:keepLines w:val="0"/>
        <w:pageBreakBefore w:val="0"/>
        <w:kinsoku/>
        <w:overflowPunct/>
        <w:topLinePunct w:val="0"/>
        <w:bidi w:val="0"/>
        <w:spacing w:line="400" w:lineRule="exact"/>
        <w:ind w:firstLine="588" w:firstLineChars="245"/>
        <w:rPr>
          <w:rFonts w:asciiTheme="majorEastAsia" w:hAnsiTheme="majorEastAsia" w:eastAsiaTheme="majorEastAsia" w:cstheme="majorEastAsia"/>
          <w:b/>
          <w:sz w:val="24"/>
        </w:rPr>
      </w:pPr>
      <w:r>
        <w:rPr>
          <w:rFonts w:hint="eastAsia" w:asciiTheme="majorEastAsia" w:hAnsiTheme="majorEastAsia" w:eastAsiaTheme="majorEastAsia" w:cstheme="majorEastAsia"/>
          <w:sz w:val="24"/>
        </w:rPr>
        <w:t>本次采购采用百分制综合评分法，即投标人最大限度地满足比选文件实质性要求的基础上，按照招标文件的各项因素进行综合评审后，以评标总得分最高的投标人和次高的投标人作为第一和第二排序的中标候选人的评标方法。根据采购要求，</w:t>
      </w:r>
      <w:r>
        <w:rPr>
          <w:rFonts w:hint="eastAsia" w:asciiTheme="majorEastAsia" w:hAnsiTheme="majorEastAsia" w:eastAsiaTheme="majorEastAsia" w:cstheme="majorEastAsia"/>
          <w:b/>
          <w:sz w:val="24"/>
        </w:rPr>
        <w:t>总分设定为100分：技术标</w:t>
      </w:r>
      <w:r>
        <w:rPr>
          <w:rFonts w:hint="eastAsia" w:asciiTheme="majorEastAsia" w:hAnsiTheme="majorEastAsia" w:eastAsiaTheme="majorEastAsia" w:cstheme="majorEastAsia"/>
          <w:b/>
          <w:sz w:val="24"/>
          <w:lang w:val="en-US" w:eastAsia="zh-CN"/>
        </w:rPr>
        <w:t>90</w:t>
      </w:r>
      <w:r>
        <w:rPr>
          <w:rFonts w:hint="eastAsia" w:asciiTheme="majorEastAsia" w:hAnsiTheme="majorEastAsia" w:eastAsiaTheme="majorEastAsia" w:cstheme="majorEastAsia"/>
          <w:b/>
          <w:sz w:val="24"/>
        </w:rPr>
        <w:t>分（权值</w:t>
      </w:r>
      <w:r>
        <w:rPr>
          <w:rFonts w:hint="eastAsia" w:asciiTheme="majorEastAsia" w:hAnsiTheme="majorEastAsia" w:eastAsiaTheme="majorEastAsia" w:cstheme="majorEastAsia"/>
          <w:b/>
          <w:sz w:val="24"/>
          <w:lang w:val="en-US" w:eastAsia="zh-CN"/>
        </w:rPr>
        <w:t>9</w:t>
      </w:r>
      <w:r>
        <w:rPr>
          <w:rFonts w:hint="eastAsia" w:asciiTheme="majorEastAsia" w:hAnsiTheme="majorEastAsia" w:eastAsiaTheme="majorEastAsia" w:cstheme="majorEastAsia"/>
          <w:b/>
          <w:sz w:val="24"/>
        </w:rPr>
        <w:t>0%），商务标（报价）</w:t>
      </w:r>
      <w:r>
        <w:rPr>
          <w:rFonts w:hint="eastAsia" w:asciiTheme="majorEastAsia" w:hAnsiTheme="majorEastAsia" w:eastAsiaTheme="majorEastAsia" w:cstheme="majorEastAsia"/>
          <w:b/>
          <w:sz w:val="24"/>
          <w:lang w:val="en-US" w:eastAsia="zh-CN"/>
        </w:rPr>
        <w:t>1</w:t>
      </w:r>
      <w:r>
        <w:rPr>
          <w:rFonts w:hint="eastAsia" w:asciiTheme="majorEastAsia" w:hAnsiTheme="majorEastAsia" w:eastAsiaTheme="majorEastAsia" w:cstheme="majorEastAsia"/>
          <w:b/>
          <w:sz w:val="24"/>
        </w:rPr>
        <w:t>0分（权值</w:t>
      </w:r>
      <w:r>
        <w:rPr>
          <w:rFonts w:hint="eastAsia" w:asciiTheme="majorEastAsia" w:hAnsiTheme="majorEastAsia" w:eastAsiaTheme="majorEastAsia" w:cstheme="majorEastAsia"/>
          <w:b/>
          <w:sz w:val="24"/>
          <w:lang w:val="en-US" w:eastAsia="zh-CN"/>
        </w:rPr>
        <w:t>1</w:t>
      </w:r>
      <w:r>
        <w:rPr>
          <w:rFonts w:hint="eastAsia" w:asciiTheme="majorEastAsia" w:hAnsiTheme="majorEastAsia" w:eastAsiaTheme="majorEastAsia" w:cstheme="majorEastAsia"/>
          <w:b/>
          <w:sz w:val="24"/>
        </w:rPr>
        <w:t>0%）。</w:t>
      </w:r>
    </w:p>
    <w:p w14:paraId="6112B0EA">
      <w:pPr>
        <w:keepLines w:val="0"/>
        <w:pageBreakBefore w:val="0"/>
        <w:kinsoku/>
        <w:overflowPunct/>
        <w:topLinePunct w:val="0"/>
        <w:bidi w:val="0"/>
        <w:spacing w:line="400" w:lineRule="exact"/>
        <w:ind w:firstLine="482" w:firstLineChars="200"/>
        <w:outlineLvl w:val="1"/>
        <w:rPr>
          <w:rFonts w:asciiTheme="majorEastAsia" w:hAnsiTheme="majorEastAsia" w:eastAsiaTheme="majorEastAsia" w:cstheme="majorEastAsia"/>
          <w:b/>
          <w:sz w:val="24"/>
        </w:rPr>
      </w:pPr>
      <w:bookmarkStart w:id="7" w:name="_Toc11450"/>
      <w:bookmarkStart w:id="8" w:name="_Toc1535"/>
      <w:r>
        <w:rPr>
          <w:rFonts w:hint="eastAsia" w:asciiTheme="majorEastAsia" w:hAnsiTheme="majorEastAsia" w:eastAsiaTheme="majorEastAsia" w:cstheme="majorEastAsia"/>
          <w:b/>
          <w:sz w:val="24"/>
        </w:rPr>
        <w:t>三、评分细则</w:t>
      </w:r>
      <w:bookmarkEnd w:id="7"/>
      <w:bookmarkEnd w:id="8"/>
    </w:p>
    <w:p w14:paraId="3C602231">
      <w:pPr>
        <w:keepLines w:val="0"/>
        <w:pageBreakBefore w:val="0"/>
        <w:kinsoku/>
        <w:overflowPunct/>
        <w:topLinePunct w:val="0"/>
        <w:bidi w:val="0"/>
        <w:spacing w:line="400" w:lineRule="exact"/>
        <w:ind w:firstLine="590" w:firstLineChars="245"/>
        <w:rPr>
          <w:rFonts w:asciiTheme="majorEastAsia" w:hAnsiTheme="majorEastAsia" w:eastAsiaTheme="majorEastAsia" w:cstheme="majorEastAsia"/>
          <w:b/>
          <w:sz w:val="24"/>
        </w:rPr>
      </w:pPr>
      <w:r>
        <w:rPr>
          <w:rFonts w:hint="eastAsia" w:asciiTheme="majorEastAsia" w:hAnsiTheme="majorEastAsia" w:eastAsiaTheme="majorEastAsia" w:cstheme="majorEastAsia"/>
          <w:b/>
          <w:sz w:val="24"/>
        </w:rPr>
        <w:t>1、技术分的评定：技术标</w:t>
      </w:r>
      <w:r>
        <w:rPr>
          <w:rFonts w:hint="eastAsia" w:asciiTheme="majorEastAsia" w:hAnsiTheme="majorEastAsia" w:eastAsiaTheme="majorEastAsia" w:cstheme="majorEastAsia"/>
          <w:b/>
          <w:sz w:val="24"/>
          <w:lang w:val="en-US" w:eastAsia="zh-CN"/>
        </w:rPr>
        <w:t>9</w:t>
      </w:r>
      <w:r>
        <w:rPr>
          <w:rFonts w:hint="eastAsia" w:asciiTheme="majorEastAsia" w:hAnsiTheme="majorEastAsia" w:eastAsiaTheme="majorEastAsia" w:cstheme="majorEastAsia"/>
          <w:b/>
          <w:sz w:val="24"/>
        </w:rPr>
        <w:t>0分（权值</w:t>
      </w:r>
      <w:r>
        <w:rPr>
          <w:rFonts w:hint="eastAsia" w:asciiTheme="majorEastAsia" w:hAnsiTheme="majorEastAsia" w:eastAsiaTheme="majorEastAsia" w:cstheme="majorEastAsia"/>
          <w:b/>
          <w:sz w:val="24"/>
          <w:lang w:val="en-US" w:eastAsia="zh-CN"/>
        </w:rPr>
        <w:t>9</w:t>
      </w:r>
      <w:r>
        <w:rPr>
          <w:rFonts w:hint="eastAsia" w:asciiTheme="majorEastAsia" w:hAnsiTheme="majorEastAsia" w:eastAsiaTheme="majorEastAsia" w:cstheme="majorEastAsia"/>
          <w:b/>
          <w:sz w:val="24"/>
        </w:rPr>
        <w:t>0%）</w:t>
      </w:r>
    </w:p>
    <w:p w14:paraId="02F52C83">
      <w:pPr>
        <w:keepLines w:val="0"/>
        <w:pageBreakBefore w:val="0"/>
        <w:kinsoku/>
        <w:overflowPunct/>
        <w:topLinePunct w:val="0"/>
        <w:bidi w:val="0"/>
        <w:spacing w:line="400" w:lineRule="exact"/>
        <w:ind w:firstLine="588" w:firstLineChars="245"/>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各评委成员按下列评分项目进行评判，每人一张评分计算票，并记名。投标文件各项评分内容由评标委员会成员各自评分，如某张票的一个因素项目超过规定的范围，则该张票无效。各评标委员会成员对各投标人的各项评分内容评分的算术平均值为各投标人技术分得分（小数点后按四舍五入保留2位）。</w:t>
      </w:r>
    </w:p>
    <w:tbl>
      <w:tblPr>
        <w:tblStyle w:val="17"/>
        <w:tblW w:w="9725" w:type="dxa"/>
        <w:tblInd w:w="-1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7"/>
        <w:gridCol w:w="1730"/>
        <w:gridCol w:w="1239"/>
        <w:gridCol w:w="1080"/>
        <w:gridCol w:w="4989"/>
      </w:tblGrid>
      <w:tr w14:paraId="576D13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trPr>
        <w:tc>
          <w:tcPr>
            <w:tcW w:w="687" w:type="dxa"/>
            <w:noWrap w:val="0"/>
            <w:vAlign w:val="top"/>
          </w:tcPr>
          <w:p w14:paraId="44C8F732">
            <w:pPr>
              <w:keepLines w:val="0"/>
              <w:pageBreakBefore w:val="0"/>
              <w:widowControl w:val="0"/>
              <w:kinsoku/>
              <w:overflowPunct/>
              <w:topLinePunct w:val="0"/>
              <w:bidi w:val="0"/>
              <w:spacing w:line="400" w:lineRule="exact"/>
              <w:jc w:val="both"/>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序号</w:t>
            </w:r>
          </w:p>
        </w:tc>
        <w:tc>
          <w:tcPr>
            <w:tcW w:w="2969" w:type="dxa"/>
            <w:gridSpan w:val="2"/>
            <w:noWrap w:val="0"/>
            <w:vAlign w:val="top"/>
          </w:tcPr>
          <w:p w14:paraId="65D73A17">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评分内容</w:t>
            </w:r>
          </w:p>
        </w:tc>
        <w:tc>
          <w:tcPr>
            <w:tcW w:w="1080" w:type="dxa"/>
            <w:noWrap w:val="0"/>
            <w:vAlign w:val="top"/>
          </w:tcPr>
          <w:p w14:paraId="3AC6D984">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分值</w:t>
            </w:r>
          </w:p>
        </w:tc>
        <w:tc>
          <w:tcPr>
            <w:tcW w:w="4989" w:type="dxa"/>
            <w:noWrap w:val="0"/>
            <w:vAlign w:val="top"/>
          </w:tcPr>
          <w:p w14:paraId="71EE7CD1">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评分细则</w:t>
            </w:r>
          </w:p>
        </w:tc>
      </w:tr>
      <w:tr w14:paraId="5CD4D7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687" w:type="dxa"/>
            <w:vMerge w:val="restart"/>
            <w:noWrap w:val="0"/>
            <w:vAlign w:val="center"/>
          </w:tcPr>
          <w:p w14:paraId="5E022D1F">
            <w:pPr>
              <w:keepLines w:val="0"/>
              <w:pageBreakBefore w:val="0"/>
              <w:widowControl w:val="0"/>
              <w:kinsoku/>
              <w:overflowPunct/>
              <w:topLinePunct w:val="0"/>
              <w:bidi w:val="0"/>
              <w:spacing w:line="400" w:lineRule="exact"/>
              <w:jc w:val="center"/>
              <w:rPr>
                <w:rFonts w:hint="eastAsia" w:asciiTheme="majorEastAsia" w:hAnsiTheme="majorEastAsia" w:eastAsiaTheme="majorEastAsia" w:cstheme="majorEastAsia"/>
                <w:highlight w:val="none"/>
                <w:vertAlign w:val="baseline"/>
                <w:lang w:val="en-US" w:eastAsia="zh-CN"/>
              </w:rPr>
            </w:pPr>
            <w:r>
              <w:rPr>
                <w:rFonts w:hint="eastAsia" w:asciiTheme="majorEastAsia" w:hAnsiTheme="majorEastAsia" w:eastAsiaTheme="majorEastAsia" w:cstheme="majorEastAsia"/>
                <w:highlight w:val="none"/>
                <w:vertAlign w:val="baseline"/>
                <w:lang w:val="en-US" w:eastAsia="zh-CN"/>
              </w:rPr>
              <w:t>1</w:t>
            </w:r>
          </w:p>
        </w:tc>
        <w:tc>
          <w:tcPr>
            <w:tcW w:w="1730" w:type="dxa"/>
            <w:vMerge w:val="restart"/>
            <w:noWrap w:val="0"/>
            <w:vAlign w:val="center"/>
          </w:tcPr>
          <w:p w14:paraId="561C9912">
            <w:pPr>
              <w:keepLines w:val="0"/>
              <w:pageBreakBefore w:val="0"/>
              <w:widowControl w:val="0"/>
              <w:kinsoku/>
              <w:overflowPunct/>
              <w:topLinePunct w:val="0"/>
              <w:bidi w:val="0"/>
              <w:spacing w:line="400" w:lineRule="exact"/>
              <w:jc w:val="center"/>
              <w:rPr>
                <w:rFonts w:hint="eastAsia" w:asciiTheme="majorEastAsia" w:hAnsiTheme="majorEastAsia" w:eastAsiaTheme="majorEastAsia" w:cstheme="majorEastAsia"/>
                <w:color w:val="auto"/>
                <w:highlight w:val="none"/>
                <w:vertAlign w:val="baseline"/>
                <w:lang w:val="en-US" w:eastAsia="zh-CN"/>
              </w:rPr>
            </w:pPr>
            <w:r>
              <w:rPr>
                <w:rFonts w:hint="eastAsia" w:asciiTheme="majorEastAsia" w:hAnsiTheme="majorEastAsia" w:eastAsiaTheme="majorEastAsia" w:cstheme="majorEastAsia"/>
                <w:color w:val="auto"/>
                <w:sz w:val="21"/>
                <w:szCs w:val="21"/>
              </w:rPr>
              <w:t>广告位位置、效果及规格（6</w:t>
            </w:r>
            <w:r>
              <w:rPr>
                <w:rFonts w:hint="eastAsia" w:asciiTheme="majorEastAsia" w:hAnsiTheme="majorEastAsia" w:eastAsiaTheme="majorEastAsia" w:cstheme="majorEastAsia"/>
                <w:color w:val="auto"/>
                <w:sz w:val="21"/>
                <w:szCs w:val="21"/>
                <w:lang w:val="en-US" w:eastAsia="zh-CN"/>
              </w:rPr>
              <w:t>0</w:t>
            </w:r>
            <w:r>
              <w:rPr>
                <w:rFonts w:hint="eastAsia" w:asciiTheme="majorEastAsia" w:hAnsiTheme="majorEastAsia" w:eastAsiaTheme="majorEastAsia" w:cstheme="majorEastAsia"/>
                <w:color w:val="auto"/>
                <w:sz w:val="21"/>
                <w:szCs w:val="21"/>
                <w:lang w:eastAsia="zh-CN"/>
              </w:rPr>
              <w:t>分</w:t>
            </w:r>
            <w:r>
              <w:rPr>
                <w:rFonts w:hint="eastAsia" w:asciiTheme="majorEastAsia" w:hAnsiTheme="majorEastAsia" w:eastAsiaTheme="majorEastAsia" w:cstheme="majorEastAsia"/>
                <w:color w:val="auto"/>
                <w:sz w:val="21"/>
                <w:szCs w:val="21"/>
              </w:rPr>
              <w:t>）</w:t>
            </w:r>
          </w:p>
        </w:tc>
        <w:tc>
          <w:tcPr>
            <w:tcW w:w="1239" w:type="dxa"/>
            <w:noWrap w:val="0"/>
            <w:vAlign w:val="center"/>
          </w:tcPr>
          <w:p w14:paraId="65378040">
            <w:pPr>
              <w:keepLines w:val="0"/>
              <w:pageBreakBefore w:val="0"/>
              <w:widowControl w:val="0"/>
              <w:kinsoku/>
              <w:overflowPunct/>
              <w:topLinePunct w:val="0"/>
              <w:bidi w:val="0"/>
              <w:spacing w:line="400" w:lineRule="exact"/>
              <w:jc w:val="center"/>
              <w:rPr>
                <w:rFonts w:hint="eastAsia" w:asciiTheme="majorEastAsia" w:hAnsiTheme="majorEastAsia" w:eastAsiaTheme="majorEastAsia" w:cstheme="majorEastAsia"/>
                <w:color w:val="auto"/>
                <w:highlight w:val="none"/>
                <w:vertAlign w:val="baseline"/>
                <w:lang w:val="en-US" w:eastAsia="zh-CN"/>
              </w:rPr>
            </w:pPr>
            <w:r>
              <w:rPr>
                <w:rFonts w:hint="eastAsia" w:asciiTheme="majorEastAsia" w:hAnsiTheme="majorEastAsia" w:eastAsiaTheme="majorEastAsia" w:cstheme="majorEastAsia"/>
                <w:color w:val="auto"/>
                <w:sz w:val="21"/>
                <w:szCs w:val="21"/>
              </w:rPr>
              <w:t>广告位位置（</w:t>
            </w:r>
            <w:r>
              <w:rPr>
                <w:rFonts w:hint="eastAsia" w:asciiTheme="majorEastAsia" w:hAnsiTheme="majorEastAsia" w:eastAsiaTheme="majorEastAsia" w:cstheme="majorEastAsia"/>
                <w:color w:val="auto"/>
                <w:sz w:val="21"/>
                <w:szCs w:val="21"/>
                <w:lang w:val="en-US" w:eastAsia="zh-CN"/>
              </w:rPr>
              <w:t>30</w:t>
            </w:r>
            <w:r>
              <w:rPr>
                <w:rFonts w:hint="eastAsia" w:asciiTheme="majorEastAsia" w:hAnsiTheme="majorEastAsia" w:eastAsiaTheme="majorEastAsia" w:cstheme="majorEastAsia"/>
                <w:color w:val="auto"/>
                <w:sz w:val="21"/>
                <w:szCs w:val="21"/>
                <w:lang w:eastAsia="zh-CN"/>
              </w:rPr>
              <w:t>分</w:t>
            </w:r>
            <w:r>
              <w:rPr>
                <w:rFonts w:hint="eastAsia" w:asciiTheme="majorEastAsia" w:hAnsiTheme="majorEastAsia" w:eastAsiaTheme="majorEastAsia" w:cstheme="majorEastAsia"/>
                <w:color w:val="auto"/>
                <w:sz w:val="21"/>
                <w:szCs w:val="21"/>
              </w:rPr>
              <w:t>）</w:t>
            </w:r>
          </w:p>
        </w:tc>
        <w:tc>
          <w:tcPr>
            <w:tcW w:w="1080" w:type="dxa"/>
            <w:noWrap w:val="0"/>
            <w:vAlign w:val="center"/>
          </w:tcPr>
          <w:p w14:paraId="27688303">
            <w:pPr>
              <w:keepLines w:val="0"/>
              <w:pageBreakBefore w:val="0"/>
              <w:widowControl w:val="0"/>
              <w:kinsoku/>
              <w:overflowPunct/>
              <w:topLinePunct w:val="0"/>
              <w:bidi w:val="0"/>
              <w:spacing w:line="400" w:lineRule="exact"/>
              <w:jc w:val="center"/>
              <w:rPr>
                <w:rFonts w:hint="eastAsia" w:asciiTheme="majorEastAsia" w:hAnsiTheme="majorEastAsia" w:eastAsiaTheme="majorEastAsia" w:cstheme="majorEastAsia"/>
                <w:color w:val="auto"/>
                <w:highlight w:val="none"/>
                <w:vertAlign w:val="baseline"/>
                <w:lang w:val="en-US" w:eastAsia="zh-CN"/>
              </w:rPr>
            </w:pPr>
            <w:r>
              <w:rPr>
                <w:rFonts w:hint="eastAsia" w:asciiTheme="majorEastAsia" w:hAnsiTheme="majorEastAsia" w:eastAsiaTheme="majorEastAsia" w:cstheme="majorEastAsia"/>
                <w:color w:val="auto"/>
                <w:highlight w:val="none"/>
                <w:vertAlign w:val="baseline"/>
                <w:lang w:val="en-US" w:eastAsia="zh-CN"/>
              </w:rPr>
              <w:t>0-30分</w:t>
            </w:r>
          </w:p>
        </w:tc>
        <w:tc>
          <w:tcPr>
            <w:tcW w:w="4989" w:type="dxa"/>
            <w:noWrap w:val="0"/>
            <w:vAlign w:val="center"/>
          </w:tcPr>
          <w:p w14:paraId="29AAABFF">
            <w:pPr>
              <w:keepLines w:val="0"/>
              <w:pageBreakBefore w:val="0"/>
              <w:widowControl w:val="0"/>
              <w:kinsoku/>
              <w:overflowPunct/>
              <w:topLinePunct w:val="0"/>
              <w:bidi w:val="0"/>
              <w:spacing w:line="400" w:lineRule="exact"/>
              <w:jc w:val="both"/>
              <w:rPr>
                <w:rFonts w:hint="eastAsia"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lang w:eastAsia="zh-CN"/>
              </w:rPr>
              <w:t>人民路</w:t>
            </w:r>
            <w:r>
              <w:rPr>
                <w:rFonts w:hint="eastAsia" w:asciiTheme="majorEastAsia" w:hAnsiTheme="majorEastAsia" w:eastAsiaTheme="majorEastAsia" w:cstheme="majorEastAsia"/>
                <w:color w:val="auto"/>
                <w:sz w:val="21"/>
                <w:szCs w:val="21"/>
              </w:rPr>
              <w:t>广告位位置（</w:t>
            </w:r>
            <w:r>
              <w:rPr>
                <w:rFonts w:hint="eastAsia" w:asciiTheme="majorEastAsia" w:hAnsiTheme="majorEastAsia" w:eastAsiaTheme="majorEastAsia" w:cstheme="majorEastAsia"/>
                <w:color w:val="auto"/>
                <w:sz w:val="21"/>
                <w:szCs w:val="21"/>
                <w:lang w:val="en-US" w:eastAsia="zh-CN"/>
              </w:rPr>
              <w:t>20</w:t>
            </w:r>
            <w:r>
              <w:rPr>
                <w:rFonts w:hint="eastAsia" w:asciiTheme="majorEastAsia" w:hAnsiTheme="majorEastAsia" w:eastAsiaTheme="majorEastAsia" w:cstheme="majorEastAsia"/>
                <w:color w:val="auto"/>
                <w:sz w:val="21"/>
                <w:szCs w:val="21"/>
              </w:rPr>
              <w:t>分）：以</w:t>
            </w:r>
            <w:r>
              <w:rPr>
                <w:rFonts w:hint="eastAsia" w:asciiTheme="majorEastAsia" w:hAnsiTheme="majorEastAsia" w:eastAsiaTheme="majorEastAsia" w:cstheme="majorEastAsia"/>
                <w:color w:val="auto"/>
                <w:sz w:val="21"/>
                <w:szCs w:val="21"/>
                <w:lang w:eastAsia="zh-CN"/>
              </w:rPr>
              <w:t>鹿城区人民路城开天桥为中心</w:t>
            </w:r>
            <w:r>
              <w:rPr>
                <w:rFonts w:hint="eastAsia" w:asciiTheme="majorEastAsia" w:hAnsiTheme="majorEastAsia" w:eastAsiaTheme="majorEastAsia" w:cstheme="majorEastAsia"/>
                <w:color w:val="auto"/>
                <w:sz w:val="21"/>
                <w:szCs w:val="21"/>
              </w:rPr>
              <w:t>，</w:t>
            </w:r>
            <w:r>
              <w:rPr>
                <w:rFonts w:hint="eastAsia" w:asciiTheme="majorEastAsia" w:hAnsiTheme="majorEastAsia" w:eastAsiaTheme="majorEastAsia" w:cstheme="majorEastAsia"/>
                <w:color w:val="auto"/>
                <w:sz w:val="21"/>
                <w:szCs w:val="21"/>
                <w:lang w:eastAsia="zh-CN"/>
              </w:rPr>
              <w:t>东西延伸</w:t>
            </w:r>
            <w:r>
              <w:rPr>
                <w:rFonts w:hint="eastAsia" w:asciiTheme="majorEastAsia" w:hAnsiTheme="majorEastAsia" w:eastAsiaTheme="majorEastAsia" w:cstheme="majorEastAsia"/>
                <w:color w:val="auto"/>
                <w:sz w:val="21"/>
                <w:szCs w:val="21"/>
                <w:lang w:val="en-US" w:eastAsia="zh-CN"/>
              </w:rPr>
              <w:t>1200</w:t>
            </w:r>
            <w:r>
              <w:rPr>
                <w:rFonts w:hint="eastAsia" w:asciiTheme="majorEastAsia" w:hAnsiTheme="majorEastAsia" w:eastAsiaTheme="majorEastAsia" w:cstheme="majorEastAsia"/>
                <w:color w:val="auto"/>
                <w:sz w:val="21"/>
                <w:szCs w:val="21"/>
              </w:rPr>
              <w:t>米</w:t>
            </w:r>
            <w:r>
              <w:rPr>
                <w:rFonts w:hint="eastAsia" w:asciiTheme="majorEastAsia" w:hAnsiTheme="majorEastAsia" w:eastAsiaTheme="majorEastAsia" w:cstheme="majorEastAsia"/>
                <w:color w:val="auto"/>
                <w:sz w:val="21"/>
                <w:szCs w:val="21"/>
                <w:lang w:eastAsia="zh-CN"/>
              </w:rPr>
              <w:t>及以上</w:t>
            </w:r>
            <w:r>
              <w:rPr>
                <w:rFonts w:hint="eastAsia" w:asciiTheme="majorEastAsia" w:hAnsiTheme="majorEastAsia" w:eastAsiaTheme="majorEastAsia" w:cstheme="majorEastAsia"/>
                <w:color w:val="auto"/>
                <w:sz w:val="21"/>
                <w:szCs w:val="21"/>
              </w:rPr>
              <w:t>（含）</w:t>
            </w:r>
            <w:r>
              <w:rPr>
                <w:rFonts w:hint="eastAsia" w:asciiTheme="majorEastAsia" w:hAnsiTheme="majorEastAsia" w:eastAsiaTheme="majorEastAsia" w:cstheme="majorEastAsia"/>
                <w:color w:val="auto"/>
                <w:sz w:val="21"/>
                <w:szCs w:val="21"/>
                <w:lang w:eastAsia="zh-CN"/>
              </w:rPr>
              <w:t>范围内的重要地标</w:t>
            </w:r>
            <w:r>
              <w:rPr>
                <w:rFonts w:hint="eastAsia" w:asciiTheme="majorEastAsia" w:hAnsiTheme="majorEastAsia" w:eastAsiaTheme="majorEastAsia" w:cstheme="majorEastAsia"/>
                <w:color w:val="auto"/>
                <w:sz w:val="21"/>
                <w:szCs w:val="21"/>
              </w:rPr>
              <w:t>的</w:t>
            </w:r>
            <w:r>
              <w:rPr>
                <w:rFonts w:hint="eastAsia" w:asciiTheme="majorEastAsia" w:hAnsiTheme="majorEastAsia" w:eastAsiaTheme="majorEastAsia" w:cstheme="majorEastAsia"/>
                <w:color w:val="auto"/>
                <w:sz w:val="21"/>
                <w:szCs w:val="21"/>
                <w:lang w:eastAsia="zh-CN"/>
              </w:rPr>
              <w:t>户外</w:t>
            </w:r>
            <w:r>
              <w:rPr>
                <w:rFonts w:hint="eastAsia" w:asciiTheme="majorEastAsia" w:hAnsiTheme="majorEastAsia" w:eastAsiaTheme="majorEastAsia" w:cstheme="majorEastAsia"/>
                <w:color w:val="auto"/>
                <w:sz w:val="21"/>
                <w:szCs w:val="21"/>
              </w:rPr>
              <w:t>广告位</w:t>
            </w:r>
            <w:r>
              <w:rPr>
                <w:rFonts w:hint="eastAsia" w:asciiTheme="majorEastAsia" w:hAnsiTheme="majorEastAsia" w:eastAsiaTheme="majorEastAsia" w:cstheme="majorEastAsia"/>
                <w:color w:val="auto"/>
                <w:sz w:val="21"/>
                <w:szCs w:val="21"/>
                <w:lang w:val="en-US" w:eastAsia="zh-CN"/>
              </w:rPr>
              <w:t>位</w:t>
            </w:r>
            <w:r>
              <w:rPr>
                <w:rFonts w:hint="eastAsia" w:asciiTheme="majorEastAsia" w:hAnsiTheme="majorEastAsia" w:eastAsiaTheme="majorEastAsia" w:cstheme="majorEastAsia"/>
                <w:color w:val="auto"/>
                <w:sz w:val="21"/>
                <w:szCs w:val="21"/>
              </w:rPr>
              <w:t>得满分</w:t>
            </w:r>
            <w:r>
              <w:rPr>
                <w:rFonts w:hint="eastAsia" w:asciiTheme="majorEastAsia" w:hAnsiTheme="majorEastAsia" w:eastAsiaTheme="majorEastAsia" w:cstheme="majorEastAsia"/>
                <w:color w:val="auto"/>
                <w:sz w:val="21"/>
                <w:szCs w:val="21"/>
                <w:lang w:val="en-US" w:eastAsia="zh-CN"/>
              </w:rPr>
              <w:t>20</w:t>
            </w:r>
            <w:r>
              <w:rPr>
                <w:rFonts w:hint="eastAsia" w:asciiTheme="majorEastAsia" w:hAnsiTheme="majorEastAsia" w:eastAsiaTheme="majorEastAsia" w:cstheme="majorEastAsia"/>
                <w:color w:val="auto"/>
                <w:sz w:val="21"/>
                <w:szCs w:val="21"/>
              </w:rPr>
              <w:t>分，</w:t>
            </w:r>
            <w:r>
              <w:rPr>
                <w:rFonts w:hint="eastAsia" w:asciiTheme="majorEastAsia" w:hAnsiTheme="majorEastAsia" w:eastAsiaTheme="majorEastAsia" w:cstheme="majorEastAsia"/>
                <w:color w:val="auto"/>
                <w:sz w:val="21"/>
                <w:szCs w:val="21"/>
                <w:lang w:eastAsia="zh-CN"/>
              </w:rPr>
              <w:t>东西延伸</w:t>
            </w:r>
            <w:r>
              <w:rPr>
                <w:rFonts w:hint="eastAsia" w:asciiTheme="majorEastAsia" w:hAnsiTheme="majorEastAsia" w:eastAsiaTheme="majorEastAsia" w:cstheme="majorEastAsia"/>
                <w:color w:val="auto"/>
                <w:sz w:val="21"/>
                <w:szCs w:val="21"/>
                <w:lang w:val="en-US" w:eastAsia="zh-CN"/>
              </w:rPr>
              <w:t>8</w:t>
            </w:r>
            <w:r>
              <w:rPr>
                <w:rFonts w:hint="eastAsia" w:asciiTheme="majorEastAsia" w:hAnsiTheme="majorEastAsia" w:eastAsiaTheme="majorEastAsia" w:cstheme="majorEastAsia"/>
                <w:color w:val="auto"/>
                <w:sz w:val="21"/>
                <w:szCs w:val="21"/>
              </w:rPr>
              <w:t>00米至1000米的</w:t>
            </w:r>
            <w:r>
              <w:rPr>
                <w:rFonts w:hint="eastAsia" w:asciiTheme="majorEastAsia" w:hAnsiTheme="majorEastAsia" w:eastAsiaTheme="majorEastAsia" w:cstheme="majorEastAsia"/>
                <w:color w:val="auto"/>
                <w:sz w:val="21"/>
                <w:szCs w:val="21"/>
                <w:lang w:eastAsia="zh-CN"/>
              </w:rPr>
              <w:t>的重要地标</w:t>
            </w:r>
            <w:r>
              <w:rPr>
                <w:rFonts w:hint="eastAsia" w:asciiTheme="majorEastAsia" w:hAnsiTheme="majorEastAsia" w:eastAsiaTheme="majorEastAsia" w:cstheme="majorEastAsia"/>
                <w:color w:val="auto"/>
                <w:sz w:val="21"/>
                <w:szCs w:val="21"/>
              </w:rPr>
              <w:t>的</w:t>
            </w:r>
            <w:r>
              <w:rPr>
                <w:rFonts w:hint="eastAsia" w:asciiTheme="majorEastAsia" w:hAnsiTheme="majorEastAsia" w:eastAsiaTheme="majorEastAsia" w:cstheme="majorEastAsia"/>
                <w:color w:val="auto"/>
                <w:sz w:val="21"/>
                <w:szCs w:val="21"/>
                <w:lang w:eastAsia="zh-CN"/>
              </w:rPr>
              <w:t>户外</w:t>
            </w:r>
            <w:r>
              <w:rPr>
                <w:rFonts w:hint="eastAsia" w:asciiTheme="majorEastAsia" w:hAnsiTheme="majorEastAsia" w:eastAsiaTheme="majorEastAsia" w:cstheme="majorEastAsia"/>
                <w:color w:val="auto"/>
                <w:sz w:val="21"/>
                <w:szCs w:val="21"/>
              </w:rPr>
              <w:t>广告位得</w:t>
            </w:r>
            <w:r>
              <w:rPr>
                <w:rFonts w:hint="eastAsia" w:asciiTheme="majorEastAsia" w:hAnsiTheme="majorEastAsia" w:eastAsiaTheme="majorEastAsia" w:cstheme="majorEastAsia"/>
                <w:color w:val="auto"/>
                <w:sz w:val="21"/>
                <w:szCs w:val="21"/>
                <w:lang w:val="en-US" w:eastAsia="zh-CN"/>
              </w:rPr>
              <w:t>15-18</w:t>
            </w:r>
            <w:r>
              <w:rPr>
                <w:rFonts w:hint="eastAsia" w:asciiTheme="majorEastAsia" w:hAnsiTheme="majorEastAsia" w:eastAsiaTheme="majorEastAsia" w:cstheme="majorEastAsia"/>
                <w:color w:val="auto"/>
                <w:sz w:val="21"/>
                <w:szCs w:val="21"/>
              </w:rPr>
              <w:t>分，其他</w:t>
            </w:r>
            <w:r>
              <w:rPr>
                <w:rFonts w:hint="eastAsia" w:asciiTheme="majorEastAsia" w:hAnsiTheme="majorEastAsia" w:eastAsiaTheme="majorEastAsia" w:cstheme="majorEastAsia"/>
                <w:color w:val="auto"/>
                <w:sz w:val="21"/>
                <w:szCs w:val="21"/>
                <w:lang w:eastAsia="zh-CN"/>
              </w:rPr>
              <w:t>路段</w:t>
            </w:r>
            <w:r>
              <w:rPr>
                <w:rFonts w:hint="eastAsia" w:asciiTheme="majorEastAsia" w:hAnsiTheme="majorEastAsia" w:eastAsiaTheme="majorEastAsia" w:cstheme="majorEastAsia"/>
                <w:color w:val="auto"/>
                <w:sz w:val="21"/>
                <w:szCs w:val="21"/>
              </w:rPr>
              <w:t>地段</w:t>
            </w:r>
            <w:r>
              <w:rPr>
                <w:rFonts w:hint="eastAsia" w:asciiTheme="majorEastAsia" w:hAnsiTheme="majorEastAsia" w:eastAsiaTheme="majorEastAsia" w:cstheme="majorEastAsia"/>
                <w:color w:val="auto"/>
                <w:sz w:val="21"/>
                <w:szCs w:val="21"/>
                <w:lang w:eastAsia="zh-CN"/>
              </w:rPr>
              <w:t>的重要地标的户外</w:t>
            </w:r>
            <w:r>
              <w:rPr>
                <w:rFonts w:hint="eastAsia" w:asciiTheme="majorEastAsia" w:hAnsiTheme="majorEastAsia" w:eastAsiaTheme="majorEastAsia" w:cstheme="majorEastAsia"/>
                <w:color w:val="auto"/>
                <w:sz w:val="21"/>
                <w:szCs w:val="21"/>
              </w:rPr>
              <w:t>广告</w:t>
            </w:r>
            <w:r>
              <w:rPr>
                <w:rFonts w:hint="eastAsia" w:asciiTheme="majorEastAsia" w:hAnsiTheme="majorEastAsia" w:eastAsiaTheme="majorEastAsia" w:cstheme="majorEastAsia"/>
                <w:color w:val="auto"/>
                <w:sz w:val="21"/>
                <w:szCs w:val="21"/>
                <w:lang w:eastAsia="zh-CN"/>
              </w:rPr>
              <w:t>延伸距离</w:t>
            </w:r>
            <w:r>
              <w:rPr>
                <w:rFonts w:hint="eastAsia" w:asciiTheme="majorEastAsia" w:hAnsiTheme="majorEastAsia" w:eastAsiaTheme="majorEastAsia" w:cstheme="majorEastAsia"/>
                <w:color w:val="auto"/>
                <w:sz w:val="21"/>
                <w:szCs w:val="21"/>
              </w:rPr>
              <w:t>，再酌情扣分。（投标单位应自行提供相关证明资料，如投标单位提供资料无法证明的，评标委员会可根据百度地图上测量的距离作为评审依据）</w:t>
            </w:r>
          </w:p>
          <w:p w14:paraId="1707794E">
            <w:pPr>
              <w:keepLines w:val="0"/>
              <w:pageBreakBefore w:val="0"/>
              <w:widowControl w:val="0"/>
              <w:kinsoku/>
              <w:overflowPunct/>
              <w:topLinePunct w:val="0"/>
              <w:bidi w:val="0"/>
              <w:spacing w:line="400" w:lineRule="exact"/>
              <w:jc w:val="both"/>
              <w:rPr>
                <w:rFonts w:hint="eastAsia" w:asciiTheme="majorEastAsia" w:hAnsiTheme="majorEastAsia" w:eastAsiaTheme="majorEastAsia" w:cstheme="majorEastAsia"/>
                <w:color w:val="auto"/>
                <w:sz w:val="21"/>
                <w:szCs w:val="21"/>
                <w:lang w:val="en-US" w:eastAsia="zh-CN"/>
              </w:rPr>
            </w:pPr>
            <w:r>
              <w:rPr>
                <w:rFonts w:hint="eastAsia" w:asciiTheme="majorEastAsia" w:hAnsiTheme="majorEastAsia" w:eastAsiaTheme="majorEastAsia" w:cstheme="majorEastAsia"/>
                <w:color w:val="auto"/>
                <w:sz w:val="21"/>
                <w:szCs w:val="21"/>
                <w:lang w:eastAsia="zh-CN"/>
              </w:rPr>
              <w:t>温州市区</w:t>
            </w:r>
            <w:r>
              <w:rPr>
                <w:rFonts w:hint="eastAsia" w:asciiTheme="majorEastAsia" w:hAnsiTheme="majorEastAsia" w:eastAsiaTheme="majorEastAsia" w:cstheme="majorEastAsia"/>
                <w:color w:val="auto"/>
                <w:sz w:val="21"/>
                <w:szCs w:val="21"/>
                <w:lang w:val="en-US" w:eastAsia="zh-CN"/>
              </w:rPr>
              <w:t>重点商圈户外广告</w:t>
            </w:r>
            <w:r>
              <w:rPr>
                <w:rFonts w:hint="eastAsia" w:asciiTheme="majorEastAsia" w:hAnsiTheme="majorEastAsia" w:eastAsiaTheme="majorEastAsia" w:cstheme="majorEastAsia"/>
                <w:color w:val="auto"/>
                <w:sz w:val="21"/>
                <w:szCs w:val="21"/>
              </w:rPr>
              <w:t>（</w:t>
            </w:r>
            <w:r>
              <w:rPr>
                <w:rFonts w:hint="eastAsia" w:asciiTheme="majorEastAsia" w:hAnsiTheme="majorEastAsia" w:eastAsiaTheme="majorEastAsia" w:cstheme="majorEastAsia"/>
                <w:color w:val="auto"/>
                <w:sz w:val="21"/>
                <w:szCs w:val="21"/>
                <w:lang w:val="en-US" w:eastAsia="zh-CN"/>
              </w:rPr>
              <w:t>1</w:t>
            </w:r>
            <w:r>
              <w:rPr>
                <w:rFonts w:hint="eastAsia" w:asciiTheme="majorEastAsia" w:hAnsiTheme="majorEastAsia" w:eastAsiaTheme="majorEastAsia" w:cstheme="majorEastAsia"/>
                <w:color w:val="auto"/>
                <w:sz w:val="21"/>
                <w:szCs w:val="21"/>
              </w:rPr>
              <w:t>0分）</w:t>
            </w:r>
            <w:r>
              <w:rPr>
                <w:rFonts w:hint="eastAsia" w:asciiTheme="majorEastAsia" w:hAnsiTheme="majorEastAsia" w:eastAsiaTheme="majorEastAsia" w:cstheme="majorEastAsia"/>
                <w:color w:val="auto"/>
                <w:sz w:val="21"/>
                <w:szCs w:val="21"/>
                <w:lang w:val="en-US" w:eastAsia="zh-CN"/>
              </w:rPr>
              <w:t>：评委依据供应商提供的温州市区重点商圈位置、人流量等进行评议。</w:t>
            </w:r>
            <w:r>
              <w:rPr>
                <w:rFonts w:hint="eastAsia" w:asciiTheme="majorEastAsia" w:hAnsiTheme="majorEastAsia" w:eastAsiaTheme="majorEastAsia" w:cstheme="majorEastAsia"/>
                <w:color w:val="auto"/>
                <w:sz w:val="21"/>
                <w:szCs w:val="21"/>
              </w:rPr>
              <w:t>优：</w:t>
            </w:r>
            <w:r>
              <w:rPr>
                <w:rFonts w:hint="eastAsia" w:asciiTheme="majorEastAsia" w:hAnsiTheme="majorEastAsia" w:eastAsiaTheme="majorEastAsia" w:cstheme="majorEastAsia"/>
                <w:color w:val="auto"/>
                <w:sz w:val="21"/>
                <w:szCs w:val="21"/>
                <w:lang w:val="en-US" w:eastAsia="zh-CN"/>
              </w:rPr>
              <w:t>7</w:t>
            </w:r>
            <w:r>
              <w:rPr>
                <w:rFonts w:hint="eastAsia" w:asciiTheme="majorEastAsia" w:hAnsiTheme="majorEastAsia" w:eastAsiaTheme="majorEastAsia" w:cstheme="majorEastAsia"/>
                <w:color w:val="auto"/>
                <w:sz w:val="21"/>
                <w:szCs w:val="21"/>
              </w:rPr>
              <w:t>-</w:t>
            </w:r>
            <w:r>
              <w:rPr>
                <w:rFonts w:hint="eastAsia" w:asciiTheme="majorEastAsia" w:hAnsiTheme="majorEastAsia" w:eastAsiaTheme="majorEastAsia" w:cstheme="majorEastAsia"/>
                <w:color w:val="auto"/>
                <w:sz w:val="21"/>
                <w:szCs w:val="21"/>
                <w:lang w:val="en-US" w:eastAsia="zh-CN"/>
              </w:rPr>
              <w:t>10</w:t>
            </w:r>
            <w:r>
              <w:rPr>
                <w:rFonts w:hint="eastAsia" w:asciiTheme="majorEastAsia" w:hAnsiTheme="majorEastAsia" w:eastAsiaTheme="majorEastAsia" w:cstheme="majorEastAsia"/>
                <w:color w:val="auto"/>
                <w:sz w:val="21"/>
                <w:szCs w:val="21"/>
              </w:rPr>
              <w:t>分；良：</w:t>
            </w:r>
            <w:r>
              <w:rPr>
                <w:rFonts w:hint="eastAsia" w:asciiTheme="majorEastAsia" w:hAnsiTheme="majorEastAsia" w:eastAsiaTheme="majorEastAsia" w:cstheme="majorEastAsia"/>
                <w:color w:val="auto"/>
                <w:sz w:val="21"/>
                <w:szCs w:val="21"/>
                <w:lang w:val="en-US" w:eastAsia="zh-CN"/>
              </w:rPr>
              <w:t>4</w:t>
            </w:r>
            <w:r>
              <w:rPr>
                <w:rFonts w:hint="eastAsia" w:asciiTheme="majorEastAsia" w:hAnsiTheme="majorEastAsia" w:eastAsiaTheme="majorEastAsia" w:cstheme="majorEastAsia"/>
                <w:color w:val="auto"/>
                <w:sz w:val="21"/>
                <w:szCs w:val="21"/>
              </w:rPr>
              <w:t>-</w:t>
            </w:r>
            <w:r>
              <w:rPr>
                <w:rFonts w:hint="eastAsia" w:asciiTheme="majorEastAsia" w:hAnsiTheme="majorEastAsia" w:eastAsiaTheme="majorEastAsia" w:cstheme="majorEastAsia"/>
                <w:color w:val="auto"/>
                <w:sz w:val="21"/>
                <w:szCs w:val="21"/>
                <w:lang w:val="en-US" w:eastAsia="zh-CN"/>
              </w:rPr>
              <w:t>7</w:t>
            </w:r>
            <w:r>
              <w:rPr>
                <w:rFonts w:hint="eastAsia" w:asciiTheme="majorEastAsia" w:hAnsiTheme="majorEastAsia" w:eastAsiaTheme="majorEastAsia" w:cstheme="majorEastAsia"/>
                <w:color w:val="auto"/>
                <w:sz w:val="21"/>
                <w:szCs w:val="21"/>
              </w:rPr>
              <w:t>分；一般：0-</w:t>
            </w:r>
            <w:r>
              <w:rPr>
                <w:rFonts w:hint="eastAsia" w:asciiTheme="majorEastAsia" w:hAnsiTheme="majorEastAsia" w:eastAsiaTheme="majorEastAsia" w:cstheme="majorEastAsia"/>
                <w:color w:val="auto"/>
                <w:sz w:val="21"/>
                <w:szCs w:val="21"/>
                <w:lang w:val="en-US" w:eastAsia="zh-CN"/>
              </w:rPr>
              <w:t>4</w:t>
            </w:r>
            <w:r>
              <w:rPr>
                <w:rFonts w:hint="eastAsia" w:asciiTheme="majorEastAsia" w:hAnsiTheme="majorEastAsia" w:eastAsiaTheme="majorEastAsia" w:cstheme="majorEastAsia"/>
                <w:color w:val="auto"/>
                <w:sz w:val="21"/>
                <w:szCs w:val="21"/>
              </w:rPr>
              <w:t>分。</w:t>
            </w:r>
          </w:p>
        </w:tc>
      </w:tr>
      <w:tr w14:paraId="5ACDA2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687" w:type="dxa"/>
            <w:vMerge w:val="continue"/>
            <w:noWrap w:val="0"/>
            <w:vAlign w:val="center"/>
          </w:tcPr>
          <w:p w14:paraId="3CE016F4">
            <w:pPr>
              <w:keepLines w:val="0"/>
              <w:pageBreakBefore w:val="0"/>
              <w:widowControl w:val="0"/>
              <w:kinsoku/>
              <w:overflowPunct/>
              <w:topLinePunct w:val="0"/>
              <w:bidi w:val="0"/>
              <w:spacing w:line="400" w:lineRule="exact"/>
              <w:jc w:val="center"/>
              <w:rPr>
                <w:rFonts w:hint="eastAsia" w:asciiTheme="majorEastAsia" w:hAnsiTheme="majorEastAsia" w:eastAsiaTheme="majorEastAsia" w:cstheme="majorEastAsia"/>
                <w:highlight w:val="none"/>
                <w:vertAlign w:val="baseline"/>
              </w:rPr>
            </w:pPr>
          </w:p>
        </w:tc>
        <w:tc>
          <w:tcPr>
            <w:tcW w:w="1730" w:type="dxa"/>
            <w:vMerge w:val="continue"/>
            <w:noWrap w:val="0"/>
            <w:vAlign w:val="center"/>
          </w:tcPr>
          <w:p w14:paraId="0D293BD1">
            <w:pPr>
              <w:keepLines w:val="0"/>
              <w:pageBreakBefore w:val="0"/>
              <w:widowControl w:val="0"/>
              <w:kinsoku/>
              <w:overflowPunct/>
              <w:topLinePunct w:val="0"/>
              <w:bidi w:val="0"/>
              <w:spacing w:line="400" w:lineRule="exact"/>
              <w:jc w:val="center"/>
              <w:rPr>
                <w:rFonts w:hint="eastAsia" w:asciiTheme="majorEastAsia" w:hAnsiTheme="majorEastAsia" w:eastAsiaTheme="majorEastAsia" w:cstheme="majorEastAsia"/>
                <w:color w:val="auto"/>
                <w:highlight w:val="none"/>
                <w:vertAlign w:val="baseline"/>
              </w:rPr>
            </w:pPr>
          </w:p>
        </w:tc>
        <w:tc>
          <w:tcPr>
            <w:tcW w:w="1239" w:type="dxa"/>
            <w:noWrap w:val="0"/>
            <w:vAlign w:val="center"/>
          </w:tcPr>
          <w:p w14:paraId="1431DA86">
            <w:pPr>
              <w:keepLines w:val="0"/>
              <w:pageBreakBefore w:val="0"/>
              <w:widowControl w:val="0"/>
              <w:kinsoku/>
              <w:overflowPunct/>
              <w:topLinePunct w:val="0"/>
              <w:bidi w:val="0"/>
              <w:spacing w:line="400" w:lineRule="exact"/>
              <w:jc w:val="center"/>
              <w:rPr>
                <w:rFonts w:hint="eastAsia" w:asciiTheme="majorEastAsia" w:hAnsiTheme="majorEastAsia" w:eastAsiaTheme="majorEastAsia" w:cstheme="majorEastAsia"/>
                <w:color w:val="auto"/>
                <w:highlight w:val="none"/>
                <w:vertAlign w:val="baseline"/>
              </w:rPr>
            </w:pPr>
            <w:r>
              <w:rPr>
                <w:rFonts w:hint="eastAsia" w:asciiTheme="majorEastAsia" w:hAnsiTheme="majorEastAsia" w:eastAsiaTheme="majorEastAsia" w:cstheme="majorEastAsia"/>
                <w:color w:val="auto"/>
                <w:sz w:val="21"/>
                <w:szCs w:val="21"/>
              </w:rPr>
              <w:t>广告位投播方案（</w:t>
            </w:r>
            <w:r>
              <w:rPr>
                <w:rFonts w:hint="eastAsia" w:asciiTheme="majorEastAsia" w:hAnsiTheme="majorEastAsia" w:eastAsiaTheme="majorEastAsia" w:cstheme="majorEastAsia"/>
                <w:color w:val="auto"/>
                <w:sz w:val="21"/>
                <w:szCs w:val="21"/>
                <w:lang w:val="en-US" w:eastAsia="zh-CN"/>
              </w:rPr>
              <w:t>10</w:t>
            </w:r>
            <w:r>
              <w:rPr>
                <w:rFonts w:hint="eastAsia" w:asciiTheme="majorEastAsia" w:hAnsiTheme="majorEastAsia" w:eastAsiaTheme="majorEastAsia" w:cstheme="majorEastAsia"/>
                <w:color w:val="auto"/>
                <w:sz w:val="21"/>
                <w:szCs w:val="21"/>
              </w:rPr>
              <w:t>分）</w:t>
            </w:r>
          </w:p>
        </w:tc>
        <w:tc>
          <w:tcPr>
            <w:tcW w:w="1080" w:type="dxa"/>
            <w:noWrap w:val="0"/>
            <w:vAlign w:val="center"/>
          </w:tcPr>
          <w:p w14:paraId="33A7D417">
            <w:pPr>
              <w:keepLines w:val="0"/>
              <w:pageBreakBefore w:val="0"/>
              <w:widowControl w:val="0"/>
              <w:kinsoku/>
              <w:overflowPunct/>
              <w:topLinePunct w:val="0"/>
              <w:bidi w:val="0"/>
              <w:spacing w:line="400" w:lineRule="exact"/>
              <w:jc w:val="center"/>
              <w:rPr>
                <w:rFonts w:hint="eastAsia" w:asciiTheme="majorEastAsia" w:hAnsiTheme="majorEastAsia" w:eastAsiaTheme="majorEastAsia" w:cstheme="majorEastAsia"/>
                <w:color w:val="auto"/>
                <w:highlight w:val="none"/>
                <w:vertAlign w:val="baseline"/>
                <w:lang w:val="en-US" w:eastAsia="zh-CN"/>
              </w:rPr>
            </w:pPr>
            <w:r>
              <w:rPr>
                <w:rFonts w:hint="eastAsia" w:asciiTheme="majorEastAsia" w:hAnsiTheme="majorEastAsia" w:eastAsiaTheme="majorEastAsia" w:cstheme="majorEastAsia"/>
                <w:color w:val="auto"/>
                <w:highlight w:val="none"/>
                <w:vertAlign w:val="baseline"/>
                <w:lang w:val="en-US" w:eastAsia="zh-CN"/>
              </w:rPr>
              <w:t>0-10分</w:t>
            </w:r>
          </w:p>
        </w:tc>
        <w:tc>
          <w:tcPr>
            <w:tcW w:w="4989" w:type="dxa"/>
            <w:noWrap w:val="0"/>
            <w:vAlign w:val="center"/>
          </w:tcPr>
          <w:p w14:paraId="5112E684">
            <w:pPr>
              <w:pageBreakBefore w:val="0"/>
              <w:kinsoku/>
              <w:topLinePunct w:val="0"/>
              <w:bidi w:val="0"/>
              <w:spacing w:line="400" w:lineRule="exact"/>
              <w:ind w:left="-2" w:leftChars="-1"/>
              <w:jc w:val="left"/>
              <w:rPr>
                <w:rFonts w:hint="eastAsia"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由评委根据供应商的广告投播方案（投播时间段、投播时长、投播频率等）进行评议</w:t>
            </w:r>
          </w:p>
          <w:p w14:paraId="0CAE11E7">
            <w:pPr>
              <w:keepLines w:val="0"/>
              <w:pageBreakBefore w:val="0"/>
              <w:widowControl w:val="0"/>
              <w:kinsoku/>
              <w:overflowPunct/>
              <w:topLinePunct w:val="0"/>
              <w:bidi w:val="0"/>
              <w:spacing w:line="400" w:lineRule="exact"/>
              <w:jc w:val="both"/>
              <w:rPr>
                <w:rFonts w:hint="eastAsia" w:asciiTheme="majorEastAsia" w:hAnsiTheme="majorEastAsia" w:eastAsiaTheme="majorEastAsia" w:cstheme="majorEastAsia"/>
                <w:color w:val="auto"/>
                <w:highlight w:val="none"/>
                <w:vertAlign w:val="baseline"/>
                <w:lang w:val="en-US" w:eastAsia="zh-CN"/>
              </w:rPr>
            </w:pPr>
            <w:r>
              <w:rPr>
                <w:rFonts w:hint="eastAsia" w:asciiTheme="majorEastAsia" w:hAnsiTheme="majorEastAsia" w:eastAsiaTheme="majorEastAsia" w:cstheme="majorEastAsia"/>
                <w:color w:val="auto"/>
                <w:sz w:val="21"/>
                <w:szCs w:val="21"/>
              </w:rPr>
              <w:t>优：</w:t>
            </w:r>
            <w:r>
              <w:rPr>
                <w:rFonts w:hint="eastAsia" w:asciiTheme="majorEastAsia" w:hAnsiTheme="majorEastAsia" w:eastAsiaTheme="majorEastAsia" w:cstheme="majorEastAsia"/>
                <w:color w:val="auto"/>
                <w:sz w:val="21"/>
                <w:szCs w:val="21"/>
                <w:lang w:val="en-US" w:eastAsia="zh-CN"/>
              </w:rPr>
              <w:t>7</w:t>
            </w:r>
            <w:r>
              <w:rPr>
                <w:rFonts w:hint="eastAsia" w:asciiTheme="majorEastAsia" w:hAnsiTheme="majorEastAsia" w:eastAsiaTheme="majorEastAsia" w:cstheme="majorEastAsia"/>
                <w:color w:val="auto"/>
                <w:sz w:val="21"/>
                <w:szCs w:val="21"/>
              </w:rPr>
              <w:t>-</w:t>
            </w:r>
            <w:r>
              <w:rPr>
                <w:rFonts w:hint="eastAsia" w:asciiTheme="majorEastAsia" w:hAnsiTheme="majorEastAsia" w:eastAsiaTheme="majorEastAsia" w:cstheme="majorEastAsia"/>
                <w:color w:val="auto"/>
                <w:sz w:val="21"/>
                <w:szCs w:val="21"/>
                <w:lang w:val="en-US" w:eastAsia="zh-CN"/>
              </w:rPr>
              <w:t>10</w:t>
            </w:r>
            <w:r>
              <w:rPr>
                <w:rFonts w:hint="eastAsia" w:asciiTheme="majorEastAsia" w:hAnsiTheme="majorEastAsia" w:eastAsiaTheme="majorEastAsia" w:cstheme="majorEastAsia"/>
                <w:color w:val="auto"/>
                <w:sz w:val="21"/>
                <w:szCs w:val="21"/>
              </w:rPr>
              <w:t>分；良：</w:t>
            </w:r>
            <w:r>
              <w:rPr>
                <w:rFonts w:hint="eastAsia" w:asciiTheme="majorEastAsia" w:hAnsiTheme="majorEastAsia" w:eastAsiaTheme="majorEastAsia" w:cstheme="majorEastAsia"/>
                <w:color w:val="auto"/>
                <w:sz w:val="21"/>
                <w:szCs w:val="21"/>
                <w:lang w:val="en-US" w:eastAsia="zh-CN"/>
              </w:rPr>
              <w:t>4</w:t>
            </w:r>
            <w:r>
              <w:rPr>
                <w:rFonts w:hint="eastAsia" w:asciiTheme="majorEastAsia" w:hAnsiTheme="majorEastAsia" w:eastAsiaTheme="majorEastAsia" w:cstheme="majorEastAsia"/>
                <w:color w:val="auto"/>
                <w:sz w:val="21"/>
                <w:szCs w:val="21"/>
              </w:rPr>
              <w:t>-</w:t>
            </w:r>
            <w:r>
              <w:rPr>
                <w:rFonts w:hint="eastAsia" w:asciiTheme="majorEastAsia" w:hAnsiTheme="majorEastAsia" w:eastAsiaTheme="majorEastAsia" w:cstheme="majorEastAsia"/>
                <w:color w:val="auto"/>
                <w:sz w:val="21"/>
                <w:szCs w:val="21"/>
                <w:lang w:val="en-US" w:eastAsia="zh-CN"/>
              </w:rPr>
              <w:t>7</w:t>
            </w:r>
            <w:r>
              <w:rPr>
                <w:rFonts w:hint="eastAsia" w:asciiTheme="majorEastAsia" w:hAnsiTheme="majorEastAsia" w:eastAsiaTheme="majorEastAsia" w:cstheme="majorEastAsia"/>
                <w:color w:val="auto"/>
                <w:sz w:val="21"/>
                <w:szCs w:val="21"/>
              </w:rPr>
              <w:t>分；一般：0-</w:t>
            </w:r>
            <w:r>
              <w:rPr>
                <w:rFonts w:hint="eastAsia" w:asciiTheme="majorEastAsia" w:hAnsiTheme="majorEastAsia" w:eastAsiaTheme="majorEastAsia" w:cstheme="majorEastAsia"/>
                <w:color w:val="auto"/>
                <w:sz w:val="21"/>
                <w:szCs w:val="21"/>
                <w:lang w:val="en-US" w:eastAsia="zh-CN"/>
              </w:rPr>
              <w:t>4</w:t>
            </w:r>
            <w:r>
              <w:rPr>
                <w:rFonts w:hint="eastAsia" w:asciiTheme="majorEastAsia" w:hAnsiTheme="majorEastAsia" w:eastAsiaTheme="majorEastAsia" w:cstheme="majorEastAsia"/>
                <w:color w:val="auto"/>
                <w:sz w:val="21"/>
                <w:szCs w:val="21"/>
              </w:rPr>
              <w:t>分。</w:t>
            </w:r>
          </w:p>
        </w:tc>
      </w:tr>
      <w:tr w14:paraId="066F83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6" w:hRule="atLeast"/>
        </w:trPr>
        <w:tc>
          <w:tcPr>
            <w:tcW w:w="687" w:type="dxa"/>
            <w:vMerge w:val="continue"/>
            <w:noWrap w:val="0"/>
            <w:vAlign w:val="center"/>
          </w:tcPr>
          <w:p w14:paraId="6A057160">
            <w:pPr>
              <w:keepLines w:val="0"/>
              <w:pageBreakBefore w:val="0"/>
              <w:widowControl w:val="0"/>
              <w:kinsoku/>
              <w:overflowPunct/>
              <w:topLinePunct w:val="0"/>
              <w:bidi w:val="0"/>
              <w:spacing w:line="400" w:lineRule="exact"/>
              <w:jc w:val="center"/>
              <w:rPr>
                <w:rFonts w:hint="eastAsia" w:asciiTheme="majorEastAsia" w:hAnsiTheme="majorEastAsia" w:eastAsiaTheme="majorEastAsia" w:cstheme="majorEastAsia"/>
                <w:highlight w:val="none"/>
                <w:vertAlign w:val="baseline"/>
              </w:rPr>
            </w:pPr>
          </w:p>
        </w:tc>
        <w:tc>
          <w:tcPr>
            <w:tcW w:w="1730" w:type="dxa"/>
            <w:vMerge w:val="continue"/>
            <w:noWrap w:val="0"/>
            <w:vAlign w:val="center"/>
          </w:tcPr>
          <w:p w14:paraId="3914A0B3">
            <w:pPr>
              <w:keepLines w:val="0"/>
              <w:pageBreakBefore w:val="0"/>
              <w:widowControl w:val="0"/>
              <w:kinsoku/>
              <w:overflowPunct/>
              <w:topLinePunct w:val="0"/>
              <w:bidi w:val="0"/>
              <w:spacing w:line="400" w:lineRule="exact"/>
              <w:jc w:val="center"/>
              <w:rPr>
                <w:rFonts w:hint="eastAsia" w:asciiTheme="majorEastAsia" w:hAnsiTheme="majorEastAsia" w:eastAsiaTheme="majorEastAsia" w:cstheme="majorEastAsia"/>
                <w:color w:val="auto"/>
                <w:highlight w:val="none"/>
                <w:vertAlign w:val="baseline"/>
              </w:rPr>
            </w:pPr>
          </w:p>
        </w:tc>
        <w:tc>
          <w:tcPr>
            <w:tcW w:w="1239" w:type="dxa"/>
            <w:noWrap w:val="0"/>
            <w:vAlign w:val="center"/>
          </w:tcPr>
          <w:p w14:paraId="7F71C92C">
            <w:pPr>
              <w:keepLines w:val="0"/>
              <w:pageBreakBefore w:val="0"/>
              <w:widowControl w:val="0"/>
              <w:kinsoku/>
              <w:overflowPunct/>
              <w:topLinePunct w:val="0"/>
              <w:bidi w:val="0"/>
              <w:spacing w:line="400" w:lineRule="exact"/>
              <w:jc w:val="center"/>
              <w:rPr>
                <w:rFonts w:hint="eastAsia" w:asciiTheme="majorEastAsia" w:hAnsiTheme="majorEastAsia" w:eastAsiaTheme="majorEastAsia" w:cstheme="majorEastAsia"/>
                <w:color w:val="auto"/>
                <w:highlight w:val="none"/>
                <w:vertAlign w:val="baseline"/>
                <w:lang w:val="en-US" w:eastAsia="zh-CN"/>
              </w:rPr>
            </w:pPr>
            <w:r>
              <w:rPr>
                <w:rFonts w:hint="eastAsia" w:ascii="宋体" w:hAnsi="宋体" w:eastAsia="宋体" w:cs="Times New Roman"/>
                <w:b w:val="0"/>
                <w:bCs w:val="0"/>
                <w:color w:val="auto"/>
                <w:kern w:val="2"/>
                <w:sz w:val="24"/>
                <w:szCs w:val="24"/>
                <w:lang w:val="en-US" w:eastAsia="zh-CN" w:bidi="ar-SA"/>
              </w:rPr>
              <w:t>广告策划方案</w:t>
            </w:r>
            <w:r>
              <w:rPr>
                <w:rFonts w:hint="eastAsia" w:asciiTheme="majorEastAsia" w:hAnsiTheme="majorEastAsia" w:eastAsiaTheme="majorEastAsia" w:cstheme="majorEastAsia"/>
                <w:color w:val="auto"/>
                <w:sz w:val="21"/>
                <w:szCs w:val="21"/>
              </w:rPr>
              <w:t>（</w:t>
            </w:r>
            <w:r>
              <w:rPr>
                <w:rFonts w:hint="eastAsia" w:asciiTheme="majorEastAsia" w:hAnsiTheme="majorEastAsia" w:eastAsiaTheme="majorEastAsia" w:cstheme="majorEastAsia"/>
                <w:color w:val="auto"/>
                <w:sz w:val="21"/>
                <w:szCs w:val="21"/>
                <w:lang w:val="en-US" w:eastAsia="zh-CN"/>
              </w:rPr>
              <w:t>20</w:t>
            </w:r>
            <w:r>
              <w:rPr>
                <w:rFonts w:hint="eastAsia" w:asciiTheme="majorEastAsia" w:hAnsiTheme="majorEastAsia" w:eastAsiaTheme="majorEastAsia" w:cstheme="majorEastAsia"/>
                <w:color w:val="auto"/>
                <w:sz w:val="21"/>
                <w:szCs w:val="21"/>
              </w:rPr>
              <w:t>分）</w:t>
            </w:r>
          </w:p>
        </w:tc>
        <w:tc>
          <w:tcPr>
            <w:tcW w:w="1080" w:type="dxa"/>
            <w:noWrap w:val="0"/>
            <w:vAlign w:val="center"/>
          </w:tcPr>
          <w:p w14:paraId="61322D52">
            <w:pPr>
              <w:keepLines w:val="0"/>
              <w:pageBreakBefore w:val="0"/>
              <w:widowControl w:val="0"/>
              <w:kinsoku/>
              <w:overflowPunct/>
              <w:topLinePunct w:val="0"/>
              <w:bidi w:val="0"/>
              <w:spacing w:line="400" w:lineRule="exact"/>
              <w:jc w:val="center"/>
              <w:rPr>
                <w:rFonts w:hint="eastAsia" w:asciiTheme="majorEastAsia" w:hAnsiTheme="majorEastAsia" w:eastAsiaTheme="majorEastAsia" w:cstheme="majorEastAsia"/>
                <w:color w:val="auto"/>
                <w:highlight w:val="none"/>
                <w:vertAlign w:val="baseline"/>
                <w:lang w:val="en-US" w:eastAsia="zh-CN"/>
              </w:rPr>
            </w:pPr>
            <w:r>
              <w:rPr>
                <w:rFonts w:hint="eastAsia" w:asciiTheme="majorEastAsia" w:hAnsiTheme="majorEastAsia" w:eastAsiaTheme="majorEastAsia" w:cstheme="majorEastAsia"/>
                <w:color w:val="auto"/>
                <w:highlight w:val="none"/>
                <w:vertAlign w:val="baseline"/>
                <w:lang w:val="en-US" w:eastAsia="zh-CN"/>
              </w:rPr>
              <w:t>0-20分</w:t>
            </w:r>
          </w:p>
        </w:tc>
        <w:tc>
          <w:tcPr>
            <w:tcW w:w="4989" w:type="dxa"/>
            <w:noWrap w:val="0"/>
            <w:vAlign w:val="center"/>
          </w:tcPr>
          <w:p w14:paraId="32B2D6A5">
            <w:pPr>
              <w:pageBreakBefore w:val="0"/>
              <w:kinsoku/>
              <w:topLinePunct w:val="0"/>
              <w:bidi w:val="0"/>
              <w:spacing w:line="400" w:lineRule="exact"/>
              <w:ind w:left="-2" w:leftChars="-1"/>
              <w:jc w:val="left"/>
              <w:rPr>
                <w:rFonts w:hint="eastAsia"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由评委根据供应商的广告</w:t>
            </w:r>
            <w:r>
              <w:rPr>
                <w:rFonts w:hint="eastAsia" w:asciiTheme="majorEastAsia" w:hAnsiTheme="majorEastAsia" w:eastAsiaTheme="majorEastAsia" w:cstheme="majorEastAsia"/>
                <w:color w:val="auto"/>
                <w:sz w:val="21"/>
                <w:szCs w:val="21"/>
                <w:lang w:eastAsia="zh-CN"/>
              </w:rPr>
              <w:t>策划</w:t>
            </w:r>
            <w:r>
              <w:rPr>
                <w:rFonts w:hint="eastAsia" w:asciiTheme="majorEastAsia" w:hAnsiTheme="majorEastAsia" w:eastAsiaTheme="majorEastAsia" w:cstheme="majorEastAsia"/>
                <w:color w:val="auto"/>
                <w:sz w:val="21"/>
                <w:szCs w:val="21"/>
              </w:rPr>
              <w:t>方案（</w:t>
            </w:r>
            <w:r>
              <w:rPr>
                <w:rFonts w:hint="eastAsia" w:asciiTheme="majorEastAsia" w:hAnsiTheme="majorEastAsia" w:eastAsiaTheme="majorEastAsia" w:cstheme="majorEastAsia"/>
                <w:color w:val="auto"/>
                <w:sz w:val="21"/>
                <w:szCs w:val="21"/>
                <w:lang w:eastAsia="zh-CN"/>
              </w:rPr>
              <w:t>主题策划、广告制作</w:t>
            </w:r>
            <w:r>
              <w:rPr>
                <w:rFonts w:hint="eastAsia" w:asciiTheme="majorEastAsia" w:hAnsiTheme="majorEastAsia" w:eastAsiaTheme="majorEastAsia" w:cstheme="majorEastAsia"/>
                <w:color w:val="auto"/>
                <w:sz w:val="21"/>
                <w:szCs w:val="21"/>
              </w:rPr>
              <w:t>等）进行评议</w:t>
            </w:r>
          </w:p>
          <w:p w14:paraId="3937B521">
            <w:pPr>
              <w:pageBreakBefore w:val="0"/>
              <w:tabs>
                <w:tab w:val="left" w:pos="4762"/>
              </w:tabs>
              <w:kinsoku/>
              <w:topLinePunct w:val="0"/>
              <w:autoSpaceDE w:val="0"/>
              <w:autoSpaceDN w:val="0"/>
              <w:bidi w:val="0"/>
              <w:adjustRightInd w:val="0"/>
              <w:spacing w:line="400" w:lineRule="exact"/>
              <w:rPr>
                <w:rFonts w:hint="eastAsia" w:asciiTheme="majorEastAsia" w:hAnsiTheme="majorEastAsia" w:eastAsiaTheme="majorEastAsia" w:cstheme="majorEastAsia"/>
                <w:color w:val="auto"/>
                <w:highlight w:val="none"/>
                <w:vertAlign w:val="baseline"/>
                <w:lang w:val="en-US" w:eastAsia="zh-CN"/>
              </w:rPr>
            </w:pPr>
            <w:r>
              <w:rPr>
                <w:rFonts w:hint="eastAsia" w:asciiTheme="majorEastAsia" w:hAnsiTheme="majorEastAsia" w:eastAsiaTheme="majorEastAsia" w:cstheme="majorEastAsia"/>
                <w:color w:val="auto"/>
                <w:sz w:val="21"/>
                <w:szCs w:val="21"/>
              </w:rPr>
              <w:t>优：1</w:t>
            </w:r>
            <w:r>
              <w:rPr>
                <w:rFonts w:hint="eastAsia" w:asciiTheme="majorEastAsia" w:hAnsiTheme="majorEastAsia" w:eastAsiaTheme="majorEastAsia" w:cstheme="majorEastAsia"/>
                <w:color w:val="auto"/>
                <w:sz w:val="21"/>
                <w:szCs w:val="21"/>
                <w:lang w:val="en-US" w:eastAsia="zh-CN"/>
              </w:rPr>
              <w:t>5</w:t>
            </w:r>
            <w:r>
              <w:rPr>
                <w:rFonts w:hint="eastAsia" w:asciiTheme="majorEastAsia" w:hAnsiTheme="majorEastAsia" w:eastAsiaTheme="majorEastAsia" w:cstheme="majorEastAsia"/>
                <w:color w:val="auto"/>
                <w:sz w:val="21"/>
                <w:szCs w:val="21"/>
              </w:rPr>
              <w:t>-</w:t>
            </w:r>
            <w:r>
              <w:rPr>
                <w:rFonts w:hint="eastAsia" w:asciiTheme="majorEastAsia" w:hAnsiTheme="majorEastAsia" w:eastAsiaTheme="majorEastAsia" w:cstheme="majorEastAsia"/>
                <w:color w:val="auto"/>
                <w:sz w:val="21"/>
                <w:szCs w:val="21"/>
                <w:lang w:val="en-US" w:eastAsia="zh-CN"/>
              </w:rPr>
              <w:t>20</w:t>
            </w:r>
            <w:r>
              <w:rPr>
                <w:rFonts w:hint="eastAsia" w:asciiTheme="majorEastAsia" w:hAnsiTheme="majorEastAsia" w:eastAsiaTheme="majorEastAsia" w:cstheme="majorEastAsia"/>
                <w:color w:val="auto"/>
                <w:sz w:val="21"/>
                <w:szCs w:val="21"/>
              </w:rPr>
              <w:t>分；良：8-</w:t>
            </w:r>
            <w:r>
              <w:rPr>
                <w:rFonts w:hint="eastAsia" w:asciiTheme="majorEastAsia" w:hAnsiTheme="majorEastAsia" w:eastAsiaTheme="majorEastAsia" w:cstheme="majorEastAsia"/>
                <w:color w:val="auto"/>
                <w:sz w:val="21"/>
                <w:szCs w:val="21"/>
                <w:lang w:val="en-US" w:eastAsia="zh-CN"/>
              </w:rPr>
              <w:t>15</w:t>
            </w:r>
            <w:r>
              <w:rPr>
                <w:rFonts w:hint="eastAsia" w:asciiTheme="majorEastAsia" w:hAnsiTheme="majorEastAsia" w:eastAsiaTheme="majorEastAsia" w:cstheme="majorEastAsia"/>
                <w:color w:val="auto"/>
                <w:sz w:val="21"/>
                <w:szCs w:val="21"/>
              </w:rPr>
              <w:t>分；一般：0-8分。</w:t>
            </w:r>
          </w:p>
        </w:tc>
      </w:tr>
      <w:tr w14:paraId="3C30DC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1" w:hRule="atLeast"/>
        </w:trPr>
        <w:tc>
          <w:tcPr>
            <w:tcW w:w="687" w:type="dxa"/>
            <w:vMerge w:val="restart"/>
            <w:noWrap w:val="0"/>
            <w:vAlign w:val="center"/>
          </w:tcPr>
          <w:p w14:paraId="4B92E3E8">
            <w:pPr>
              <w:keepLines w:val="0"/>
              <w:pageBreakBefore w:val="0"/>
              <w:widowControl w:val="0"/>
              <w:kinsoku/>
              <w:overflowPunct/>
              <w:topLinePunct w:val="0"/>
              <w:bidi w:val="0"/>
              <w:spacing w:line="400" w:lineRule="exact"/>
              <w:jc w:val="center"/>
              <w:rPr>
                <w:rFonts w:hint="eastAsia" w:asciiTheme="majorEastAsia" w:hAnsiTheme="majorEastAsia" w:eastAsiaTheme="majorEastAsia" w:cstheme="majorEastAsia"/>
                <w:highlight w:val="none"/>
                <w:vertAlign w:val="baseline"/>
                <w:lang w:val="en-US" w:eastAsia="zh-CN"/>
              </w:rPr>
            </w:pPr>
            <w:r>
              <w:rPr>
                <w:rFonts w:hint="eastAsia" w:asciiTheme="majorEastAsia" w:hAnsiTheme="majorEastAsia" w:eastAsiaTheme="majorEastAsia" w:cstheme="majorEastAsia"/>
                <w:highlight w:val="none"/>
                <w:vertAlign w:val="baseline"/>
                <w:lang w:val="en-US" w:eastAsia="zh-CN"/>
              </w:rPr>
              <w:t>2</w:t>
            </w:r>
          </w:p>
        </w:tc>
        <w:tc>
          <w:tcPr>
            <w:tcW w:w="1730" w:type="dxa"/>
            <w:vMerge w:val="restart"/>
            <w:noWrap w:val="0"/>
            <w:vAlign w:val="center"/>
          </w:tcPr>
          <w:p w14:paraId="32295741">
            <w:pPr>
              <w:keepLines w:val="0"/>
              <w:pageBreakBefore w:val="0"/>
              <w:widowControl w:val="0"/>
              <w:kinsoku/>
              <w:overflowPunct/>
              <w:topLinePunct w:val="0"/>
              <w:bidi w:val="0"/>
              <w:spacing w:line="400" w:lineRule="exact"/>
              <w:jc w:val="center"/>
              <w:rPr>
                <w:rFonts w:hint="eastAsia" w:asciiTheme="majorEastAsia" w:hAnsiTheme="majorEastAsia" w:eastAsiaTheme="majorEastAsia" w:cstheme="majorEastAsia"/>
                <w:color w:val="auto"/>
                <w:highlight w:val="none"/>
                <w:vertAlign w:val="baseline"/>
                <w:lang w:val="en-US" w:eastAsia="zh-CN"/>
              </w:rPr>
            </w:pPr>
            <w:r>
              <w:rPr>
                <w:rFonts w:hint="eastAsia" w:asciiTheme="majorEastAsia" w:hAnsiTheme="majorEastAsia" w:eastAsiaTheme="majorEastAsia" w:cstheme="majorEastAsia"/>
                <w:color w:val="auto"/>
                <w:sz w:val="21"/>
                <w:szCs w:val="21"/>
              </w:rPr>
              <w:t>项目实施方案（22分）</w:t>
            </w:r>
          </w:p>
        </w:tc>
        <w:tc>
          <w:tcPr>
            <w:tcW w:w="1239" w:type="dxa"/>
            <w:noWrap w:val="0"/>
            <w:vAlign w:val="center"/>
          </w:tcPr>
          <w:p w14:paraId="5C543BB5">
            <w:pPr>
              <w:keepLines w:val="0"/>
              <w:pageBreakBefore w:val="0"/>
              <w:widowControl w:val="0"/>
              <w:tabs>
                <w:tab w:val="left" w:pos="492"/>
              </w:tabs>
              <w:kinsoku/>
              <w:overflowPunct/>
              <w:topLinePunct w:val="0"/>
              <w:bidi w:val="0"/>
              <w:spacing w:line="400" w:lineRule="exact"/>
              <w:jc w:val="center"/>
              <w:rPr>
                <w:rFonts w:hint="eastAsia" w:asciiTheme="majorEastAsia" w:hAnsiTheme="majorEastAsia" w:eastAsiaTheme="majorEastAsia" w:cstheme="majorEastAsia"/>
                <w:color w:val="auto"/>
                <w:highlight w:val="none"/>
                <w:vertAlign w:val="baseline"/>
                <w:lang w:val="en-US" w:eastAsia="zh-CN"/>
              </w:rPr>
            </w:pPr>
            <w:r>
              <w:rPr>
                <w:rFonts w:hint="eastAsia" w:asciiTheme="majorEastAsia" w:hAnsiTheme="majorEastAsia" w:eastAsiaTheme="majorEastAsia" w:cstheme="majorEastAsia"/>
                <w:color w:val="auto"/>
                <w:sz w:val="21"/>
                <w:szCs w:val="21"/>
              </w:rPr>
              <w:t>项目人员的安排（4分）</w:t>
            </w:r>
          </w:p>
        </w:tc>
        <w:tc>
          <w:tcPr>
            <w:tcW w:w="1080" w:type="dxa"/>
            <w:noWrap w:val="0"/>
            <w:vAlign w:val="center"/>
          </w:tcPr>
          <w:p w14:paraId="0471069A">
            <w:pPr>
              <w:keepLines w:val="0"/>
              <w:pageBreakBefore w:val="0"/>
              <w:widowControl w:val="0"/>
              <w:kinsoku/>
              <w:overflowPunct/>
              <w:topLinePunct w:val="0"/>
              <w:bidi w:val="0"/>
              <w:spacing w:line="400" w:lineRule="exact"/>
              <w:jc w:val="center"/>
              <w:rPr>
                <w:rFonts w:hint="eastAsia" w:asciiTheme="majorEastAsia" w:hAnsiTheme="majorEastAsia" w:eastAsiaTheme="majorEastAsia" w:cstheme="majorEastAsia"/>
                <w:color w:val="auto"/>
                <w:highlight w:val="none"/>
                <w:vertAlign w:val="baseline"/>
                <w:lang w:val="en-US" w:eastAsia="zh-CN"/>
              </w:rPr>
            </w:pPr>
            <w:r>
              <w:rPr>
                <w:rFonts w:hint="eastAsia" w:asciiTheme="majorEastAsia" w:hAnsiTheme="majorEastAsia" w:eastAsiaTheme="majorEastAsia" w:cstheme="majorEastAsia"/>
                <w:color w:val="auto"/>
                <w:highlight w:val="none"/>
                <w:vertAlign w:val="baseline"/>
                <w:lang w:val="en-US" w:eastAsia="zh-CN"/>
              </w:rPr>
              <w:t>0-4分</w:t>
            </w:r>
          </w:p>
        </w:tc>
        <w:tc>
          <w:tcPr>
            <w:tcW w:w="4989" w:type="dxa"/>
            <w:noWrap w:val="0"/>
            <w:vAlign w:val="center"/>
          </w:tcPr>
          <w:p w14:paraId="47CE9808">
            <w:pPr>
              <w:pageBreakBefore w:val="0"/>
              <w:kinsoku/>
              <w:overflowPunct w:val="0"/>
              <w:topLinePunct w:val="0"/>
              <w:bidi w:val="0"/>
              <w:spacing w:line="400" w:lineRule="exact"/>
              <w:rPr>
                <w:rFonts w:hint="eastAsia" w:asciiTheme="majorEastAsia" w:hAnsiTheme="majorEastAsia" w:eastAsiaTheme="majorEastAsia" w:cstheme="majorEastAsia"/>
                <w:color w:val="auto"/>
                <w:sz w:val="21"/>
                <w:szCs w:val="21"/>
                <w:lang w:eastAsia="zh-CN"/>
              </w:rPr>
            </w:pPr>
            <w:r>
              <w:rPr>
                <w:rFonts w:hint="eastAsia" w:asciiTheme="majorEastAsia" w:hAnsiTheme="majorEastAsia" w:eastAsiaTheme="majorEastAsia" w:cstheme="majorEastAsia"/>
                <w:color w:val="auto"/>
                <w:sz w:val="21"/>
                <w:szCs w:val="21"/>
              </w:rPr>
              <w:t>由评委根据投标供应商拟投入本项目人员情况进行评议</w:t>
            </w:r>
            <w:r>
              <w:rPr>
                <w:rFonts w:hint="eastAsia" w:asciiTheme="majorEastAsia" w:hAnsiTheme="majorEastAsia" w:eastAsiaTheme="majorEastAsia" w:cstheme="majorEastAsia"/>
                <w:color w:val="auto"/>
                <w:sz w:val="21"/>
                <w:szCs w:val="21"/>
                <w:lang w:eastAsia="zh-CN"/>
              </w:rPr>
              <w:t>。</w:t>
            </w:r>
          </w:p>
          <w:p w14:paraId="30FB25A6">
            <w:pPr>
              <w:keepLines w:val="0"/>
              <w:pageBreakBefore w:val="0"/>
              <w:widowControl w:val="0"/>
              <w:kinsoku/>
              <w:overflowPunct/>
              <w:topLinePunct w:val="0"/>
              <w:bidi w:val="0"/>
              <w:spacing w:line="400" w:lineRule="exact"/>
              <w:jc w:val="both"/>
              <w:rPr>
                <w:rFonts w:hint="eastAsia" w:asciiTheme="majorEastAsia" w:hAnsiTheme="majorEastAsia" w:eastAsiaTheme="majorEastAsia" w:cstheme="majorEastAsia"/>
                <w:color w:val="auto"/>
                <w:highlight w:val="none"/>
                <w:vertAlign w:val="baseline"/>
                <w:lang w:val="en-US" w:eastAsia="zh-CN"/>
              </w:rPr>
            </w:pPr>
            <w:r>
              <w:rPr>
                <w:rFonts w:hint="eastAsia" w:asciiTheme="majorEastAsia" w:hAnsiTheme="majorEastAsia" w:eastAsiaTheme="majorEastAsia" w:cstheme="majorEastAsia"/>
                <w:color w:val="auto"/>
                <w:sz w:val="21"/>
                <w:szCs w:val="21"/>
              </w:rPr>
              <w:t>优：3-4分； 良：1-3分；  一般：0-1分。</w:t>
            </w:r>
          </w:p>
        </w:tc>
      </w:tr>
      <w:tr w14:paraId="0461F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trPr>
        <w:tc>
          <w:tcPr>
            <w:tcW w:w="687" w:type="dxa"/>
            <w:vMerge w:val="continue"/>
            <w:noWrap w:val="0"/>
            <w:vAlign w:val="center"/>
          </w:tcPr>
          <w:p w14:paraId="72F5DEF6">
            <w:pPr>
              <w:keepLines w:val="0"/>
              <w:pageBreakBefore w:val="0"/>
              <w:widowControl w:val="0"/>
              <w:kinsoku/>
              <w:overflowPunct/>
              <w:topLinePunct w:val="0"/>
              <w:bidi w:val="0"/>
              <w:spacing w:line="400" w:lineRule="exact"/>
              <w:jc w:val="center"/>
              <w:rPr>
                <w:rFonts w:hint="eastAsia" w:asciiTheme="majorEastAsia" w:hAnsiTheme="majorEastAsia" w:eastAsiaTheme="majorEastAsia" w:cstheme="majorEastAsia"/>
                <w:highlight w:val="none"/>
                <w:vertAlign w:val="baseline"/>
              </w:rPr>
            </w:pPr>
          </w:p>
        </w:tc>
        <w:tc>
          <w:tcPr>
            <w:tcW w:w="1730" w:type="dxa"/>
            <w:vMerge w:val="continue"/>
            <w:noWrap w:val="0"/>
            <w:vAlign w:val="center"/>
          </w:tcPr>
          <w:p w14:paraId="20E496B8">
            <w:pPr>
              <w:keepLines w:val="0"/>
              <w:pageBreakBefore w:val="0"/>
              <w:widowControl w:val="0"/>
              <w:kinsoku/>
              <w:overflowPunct/>
              <w:topLinePunct w:val="0"/>
              <w:bidi w:val="0"/>
              <w:spacing w:line="400" w:lineRule="exact"/>
              <w:jc w:val="center"/>
              <w:rPr>
                <w:rFonts w:hint="eastAsia" w:asciiTheme="majorEastAsia" w:hAnsiTheme="majorEastAsia" w:eastAsiaTheme="majorEastAsia" w:cstheme="majorEastAsia"/>
                <w:color w:val="auto"/>
                <w:highlight w:val="none"/>
                <w:vertAlign w:val="baseline"/>
              </w:rPr>
            </w:pPr>
          </w:p>
        </w:tc>
        <w:tc>
          <w:tcPr>
            <w:tcW w:w="1239" w:type="dxa"/>
            <w:noWrap w:val="0"/>
            <w:vAlign w:val="center"/>
          </w:tcPr>
          <w:p w14:paraId="32AB6148">
            <w:pPr>
              <w:keepLines w:val="0"/>
              <w:pageBreakBefore w:val="0"/>
              <w:widowControl w:val="0"/>
              <w:kinsoku/>
              <w:overflowPunct/>
              <w:topLinePunct w:val="0"/>
              <w:bidi w:val="0"/>
              <w:spacing w:line="400" w:lineRule="exact"/>
              <w:jc w:val="center"/>
              <w:rPr>
                <w:rFonts w:hint="eastAsia" w:asciiTheme="majorEastAsia" w:hAnsiTheme="majorEastAsia" w:eastAsiaTheme="majorEastAsia" w:cstheme="majorEastAsia"/>
                <w:color w:val="auto"/>
                <w:highlight w:val="none"/>
                <w:vertAlign w:val="baseline"/>
                <w:lang w:eastAsia="zh-CN"/>
              </w:rPr>
            </w:pPr>
            <w:r>
              <w:rPr>
                <w:rFonts w:hint="eastAsia" w:asciiTheme="majorEastAsia" w:hAnsiTheme="majorEastAsia" w:eastAsiaTheme="majorEastAsia" w:cstheme="majorEastAsia"/>
                <w:color w:val="auto"/>
                <w:sz w:val="21"/>
                <w:szCs w:val="21"/>
              </w:rPr>
              <w:t>维护和保养方案</w:t>
            </w:r>
          </w:p>
        </w:tc>
        <w:tc>
          <w:tcPr>
            <w:tcW w:w="1080" w:type="dxa"/>
            <w:noWrap w:val="0"/>
            <w:vAlign w:val="center"/>
          </w:tcPr>
          <w:p w14:paraId="18E54FEC">
            <w:pPr>
              <w:keepLines w:val="0"/>
              <w:pageBreakBefore w:val="0"/>
              <w:widowControl w:val="0"/>
              <w:kinsoku/>
              <w:overflowPunct/>
              <w:topLinePunct w:val="0"/>
              <w:bidi w:val="0"/>
              <w:spacing w:line="400" w:lineRule="exact"/>
              <w:jc w:val="center"/>
              <w:rPr>
                <w:rFonts w:hint="eastAsia" w:asciiTheme="majorEastAsia" w:hAnsiTheme="majorEastAsia" w:eastAsiaTheme="majorEastAsia" w:cstheme="majorEastAsia"/>
                <w:color w:val="auto"/>
                <w:highlight w:val="none"/>
                <w:vertAlign w:val="baseline"/>
                <w:lang w:val="en-US" w:eastAsia="zh-CN"/>
              </w:rPr>
            </w:pPr>
            <w:r>
              <w:rPr>
                <w:rFonts w:hint="eastAsia" w:asciiTheme="majorEastAsia" w:hAnsiTheme="majorEastAsia" w:eastAsiaTheme="majorEastAsia" w:cstheme="majorEastAsia"/>
                <w:color w:val="auto"/>
                <w:highlight w:val="none"/>
                <w:vertAlign w:val="baseline"/>
                <w:lang w:val="en-US" w:eastAsia="zh-CN"/>
              </w:rPr>
              <w:t>0-10分</w:t>
            </w:r>
          </w:p>
        </w:tc>
        <w:tc>
          <w:tcPr>
            <w:tcW w:w="4989" w:type="dxa"/>
            <w:noWrap w:val="0"/>
            <w:vAlign w:val="center"/>
          </w:tcPr>
          <w:p w14:paraId="162924C7">
            <w:pPr>
              <w:pageBreakBefore w:val="0"/>
              <w:kinsoku/>
              <w:overflowPunct w:val="0"/>
              <w:topLinePunct w:val="0"/>
              <w:bidi w:val="0"/>
              <w:spacing w:line="400" w:lineRule="exact"/>
              <w:rPr>
                <w:rFonts w:hint="eastAsia"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由评委根据投标供应商提供维护和保养方案进行评议</w:t>
            </w:r>
          </w:p>
          <w:p w14:paraId="61C6E112">
            <w:pPr>
              <w:keepLines w:val="0"/>
              <w:pageBreakBefore w:val="0"/>
              <w:widowControl w:val="0"/>
              <w:kinsoku/>
              <w:overflowPunct/>
              <w:topLinePunct w:val="0"/>
              <w:bidi w:val="0"/>
              <w:spacing w:line="400" w:lineRule="exact"/>
              <w:jc w:val="both"/>
              <w:rPr>
                <w:rFonts w:hint="eastAsia" w:asciiTheme="majorEastAsia" w:hAnsiTheme="majorEastAsia" w:eastAsiaTheme="majorEastAsia" w:cstheme="majorEastAsia"/>
                <w:color w:val="auto"/>
                <w:highlight w:val="none"/>
                <w:vertAlign w:val="baseline"/>
                <w:lang w:val="en-US" w:eastAsia="zh-CN"/>
              </w:rPr>
            </w:pPr>
            <w:r>
              <w:rPr>
                <w:rFonts w:hint="eastAsia" w:asciiTheme="majorEastAsia" w:hAnsiTheme="majorEastAsia" w:eastAsiaTheme="majorEastAsia" w:cstheme="majorEastAsia"/>
                <w:color w:val="auto"/>
                <w:sz w:val="21"/>
                <w:szCs w:val="21"/>
              </w:rPr>
              <w:t>优：7-10分； 良：4-7分； 一般：0-4分。</w:t>
            </w:r>
          </w:p>
        </w:tc>
      </w:tr>
      <w:tr w14:paraId="4C68D8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trPr>
        <w:tc>
          <w:tcPr>
            <w:tcW w:w="687" w:type="dxa"/>
            <w:vMerge w:val="continue"/>
            <w:noWrap w:val="0"/>
            <w:vAlign w:val="center"/>
          </w:tcPr>
          <w:p w14:paraId="3088DCB8">
            <w:pPr>
              <w:keepLines w:val="0"/>
              <w:pageBreakBefore w:val="0"/>
              <w:widowControl w:val="0"/>
              <w:kinsoku/>
              <w:overflowPunct/>
              <w:topLinePunct w:val="0"/>
              <w:bidi w:val="0"/>
              <w:spacing w:line="400" w:lineRule="exact"/>
              <w:jc w:val="center"/>
              <w:rPr>
                <w:rFonts w:hint="eastAsia" w:asciiTheme="majorEastAsia" w:hAnsiTheme="majorEastAsia" w:eastAsiaTheme="majorEastAsia" w:cstheme="majorEastAsia"/>
                <w:highlight w:val="none"/>
                <w:vertAlign w:val="baseline"/>
              </w:rPr>
            </w:pPr>
          </w:p>
        </w:tc>
        <w:tc>
          <w:tcPr>
            <w:tcW w:w="1730" w:type="dxa"/>
            <w:vMerge w:val="continue"/>
            <w:noWrap w:val="0"/>
            <w:vAlign w:val="center"/>
          </w:tcPr>
          <w:p w14:paraId="610BE04C">
            <w:pPr>
              <w:keepLines w:val="0"/>
              <w:pageBreakBefore w:val="0"/>
              <w:widowControl w:val="0"/>
              <w:kinsoku/>
              <w:overflowPunct/>
              <w:topLinePunct w:val="0"/>
              <w:bidi w:val="0"/>
              <w:spacing w:line="400" w:lineRule="exact"/>
              <w:jc w:val="center"/>
              <w:rPr>
                <w:rFonts w:hint="eastAsia" w:asciiTheme="majorEastAsia" w:hAnsiTheme="majorEastAsia" w:eastAsiaTheme="majorEastAsia" w:cstheme="majorEastAsia"/>
                <w:color w:val="auto"/>
                <w:highlight w:val="none"/>
                <w:vertAlign w:val="baseline"/>
              </w:rPr>
            </w:pPr>
          </w:p>
        </w:tc>
        <w:tc>
          <w:tcPr>
            <w:tcW w:w="1239" w:type="dxa"/>
            <w:noWrap w:val="0"/>
            <w:vAlign w:val="center"/>
          </w:tcPr>
          <w:p w14:paraId="764B1771">
            <w:pPr>
              <w:keepLines w:val="0"/>
              <w:pageBreakBefore w:val="0"/>
              <w:widowControl w:val="0"/>
              <w:kinsoku/>
              <w:overflowPunct/>
              <w:topLinePunct w:val="0"/>
              <w:bidi w:val="0"/>
              <w:spacing w:line="400" w:lineRule="exact"/>
              <w:jc w:val="center"/>
              <w:rPr>
                <w:rFonts w:hint="eastAsia"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应急方案（5分）</w:t>
            </w:r>
          </w:p>
        </w:tc>
        <w:tc>
          <w:tcPr>
            <w:tcW w:w="1080" w:type="dxa"/>
            <w:noWrap w:val="0"/>
            <w:vAlign w:val="center"/>
          </w:tcPr>
          <w:p w14:paraId="3AFD6B3C">
            <w:pPr>
              <w:keepLines w:val="0"/>
              <w:pageBreakBefore w:val="0"/>
              <w:widowControl w:val="0"/>
              <w:kinsoku/>
              <w:overflowPunct/>
              <w:topLinePunct w:val="0"/>
              <w:bidi w:val="0"/>
              <w:spacing w:line="400" w:lineRule="exact"/>
              <w:jc w:val="center"/>
              <w:rPr>
                <w:rFonts w:hint="eastAsia" w:asciiTheme="majorEastAsia" w:hAnsiTheme="majorEastAsia" w:eastAsiaTheme="majorEastAsia" w:cstheme="majorEastAsia"/>
                <w:color w:val="auto"/>
                <w:highlight w:val="none"/>
                <w:vertAlign w:val="baseline"/>
                <w:lang w:val="en-US" w:eastAsia="zh-CN"/>
              </w:rPr>
            </w:pPr>
            <w:r>
              <w:rPr>
                <w:rFonts w:hint="eastAsia" w:asciiTheme="majorEastAsia" w:hAnsiTheme="majorEastAsia" w:eastAsiaTheme="majorEastAsia" w:cstheme="majorEastAsia"/>
                <w:color w:val="auto"/>
                <w:highlight w:val="none"/>
                <w:vertAlign w:val="baseline"/>
                <w:lang w:val="en-US" w:eastAsia="zh-CN"/>
              </w:rPr>
              <w:t>0-5分</w:t>
            </w:r>
          </w:p>
        </w:tc>
        <w:tc>
          <w:tcPr>
            <w:tcW w:w="4989" w:type="dxa"/>
            <w:noWrap w:val="0"/>
            <w:vAlign w:val="center"/>
          </w:tcPr>
          <w:p w14:paraId="08E98FA0">
            <w:pPr>
              <w:pageBreakBefore w:val="0"/>
              <w:kinsoku/>
              <w:overflowPunct w:val="0"/>
              <w:topLinePunct w:val="0"/>
              <w:bidi w:val="0"/>
              <w:spacing w:line="400" w:lineRule="exact"/>
              <w:ind w:right="25" w:rightChars="12"/>
              <w:rPr>
                <w:rFonts w:hint="eastAsia"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由评委根据投标供应商提供突发事故应急处理方案进行评议</w:t>
            </w:r>
          </w:p>
          <w:p w14:paraId="3B7B2182">
            <w:pPr>
              <w:keepLines w:val="0"/>
              <w:pageBreakBefore w:val="0"/>
              <w:widowControl w:val="0"/>
              <w:kinsoku/>
              <w:overflowPunct/>
              <w:topLinePunct w:val="0"/>
              <w:bidi w:val="0"/>
              <w:spacing w:line="400" w:lineRule="exact"/>
              <w:jc w:val="both"/>
              <w:rPr>
                <w:rFonts w:hint="eastAsia"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优：4-5分； 良：2-4分； 一般：0-2分。</w:t>
            </w:r>
          </w:p>
        </w:tc>
      </w:tr>
      <w:tr w14:paraId="71E05B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trPr>
        <w:tc>
          <w:tcPr>
            <w:tcW w:w="687" w:type="dxa"/>
            <w:vMerge w:val="continue"/>
            <w:noWrap w:val="0"/>
            <w:vAlign w:val="center"/>
          </w:tcPr>
          <w:p w14:paraId="25977130">
            <w:pPr>
              <w:keepLines w:val="0"/>
              <w:pageBreakBefore w:val="0"/>
              <w:widowControl w:val="0"/>
              <w:kinsoku/>
              <w:overflowPunct/>
              <w:topLinePunct w:val="0"/>
              <w:bidi w:val="0"/>
              <w:spacing w:line="400" w:lineRule="exact"/>
              <w:jc w:val="center"/>
              <w:rPr>
                <w:rFonts w:hint="eastAsia" w:asciiTheme="majorEastAsia" w:hAnsiTheme="majorEastAsia" w:eastAsiaTheme="majorEastAsia" w:cstheme="majorEastAsia"/>
                <w:highlight w:val="none"/>
                <w:vertAlign w:val="baseline"/>
              </w:rPr>
            </w:pPr>
          </w:p>
        </w:tc>
        <w:tc>
          <w:tcPr>
            <w:tcW w:w="1730" w:type="dxa"/>
            <w:vMerge w:val="continue"/>
            <w:noWrap w:val="0"/>
            <w:vAlign w:val="center"/>
          </w:tcPr>
          <w:p w14:paraId="2C59A8AF">
            <w:pPr>
              <w:keepLines w:val="0"/>
              <w:pageBreakBefore w:val="0"/>
              <w:widowControl w:val="0"/>
              <w:kinsoku/>
              <w:overflowPunct/>
              <w:topLinePunct w:val="0"/>
              <w:bidi w:val="0"/>
              <w:spacing w:line="400" w:lineRule="exact"/>
              <w:jc w:val="center"/>
              <w:rPr>
                <w:rFonts w:hint="eastAsia" w:asciiTheme="majorEastAsia" w:hAnsiTheme="majorEastAsia" w:eastAsiaTheme="majorEastAsia" w:cstheme="majorEastAsia"/>
                <w:color w:val="auto"/>
                <w:highlight w:val="none"/>
                <w:vertAlign w:val="baseline"/>
              </w:rPr>
            </w:pPr>
          </w:p>
        </w:tc>
        <w:tc>
          <w:tcPr>
            <w:tcW w:w="1239" w:type="dxa"/>
            <w:noWrap w:val="0"/>
            <w:vAlign w:val="center"/>
          </w:tcPr>
          <w:p w14:paraId="28865088">
            <w:pPr>
              <w:keepLines w:val="0"/>
              <w:pageBreakBefore w:val="0"/>
              <w:widowControl w:val="0"/>
              <w:kinsoku/>
              <w:overflowPunct/>
              <w:topLinePunct w:val="0"/>
              <w:bidi w:val="0"/>
              <w:spacing w:line="400" w:lineRule="exact"/>
              <w:jc w:val="center"/>
              <w:rPr>
                <w:rFonts w:hint="eastAsia" w:asciiTheme="majorEastAsia" w:hAnsiTheme="majorEastAsia" w:eastAsiaTheme="majorEastAsia" w:cstheme="majorEastAsia"/>
                <w:color w:val="auto"/>
                <w:highlight w:val="none"/>
                <w:vertAlign w:val="baseline"/>
              </w:rPr>
            </w:pPr>
            <w:r>
              <w:rPr>
                <w:rFonts w:hint="eastAsia" w:asciiTheme="majorEastAsia" w:hAnsiTheme="majorEastAsia" w:eastAsiaTheme="majorEastAsia" w:cstheme="majorEastAsia"/>
                <w:color w:val="auto"/>
                <w:sz w:val="21"/>
                <w:szCs w:val="21"/>
              </w:rPr>
              <w:t>标书制作质量情况（</w:t>
            </w:r>
            <w:r>
              <w:rPr>
                <w:rFonts w:hint="eastAsia" w:asciiTheme="majorEastAsia" w:hAnsiTheme="majorEastAsia" w:eastAsiaTheme="majorEastAsia" w:cstheme="majorEastAsia"/>
                <w:color w:val="auto"/>
                <w:sz w:val="21"/>
                <w:szCs w:val="21"/>
                <w:lang w:val="en-US" w:eastAsia="zh-CN"/>
              </w:rPr>
              <w:t>3</w:t>
            </w:r>
            <w:r>
              <w:rPr>
                <w:rFonts w:hint="eastAsia" w:asciiTheme="majorEastAsia" w:hAnsiTheme="majorEastAsia" w:eastAsiaTheme="majorEastAsia" w:cstheme="majorEastAsia"/>
                <w:color w:val="auto"/>
                <w:sz w:val="21"/>
                <w:szCs w:val="21"/>
              </w:rPr>
              <w:t>分）</w:t>
            </w:r>
          </w:p>
        </w:tc>
        <w:tc>
          <w:tcPr>
            <w:tcW w:w="1080" w:type="dxa"/>
            <w:noWrap w:val="0"/>
            <w:vAlign w:val="center"/>
          </w:tcPr>
          <w:p w14:paraId="1A7473E2">
            <w:pPr>
              <w:keepLines w:val="0"/>
              <w:pageBreakBefore w:val="0"/>
              <w:widowControl w:val="0"/>
              <w:kinsoku/>
              <w:overflowPunct/>
              <w:topLinePunct w:val="0"/>
              <w:bidi w:val="0"/>
              <w:spacing w:line="400" w:lineRule="exact"/>
              <w:jc w:val="center"/>
              <w:rPr>
                <w:rFonts w:hint="eastAsia" w:asciiTheme="majorEastAsia" w:hAnsiTheme="majorEastAsia" w:eastAsiaTheme="majorEastAsia" w:cstheme="majorEastAsia"/>
                <w:color w:val="auto"/>
                <w:highlight w:val="none"/>
                <w:vertAlign w:val="baseline"/>
                <w:lang w:val="en-US" w:eastAsia="zh-CN"/>
              </w:rPr>
            </w:pPr>
            <w:r>
              <w:rPr>
                <w:rFonts w:hint="eastAsia" w:asciiTheme="majorEastAsia" w:hAnsiTheme="majorEastAsia" w:eastAsiaTheme="majorEastAsia" w:cstheme="majorEastAsia"/>
                <w:color w:val="auto"/>
                <w:highlight w:val="none"/>
                <w:vertAlign w:val="baseline"/>
                <w:lang w:val="en-US" w:eastAsia="zh-CN"/>
              </w:rPr>
              <w:t>0-3分</w:t>
            </w:r>
          </w:p>
        </w:tc>
        <w:tc>
          <w:tcPr>
            <w:tcW w:w="4989" w:type="dxa"/>
            <w:noWrap w:val="0"/>
            <w:vAlign w:val="center"/>
          </w:tcPr>
          <w:p w14:paraId="64470CCF">
            <w:pPr>
              <w:keepLines w:val="0"/>
              <w:pageBreakBefore w:val="0"/>
              <w:widowControl w:val="0"/>
              <w:kinsoku/>
              <w:overflowPunct/>
              <w:topLinePunct w:val="0"/>
              <w:bidi w:val="0"/>
              <w:spacing w:line="400" w:lineRule="exact"/>
              <w:jc w:val="both"/>
              <w:rPr>
                <w:rFonts w:hint="eastAsia" w:asciiTheme="majorEastAsia" w:hAnsiTheme="majorEastAsia" w:eastAsiaTheme="majorEastAsia" w:cstheme="majorEastAsia"/>
                <w:color w:val="auto"/>
                <w:highlight w:val="none"/>
                <w:vertAlign w:val="baseline"/>
                <w:lang w:val="en-US" w:eastAsia="zh-CN"/>
              </w:rPr>
            </w:pPr>
            <w:r>
              <w:rPr>
                <w:rFonts w:hint="eastAsia" w:asciiTheme="majorEastAsia" w:hAnsiTheme="majorEastAsia" w:eastAsiaTheme="majorEastAsia" w:cstheme="majorEastAsia"/>
                <w:color w:val="auto"/>
                <w:sz w:val="21"/>
                <w:szCs w:val="21"/>
              </w:rPr>
              <w:t>优：2-3分  良：1-2分  一般：0-1分</w:t>
            </w:r>
          </w:p>
        </w:tc>
      </w:tr>
      <w:tr w14:paraId="53EE26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7" w:hRule="atLeast"/>
        </w:trPr>
        <w:tc>
          <w:tcPr>
            <w:tcW w:w="687" w:type="dxa"/>
            <w:noWrap w:val="0"/>
            <w:vAlign w:val="center"/>
          </w:tcPr>
          <w:p w14:paraId="742806C4">
            <w:pPr>
              <w:keepLines w:val="0"/>
              <w:pageBreakBefore w:val="0"/>
              <w:widowControl w:val="0"/>
              <w:kinsoku/>
              <w:overflowPunct/>
              <w:topLinePunct w:val="0"/>
              <w:bidi w:val="0"/>
              <w:spacing w:line="400" w:lineRule="exact"/>
              <w:jc w:val="center"/>
              <w:rPr>
                <w:rFonts w:hint="eastAsia" w:asciiTheme="majorEastAsia" w:hAnsiTheme="majorEastAsia" w:eastAsiaTheme="majorEastAsia" w:cstheme="majorEastAsia"/>
                <w:highlight w:val="none"/>
                <w:vertAlign w:val="baseline"/>
                <w:lang w:val="en-US" w:eastAsia="zh-CN"/>
              </w:rPr>
            </w:pPr>
            <w:r>
              <w:rPr>
                <w:rFonts w:hint="eastAsia" w:asciiTheme="majorEastAsia" w:hAnsiTheme="majorEastAsia" w:eastAsiaTheme="majorEastAsia" w:cstheme="majorEastAsia"/>
                <w:highlight w:val="none"/>
                <w:vertAlign w:val="baseline"/>
                <w:lang w:val="en-US" w:eastAsia="zh-CN"/>
              </w:rPr>
              <w:t>3</w:t>
            </w:r>
          </w:p>
        </w:tc>
        <w:tc>
          <w:tcPr>
            <w:tcW w:w="2969" w:type="dxa"/>
            <w:gridSpan w:val="2"/>
            <w:noWrap w:val="0"/>
            <w:vAlign w:val="center"/>
          </w:tcPr>
          <w:p w14:paraId="356D1BCC">
            <w:pPr>
              <w:keepLines w:val="0"/>
              <w:pageBreakBefore w:val="0"/>
              <w:widowControl w:val="0"/>
              <w:kinsoku/>
              <w:overflowPunct/>
              <w:topLinePunct w:val="0"/>
              <w:bidi w:val="0"/>
              <w:spacing w:line="400" w:lineRule="exact"/>
              <w:jc w:val="center"/>
              <w:rPr>
                <w:rFonts w:hint="eastAsia" w:asciiTheme="majorEastAsia" w:hAnsiTheme="majorEastAsia" w:eastAsiaTheme="majorEastAsia" w:cstheme="majorEastAsia"/>
                <w:color w:val="auto"/>
                <w:highlight w:val="none"/>
                <w:vertAlign w:val="baseline"/>
                <w:lang w:val="en-US" w:eastAsia="zh-CN"/>
              </w:rPr>
            </w:pPr>
            <w:r>
              <w:rPr>
                <w:rFonts w:hint="eastAsia" w:asciiTheme="majorEastAsia" w:hAnsiTheme="majorEastAsia" w:eastAsiaTheme="majorEastAsia" w:cstheme="majorEastAsia"/>
                <w:color w:val="auto"/>
                <w:sz w:val="21"/>
                <w:szCs w:val="21"/>
              </w:rPr>
              <w:t>业绩得分（</w:t>
            </w:r>
            <w:r>
              <w:rPr>
                <w:rFonts w:hint="eastAsia" w:asciiTheme="majorEastAsia" w:hAnsiTheme="majorEastAsia" w:eastAsiaTheme="majorEastAsia" w:cstheme="majorEastAsia"/>
                <w:color w:val="auto"/>
                <w:sz w:val="21"/>
                <w:szCs w:val="21"/>
                <w:lang w:val="en-US" w:eastAsia="zh-CN"/>
              </w:rPr>
              <w:t>3</w:t>
            </w:r>
            <w:r>
              <w:rPr>
                <w:rFonts w:hint="eastAsia" w:asciiTheme="majorEastAsia" w:hAnsiTheme="majorEastAsia" w:eastAsiaTheme="majorEastAsia" w:cstheme="majorEastAsia"/>
                <w:color w:val="auto"/>
                <w:sz w:val="21"/>
                <w:szCs w:val="21"/>
              </w:rPr>
              <w:t>分）</w:t>
            </w:r>
          </w:p>
        </w:tc>
        <w:tc>
          <w:tcPr>
            <w:tcW w:w="1080" w:type="dxa"/>
            <w:noWrap w:val="0"/>
            <w:vAlign w:val="center"/>
          </w:tcPr>
          <w:p w14:paraId="57F1A7EC">
            <w:pPr>
              <w:keepLines w:val="0"/>
              <w:pageBreakBefore w:val="0"/>
              <w:widowControl w:val="0"/>
              <w:kinsoku/>
              <w:overflowPunct/>
              <w:topLinePunct w:val="0"/>
              <w:bidi w:val="0"/>
              <w:spacing w:line="400" w:lineRule="exact"/>
              <w:jc w:val="center"/>
              <w:rPr>
                <w:rFonts w:hint="eastAsia" w:asciiTheme="majorEastAsia" w:hAnsiTheme="majorEastAsia" w:eastAsiaTheme="majorEastAsia" w:cstheme="majorEastAsia"/>
                <w:color w:val="auto"/>
                <w:highlight w:val="none"/>
                <w:vertAlign w:val="baseline"/>
                <w:lang w:val="en-US" w:eastAsia="zh-CN"/>
              </w:rPr>
            </w:pPr>
            <w:r>
              <w:rPr>
                <w:rFonts w:hint="eastAsia" w:asciiTheme="majorEastAsia" w:hAnsiTheme="majorEastAsia" w:eastAsiaTheme="majorEastAsia" w:cstheme="majorEastAsia"/>
                <w:color w:val="auto"/>
                <w:highlight w:val="none"/>
                <w:vertAlign w:val="baseline"/>
                <w:lang w:val="en-US" w:eastAsia="zh-CN"/>
              </w:rPr>
              <w:t>0-3分</w:t>
            </w:r>
          </w:p>
        </w:tc>
        <w:tc>
          <w:tcPr>
            <w:tcW w:w="4989" w:type="dxa"/>
            <w:noWrap w:val="0"/>
            <w:vAlign w:val="center"/>
          </w:tcPr>
          <w:p w14:paraId="452FC0CF">
            <w:pPr>
              <w:keepLines w:val="0"/>
              <w:pageBreakBefore w:val="0"/>
              <w:widowControl w:val="0"/>
              <w:kinsoku/>
              <w:overflowPunct/>
              <w:topLinePunct w:val="0"/>
              <w:bidi w:val="0"/>
              <w:spacing w:line="400" w:lineRule="exact"/>
              <w:jc w:val="both"/>
              <w:rPr>
                <w:rFonts w:hint="eastAsia" w:asciiTheme="majorEastAsia" w:hAnsiTheme="majorEastAsia" w:eastAsiaTheme="majorEastAsia" w:cstheme="majorEastAsia"/>
                <w:color w:val="auto"/>
                <w:highlight w:val="none"/>
                <w:vertAlign w:val="baseline"/>
                <w:lang w:val="en-US" w:eastAsia="zh-CN"/>
              </w:rPr>
            </w:pPr>
            <w:r>
              <w:rPr>
                <w:rFonts w:hint="eastAsia" w:asciiTheme="majorEastAsia" w:hAnsiTheme="majorEastAsia" w:eastAsiaTheme="majorEastAsia" w:cstheme="majorEastAsia"/>
                <w:color w:val="auto"/>
                <w:sz w:val="21"/>
                <w:szCs w:val="21"/>
              </w:rPr>
              <w:t>同类业绩（</w:t>
            </w:r>
            <w:r>
              <w:rPr>
                <w:rFonts w:hint="eastAsia" w:asciiTheme="majorEastAsia" w:hAnsiTheme="majorEastAsia" w:eastAsiaTheme="majorEastAsia" w:cstheme="majorEastAsia"/>
                <w:color w:val="auto"/>
                <w:sz w:val="21"/>
                <w:szCs w:val="21"/>
                <w:lang w:val="en-US" w:eastAsia="zh-CN"/>
              </w:rPr>
              <w:t>3</w:t>
            </w:r>
            <w:r>
              <w:rPr>
                <w:rFonts w:hint="eastAsia" w:asciiTheme="majorEastAsia" w:hAnsiTheme="majorEastAsia" w:eastAsiaTheme="majorEastAsia" w:cstheme="majorEastAsia"/>
                <w:color w:val="auto"/>
                <w:sz w:val="21"/>
                <w:szCs w:val="21"/>
              </w:rPr>
              <w:t>分）：投标供应商提供同类项目业绩的合同，每提供一份得</w:t>
            </w:r>
            <w:r>
              <w:rPr>
                <w:rFonts w:hint="eastAsia" w:asciiTheme="majorEastAsia" w:hAnsiTheme="majorEastAsia" w:eastAsiaTheme="majorEastAsia" w:cstheme="majorEastAsia"/>
                <w:color w:val="auto"/>
                <w:sz w:val="21"/>
                <w:szCs w:val="21"/>
                <w:lang w:val="en-US" w:eastAsia="zh-CN"/>
              </w:rPr>
              <w:t>1</w:t>
            </w:r>
            <w:r>
              <w:rPr>
                <w:rFonts w:hint="eastAsia" w:asciiTheme="majorEastAsia" w:hAnsiTheme="majorEastAsia" w:eastAsiaTheme="majorEastAsia" w:cstheme="majorEastAsia"/>
                <w:color w:val="auto"/>
                <w:sz w:val="21"/>
                <w:szCs w:val="21"/>
              </w:rPr>
              <w:t>分，最高得</w:t>
            </w:r>
            <w:r>
              <w:rPr>
                <w:rFonts w:hint="eastAsia" w:asciiTheme="majorEastAsia" w:hAnsiTheme="majorEastAsia" w:eastAsiaTheme="majorEastAsia" w:cstheme="majorEastAsia"/>
                <w:color w:val="auto"/>
                <w:sz w:val="21"/>
                <w:szCs w:val="21"/>
                <w:lang w:val="en-US" w:eastAsia="zh-CN"/>
              </w:rPr>
              <w:t>3</w:t>
            </w:r>
            <w:r>
              <w:rPr>
                <w:rFonts w:hint="eastAsia" w:asciiTheme="majorEastAsia" w:hAnsiTheme="majorEastAsia" w:eastAsiaTheme="majorEastAsia" w:cstheme="majorEastAsia"/>
                <w:color w:val="auto"/>
                <w:sz w:val="21"/>
                <w:szCs w:val="21"/>
              </w:rPr>
              <w:t>分。（备注：投标文件提供合同复印件并加盖公章，原件备查）</w:t>
            </w:r>
          </w:p>
        </w:tc>
      </w:tr>
      <w:tr w14:paraId="295DA7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7" w:hRule="atLeast"/>
        </w:trPr>
        <w:tc>
          <w:tcPr>
            <w:tcW w:w="687" w:type="dxa"/>
            <w:noWrap w:val="0"/>
            <w:vAlign w:val="center"/>
          </w:tcPr>
          <w:p w14:paraId="71115167">
            <w:pPr>
              <w:keepLines w:val="0"/>
              <w:pageBreakBefore w:val="0"/>
              <w:widowControl w:val="0"/>
              <w:kinsoku/>
              <w:overflowPunct/>
              <w:topLinePunct w:val="0"/>
              <w:bidi w:val="0"/>
              <w:spacing w:line="400" w:lineRule="exact"/>
              <w:jc w:val="center"/>
              <w:rPr>
                <w:rFonts w:hint="default" w:asciiTheme="majorEastAsia" w:hAnsiTheme="majorEastAsia" w:eastAsiaTheme="majorEastAsia" w:cstheme="majorEastAsia"/>
                <w:highlight w:val="none"/>
                <w:vertAlign w:val="baseline"/>
                <w:lang w:val="en-US" w:eastAsia="zh-CN"/>
              </w:rPr>
            </w:pPr>
            <w:r>
              <w:rPr>
                <w:rFonts w:hint="eastAsia" w:asciiTheme="majorEastAsia" w:hAnsiTheme="majorEastAsia" w:eastAsiaTheme="majorEastAsia" w:cstheme="majorEastAsia"/>
                <w:highlight w:val="none"/>
                <w:vertAlign w:val="baseline"/>
                <w:lang w:val="en-US" w:eastAsia="zh-CN"/>
              </w:rPr>
              <w:t>4</w:t>
            </w:r>
          </w:p>
        </w:tc>
        <w:tc>
          <w:tcPr>
            <w:tcW w:w="2969" w:type="dxa"/>
            <w:gridSpan w:val="2"/>
            <w:noWrap w:val="0"/>
            <w:vAlign w:val="center"/>
          </w:tcPr>
          <w:p w14:paraId="489C88FE">
            <w:pPr>
              <w:keepLines w:val="0"/>
              <w:pageBreakBefore w:val="0"/>
              <w:widowControl w:val="0"/>
              <w:kinsoku/>
              <w:overflowPunct/>
              <w:topLinePunct w:val="0"/>
              <w:bidi w:val="0"/>
              <w:spacing w:line="400" w:lineRule="exact"/>
              <w:jc w:val="center"/>
              <w:rPr>
                <w:rFonts w:hint="eastAsia" w:asciiTheme="majorEastAsia" w:hAnsiTheme="majorEastAsia" w:eastAsiaTheme="majorEastAsia" w:cstheme="majorEastAsia"/>
                <w:color w:val="auto"/>
                <w:sz w:val="21"/>
                <w:szCs w:val="21"/>
                <w:lang w:eastAsia="zh-CN"/>
              </w:rPr>
            </w:pPr>
            <w:r>
              <w:rPr>
                <w:rFonts w:hint="eastAsia" w:asciiTheme="majorEastAsia" w:hAnsiTheme="majorEastAsia" w:eastAsiaTheme="majorEastAsia" w:cstheme="majorEastAsia"/>
                <w:color w:val="auto"/>
                <w:sz w:val="21"/>
                <w:szCs w:val="21"/>
                <w:lang w:eastAsia="zh-CN"/>
              </w:rPr>
              <w:t>增值服务</w:t>
            </w:r>
            <w:r>
              <w:rPr>
                <w:rFonts w:hint="eastAsia" w:asciiTheme="majorEastAsia" w:hAnsiTheme="majorEastAsia" w:eastAsiaTheme="majorEastAsia" w:cstheme="majorEastAsia"/>
                <w:color w:val="auto"/>
                <w:sz w:val="21"/>
                <w:szCs w:val="21"/>
              </w:rPr>
              <w:t>（</w:t>
            </w:r>
            <w:r>
              <w:rPr>
                <w:rFonts w:hint="eastAsia" w:asciiTheme="majorEastAsia" w:hAnsiTheme="majorEastAsia" w:eastAsiaTheme="majorEastAsia" w:cstheme="majorEastAsia"/>
                <w:color w:val="auto"/>
                <w:sz w:val="21"/>
                <w:szCs w:val="21"/>
                <w:lang w:val="en-US" w:eastAsia="zh-CN"/>
              </w:rPr>
              <w:t>5</w:t>
            </w:r>
            <w:r>
              <w:rPr>
                <w:rFonts w:hint="eastAsia" w:asciiTheme="majorEastAsia" w:hAnsiTheme="majorEastAsia" w:eastAsiaTheme="majorEastAsia" w:cstheme="majorEastAsia"/>
                <w:color w:val="auto"/>
                <w:sz w:val="21"/>
                <w:szCs w:val="21"/>
              </w:rPr>
              <w:t>分）</w:t>
            </w:r>
          </w:p>
        </w:tc>
        <w:tc>
          <w:tcPr>
            <w:tcW w:w="1080" w:type="dxa"/>
            <w:noWrap w:val="0"/>
            <w:vAlign w:val="center"/>
          </w:tcPr>
          <w:p w14:paraId="62733C5E">
            <w:pPr>
              <w:keepLines w:val="0"/>
              <w:pageBreakBefore w:val="0"/>
              <w:widowControl w:val="0"/>
              <w:kinsoku/>
              <w:overflowPunct/>
              <w:topLinePunct w:val="0"/>
              <w:bidi w:val="0"/>
              <w:spacing w:line="400" w:lineRule="exact"/>
              <w:jc w:val="center"/>
              <w:rPr>
                <w:rFonts w:hint="default" w:asciiTheme="majorEastAsia" w:hAnsiTheme="majorEastAsia" w:eastAsiaTheme="majorEastAsia" w:cstheme="majorEastAsia"/>
                <w:color w:val="auto"/>
                <w:highlight w:val="none"/>
                <w:vertAlign w:val="baseline"/>
                <w:lang w:val="en-US" w:eastAsia="zh-CN"/>
              </w:rPr>
            </w:pPr>
            <w:r>
              <w:rPr>
                <w:rFonts w:hint="eastAsia" w:asciiTheme="majorEastAsia" w:hAnsiTheme="majorEastAsia" w:eastAsiaTheme="majorEastAsia" w:cstheme="majorEastAsia"/>
                <w:color w:val="auto"/>
                <w:highlight w:val="none"/>
                <w:vertAlign w:val="baseline"/>
                <w:lang w:val="en-US" w:eastAsia="zh-CN"/>
              </w:rPr>
              <w:t>0-5分</w:t>
            </w:r>
          </w:p>
        </w:tc>
        <w:tc>
          <w:tcPr>
            <w:tcW w:w="4989" w:type="dxa"/>
            <w:noWrap w:val="0"/>
            <w:vAlign w:val="center"/>
          </w:tcPr>
          <w:p w14:paraId="0E65AA50">
            <w:pPr>
              <w:keepLines w:val="0"/>
              <w:pageBreakBefore w:val="0"/>
              <w:widowControl w:val="0"/>
              <w:kinsoku/>
              <w:overflowPunct/>
              <w:topLinePunct w:val="0"/>
              <w:bidi w:val="0"/>
              <w:spacing w:line="400" w:lineRule="exact"/>
              <w:jc w:val="both"/>
              <w:rPr>
                <w:rFonts w:hint="eastAsia" w:asciiTheme="majorEastAsia" w:hAnsiTheme="majorEastAsia" w:eastAsiaTheme="majorEastAsia" w:cstheme="majorEastAsia"/>
                <w:color w:val="auto"/>
                <w:sz w:val="21"/>
                <w:szCs w:val="21"/>
                <w:lang w:eastAsia="zh-CN"/>
              </w:rPr>
            </w:pPr>
            <w:r>
              <w:rPr>
                <w:rFonts w:hint="eastAsia" w:asciiTheme="majorEastAsia" w:hAnsiTheme="majorEastAsia" w:eastAsiaTheme="majorEastAsia" w:cstheme="majorEastAsia"/>
                <w:color w:val="auto"/>
                <w:sz w:val="21"/>
                <w:szCs w:val="21"/>
                <w:lang w:eastAsia="zh-CN"/>
              </w:rPr>
              <w:t>评委根据供应商就本项目采购要求以外，提供的其他增值服务进行评议。</w:t>
            </w:r>
            <w:r>
              <w:rPr>
                <w:rFonts w:hint="eastAsia" w:asciiTheme="majorEastAsia" w:hAnsiTheme="majorEastAsia" w:eastAsiaTheme="majorEastAsia" w:cstheme="majorEastAsia"/>
                <w:color w:val="auto"/>
                <w:sz w:val="21"/>
                <w:szCs w:val="21"/>
              </w:rPr>
              <w:t>优：</w:t>
            </w:r>
            <w:r>
              <w:rPr>
                <w:rFonts w:hint="eastAsia" w:asciiTheme="majorEastAsia" w:hAnsiTheme="majorEastAsia" w:eastAsiaTheme="majorEastAsia" w:cstheme="majorEastAsia"/>
                <w:color w:val="auto"/>
                <w:sz w:val="21"/>
                <w:szCs w:val="21"/>
                <w:lang w:val="en-US" w:eastAsia="zh-CN"/>
              </w:rPr>
              <w:t>4</w:t>
            </w:r>
            <w:r>
              <w:rPr>
                <w:rFonts w:hint="eastAsia" w:asciiTheme="majorEastAsia" w:hAnsiTheme="majorEastAsia" w:eastAsiaTheme="majorEastAsia" w:cstheme="majorEastAsia"/>
                <w:color w:val="auto"/>
                <w:sz w:val="21"/>
                <w:szCs w:val="21"/>
              </w:rPr>
              <w:t>-</w:t>
            </w:r>
            <w:r>
              <w:rPr>
                <w:rFonts w:hint="eastAsia" w:asciiTheme="majorEastAsia" w:hAnsiTheme="majorEastAsia" w:eastAsiaTheme="majorEastAsia" w:cstheme="majorEastAsia"/>
                <w:color w:val="auto"/>
                <w:sz w:val="21"/>
                <w:szCs w:val="21"/>
                <w:lang w:val="en-US" w:eastAsia="zh-CN"/>
              </w:rPr>
              <w:t>5</w:t>
            </w:r>
            <w:r>
              <w:rPr>
                <w:rFonts w:hint="eastAsia" w:asciiTheme="majorEastAsia" w:hAnsiTheme="majorEastAsia" w:eastAsiaTheme="majorEastAsia" w:cstheme="majorEastAsia"/>
                <w:color w:val="auto"/>
                <w:sz w:val="21"/>
                <w:szCs w:val="21"/>
              </w:rPr>
              <w:t>分  良：</w:t>
            </w:r>
            <w:r>
              <w:rPr>
                <w:rFonts w:hint="eastAsia" w:asciiTheme="majorEastAsia" w:hAnsiTheme="majorEastAsia" w:eastAsiaTheme="majorEastAsia" w:cstheme="majorEastAsia"/>
                <w:color w:val="auto"/>
                <w:sz w:val="21"/>
                <w:szCs w:val="21"/>
                <w:lang w:val="en-US" w:eastAsia="zh-CN"/>
              </w:rPr>
              <w:t>2</w:t>
            </w:r>
            <w:r>
              <w:rPr>
                <w:rFonts w:hint="eastAsia" w:asciiTheme="majorEastAsia" w:hAnsiTheme="majorEastAsia" w:eastAsiaTheme="majorEastAsia" w:cstheme="majorEastAsia"/>
                <w:color w:val="auto"/>
                <w:sz w:val="21"/>
                <w:szCs w:val="21"/>
              </w:rPr>
              <w:t>-</w:t>
            </w:r>
            <w:r>
              <w:rPr>
                <w:rFonts w:hint="eastAsia" w:asciiTheme="majorEastAsia" w:hAnsiTheme="majorEastAsia" w:eastAsiaTheme="majorEastAsia" w:cstheme="majorEastAsia"/>
                <w:color w:val="auto"/>
                <w:sz w:val="21"/>
                <w:szCs w:val="21"/>
                <w:lang w:val="en-US" w:eastAsia="zh-CN"/>
              </w:rPr>
              <w:t>4</w:t>
            </w:r>
            <w:r>
              <w:rPr>
                <w:rFonts w:hint="eastAsia" w:asciiTheme="majorEastAsia" w:hAnsiTheme="majorEastAsia" w:eastAsiaTheme="majorEastAsia" w:cstheme="majorEastAsia"/>
                <w:color w:val="auto"/>
                <w:sz w:val="21"/>
                <w:szCs w:val="21"/>
              </w:rPr>
              <w:t>分  一般：0-</w:t>
            </w:r>
            <w:r>
              <w:rPr>
                <w:rFonts w:hint="eastAsia" w:asciiTheme="majorEastAsia" w:hAnsiTheme="majorEastAsia" w:eastAsiaTheme="majorEastAsia" w:cstheme="majorEastAsia"/>
                <w:color w:val="auto"/>
                <w:sz w:val="21"/>
                <w:szCs w:val="21"/>
                <w:lang w:val="en-US" w:eastAsia="zh-CN"/>
              </w:rPr>
              <w:t>2</w:t>
            </w:r>
            <w:r>
              <w:rPr>
                <w:rFonts w:hint="eastAsia" w:asciiTheme="majorEastAsia" w:hAnsiTheme="majorEastAsia" w:eastAsiaTheme="majorEastAsia" w:cstheme="majorEastAsia"/>
                <w:color w:val="auto"/>
                <w:sz w:val="21"/>
                <w:szCs w:val="21"/>
              </w:rPr>
              <w:t>分</w:t>
            </w:r>
          </w:p>
        </w:tc>
      </w:tr>
    </w:tbl>
    <w:p w14:paraId="3E7AF151">
      <w:pPr>
        <w:keepLines w:val="0"/>
        <w:pageBreakBefore w:val="0"/>
        <w:kinsoku/>
        <w:overflowPunct/>
        <w:topLinePunct w:val="0"/>
        <w:bidi w:val="0"/>
        <w:spacing w:line="400" w:lineRule="exact"/>
        <w:rPr>
          <w:rFonts w:asciiTheme="majorEastAsia" w:hAnsiTheme="majorEastAsia" w:eastAsiaTheme="majorEastAsia" w:cstheme="majorEastAsia"/>
          <w:sz w:val="24"/>
        </w:rPr>
      </w:pPr>
    </w:p>
    <w:p w14:paraId="7B541AE6">
      <w:pPr>
        <w:keepLines w:val="0"/>
        <w:pageBreakBefore w:val="0"/>
        <w:kinsoku/>
        <w:overflowPunct/>
        <w:topLinePunct w:val="0"/>
        <w:bidi w:val="0"/>
        <w:spacing w:line="400" w:lineRule="exact"/>
        <w:ind w:firstLine="590" w:firstLineChars="245"/>
        <w:rPr>
          <w:rFonts w:hint="eastAsia" w:asciiTheme="majorEastAsia" w:hAnsiTheme="majorEastAsia" w:eastAsiaTheme="majorEastAsia" w:cstheme="majorEastAsia"/>
          <w:sz w:val="24"/>
          <w:lang w:eastAsia="zh-CN"/>
        </w:rPr>
      </w:pPr>
      <w:r>
        <w:rPr>
          <w:rFonts w:hint="eastAsia" w:asciiTheme="majorEastAsia" w:hAnsiTheme="majorEastAsia" w:eastAsiaTheme="majorEastAsia" w:cstheme="majorEastAsia"/>
          <w:b/>
          <w:sz w:val="24"/>
        </w:rPr>
        <w:t>2、商务评分</w:t>
      </w:r>
      <w:r>
        <w:rPr>
          <w:rFonts w:hint="eastAsia" w:asciiTheme="majorEastAsia" w:hAnsiTheme="majorEastAsia" w:eastAsiaTheme="majorEastAsia" w:cstheme="majorEastAsia"/>
          <w:b/>
          <w:sz w:val="24"/>
          <w:lang w:val="en-US" w:eastAsia="zh-CN"/>
        </w:rPr>
        <w:t>1</w:t>
      </w:r>
      <w:r>
        <w:rPr>
          <w:rFonts w:hint="eastAsia" w:asciiTheme="majorEastAsia" w:hAnsiTheme="majorEastAsia" w:eastAsiaTheme="majorEastAsia" w:cstheme="majorEastAsia"/>
          <w:b/>
          <w:sz w:val="24"/>
        </w:rPr>
        <w:t>0分（权值</w:t>
      </w:r>
      <w:r>
        <w:rPr>
          <w:rFonts w:hint="eastAsia" w:asciiTheme="majorEastAsia" w:hAnsiTheme="majorEastAsia" w:eastAsiaTheme="majorEastAsia" w:cstheme="majorEastAsia"/>
          <w:b/>
          <w:sz w:val="24"/>
          <w:lang w:val="en-US" w:eastAsia="zh-CN"/>
        </w:rPr>
        <w:t>1</w:t>
      </w:r>
      <w:r>
        <w:rPr>
          <w:rFonts w:hint="eastAsia" w:asciiTheme="majorEastAsia" w:hAnsiTheme="majorEastAsia" w:eastAsiaTheme="majorEastAsia" w:cstheme="majorEastAsia"/>
          <w:b/>
          <w:sz w:val="24"/>
        </w:rPr>
        <w:t>0%）：</w:t>
      </w:r>
    </w:p>
    <w:p w14:paraId="1A4F80E5">
      <w:pPr>
        <w:keepLines w:val="0"/>
        <w:pageBreakBefore w:val="0"/>
        <w:kinsoku/>
        <w:overflowPunct/>
        <w:topLinePunct w:val="0"/>
        <w:bidi w:val="0"/>
        <w:spacing w:line="400" w:lineRule="exact"/>
        <w:ind w:firstLine="588" w:firstLineChars="245"/>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满足招标文件要求且投标报价面值最低的投标报价为评标基准价，其余投标人投标报价与该基准价对比，计算出商务报价评分值（保留小数2位）：</w:t>
      </w:r>
    </w:p>
    <w:p w14:paraId="3706DAD9">
      <w:pPr>
        <w:keepLines w:val="0"/>
        <w:pageBreakBefore w:val="0"/>
        <w:kinsoku/>
        <w:overflowPunct/>
        <w:topLinePunct w:val="0"/>
        <w:bidi w:val="0"/>
        <w:spacing w:line="400" w:lineRule="exact"/>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ab/>
      </w:r>
      <w:r>
        <w:rPr>
          <w:rFonts w:hint="eastAsia" w:asciiTheme="majorEastAsia" w:hAnsiTheme="majorEastAsia" w:eastAsiaTheme="majorEastAsia" w:cstheme="majorEastAsia"/>
          <w:sz w:val="24"/>
        </w:rPr>
        <w:t>（1）有效投标人的投标报价等于评标基准价时其报价分为满分</w:t>
      </w:r>
      <w:r>
        <w:rPr>
          <w:rFonts w:hint="eastAsia" w:asciiTheme="majorEastAsia" w:hAnsiTheme="majorEastAsia" w:eastAsiaTheme="majorEastAsia" w:cstheme="majorEastAsia"/>
          <w:sz w:val="24"/>
          <w:lang w:val="en-US" w:eastAsia="zh-CN"/>
        </w:rPr>
        <w:t>1</w:t>
      </w:r>
      <w:r>
        <w:rPr>
          <w:rFonts w:hint="eastAsia" w:asciiTheme="majorEastAsia" w:hAnsiTheme="majorEastAsia" w:eastAsiaTheme="majorEastAsia" w:cstheme="majorEastAsia"/>
          <w:sz w:val="24"/>
        </w:rPr>
        <w:t>0分；</w:t>
      </w:r>
    </w:p>
    <w:p w14:paraId="63DD4C6C">
      <w:pPr>
        <w:keepLines w:val="0"/>
        <w:pageBreakBefore w:val="0"/>
        <w:kinsoku/>
        <w:overflowPunct/>
        <w:topLinePunct w:val="0"/>
        <w:bidi w:val="0"/>
        <w:spacing w:line="400" w:lineRule="exact"/>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ab/>
      </w:r>
      <w:r>
        <w:rPr>
          <w:rFonts w:hint="eastAsia" w:asciiTheme="majorEastAsia" w:hAnsiTheme="majorEastAsia" w:eastAsiaTheme="majorEastAsia" w:cstheme="majorEastAsia"/>
          <w:sz w:val="24"/>
        </w:rPr>
        <w:t>（2）其他投标人的价格分按以下公式计算：</w:t>
      </w:r>
    </w:p>
    <w:p w14:paraId="48B0A8C7">
      <w:pPr>
        <w:keepLines w:val="0"/>
        <w:pageBreakBefore w:val="0"/>
        <w:kinsoku/>
        <w:overflowPunct/>
        <w:topLinePunct w:val="0"/>
        <w:bidi w:val="0"/>
        <w:spacing w:line="400" w:lineRule="exact"/>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ab/>
      </w:r>
      <w:r>
        <w:rPr>
          <w:rFonts w:hint="eastAsia" w:asciiTheme="majorEastAsia" w:hAnsiTheme="majorEastAsia" w:eastAsiaTheme="majorEastAsia" w:cstheme="majorEastAsia"/>
          <w:sz w:val="24"/>
        </w:rPr>
        <w:t>投标报价得分=（评分基准价/投标人投标报价）× 价格权值 ×100（保留小数2位）</w:t>
      </w:r>
    </w:p>
    <w:p w14:paraId="6C6C24CF">
      <w:pPr>
        <w:keepLines w:val="0"/>
        <w:pageBreakBefore w:val="0"/>
        <w:numPr>
          <w:ilvl w:val="0"/>
          <w:numId w:val="3"/>
        </w:numPr>
        <w:kinsoku/>
        <w:overflowPunct/>
        <w:topLinePunct w:val="0"/>
        <w:bidi w:val="0"/>
        <w:spacing w:line="400" w:lineRule="exact"/>
        <w:ind w:left="420" w:leftChars="0" w:firstLine="0" w:firstLineChars="0"/>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30AB7DB2">
      <w:pPr>
        <w:keepLines w:val="0"/>
        <w:pageBreakBefore w:val="0"/>
        <w:numPr>
          <w:ilvl w:val="0"/>
          <w:numId w:val="3"/>
        </w:numPr>
        <w:kinsoku/>
        <w:overflowPunct/>
        <w:topLinePunct w:val="0"/>
        <w:bidi w:val="0"/>
        <w:spacing w:line="400" w:lineRule="exact"/>
        <w:ind w:left="420" w:leftChars="0" w:firstLine="0" w:firstLineChars="0"/>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lang w:eastAsia="zh-CN"/>
        </w:rPr>
        <w:t>投标人的商务报价需附报价清单，清单将作为结算依据。</w:t>
      </w:r>
    </w:p>
    <w:p w14:paraId="28178415">
      <w:pPr>
        <w:keepLines w:val="0"/>
        <w:pageBreakBefore w:val="0"/>
        <w:numPr>
          <w:ilvl w:val="0"/>
          <w:numId w:val="3"/>
        </w:numPr>
        <w:kinsoku/>
        <w:overflowPunct/>
        <w:topLinePunct w:val="0"/>
        <w:bidi w:val="0"/>
        <w:spacing w:line="400" w:lineRule="exact"/>
        <w:ind w:left="420" w:leftChars="0" w:firstLine="0" w:firstLineChars="0"/>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投标人所报总价不得超过预算金额，否则当无效标处理。</w:t>
      </w:r>
    </w:p>
    <w:p w14:paraId="2854C8BF">
      <w:pPr>
        <w:keepLines w:val="0"/>
        <w:pageBreakBefore w:val="0"/>
        <w:kinsoku/>
        <w:overflowPunct/>
        <w:topLinePunct w:val="0"/>
        <w:bidi w:val="0"/>
        <w:spacing w:line="400" w:lineRule="exact"/>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ab/>
      </w:r>
      <w:r>
        <w:rPr>
          <w:rFonts w:hint="eastAsia" w:asciiTheme="majorEastAsia" w:hAnsiTheme="majorEastAsia" w:eastAsiaTheme="majorEastAsia" w:cstheme="majorEastAsia"/>
          <w:sz w:val="24"/>
        </w:rPr>
        <w:t>（三）综合得分（100分）（权值100%）</w:t>
      </w:r>
    </w:p>
    <w:p w14:paraId="3676FCF1">
      <w:pPr>
        <w:keepLines w:val="0"/>
        <w:pageBreakBefore w:val="0"/>
        <w:kinsoku/>
        <w:overflowPunct/>
        <w:topLinePunct w:val="0"/>
        <w:bidi w:val="0"/>
        <w:spacing w:line="40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4"/>
        </w:rPr>
        <w:tab/>
      </w:r>
      <w:r>
        <w:rPr>
          <w:rFonts w:hint="eastAsia" w:asciiTheme="majorEastAsia" w:hAnsiTheme="majorEastAsia" w:eastAsiaTheme="majorEastAsia" w:cstheme="majorEastAsia"/>
          <w:sz w:val="24"/>
        </w:rPr>
        <w:t>有效投标人的综合得分为技术分和商务（报价）分的总和，评标委员会根据综合得分高低顺序排列，综合得分前两名投标人依次作为该项目第一中标候选人和第二中标候选人向招标人推荐。得分相同的，按投标报价由低到高顺序排列；得分且投标报价相同的，按技术部分得分高的排序第一。</w:t>
      </w:r>
    </w:p>
    <w:p w14:paraId="27D95511">
      <w:pPr>
        <w:keepLines w:val="0"/>
        <w:pageBreakBefore w:val="0"/>
        <w:kinsoku/>
        <w:overflowPunct/>
        <w:topLinePunct w:val="0"/>
        <w:bidi w:val="0"/>
        <w:spacing w:line="400" w:lineRule="exact"/>
      </w:pPr>
    </w:p>
    <w:p w14:paraId="7A3DF2DE">
      <w:pPr>
        <w:keepLines w:val="0"/>
        <w:pageBreakBefore w:val="0"/>
        <w:kinsoku/>
        <w:overflowPunct/>
        <w:topLinePunct w:val="0"/>
        <w:bidi w:val="0"/>
        <w:spacing w:line="400" w:lineRule="exact"/>
      </w:pPr>
    </w:p>
    <w:p w14:paraId="498223A4">
      <w:pPr>
        <w:pStyle w:val="20"/>
        <w:keepLines w:val="0"/>
        <w:pageBreakBefore w:val="0"/>
        <w:kinsoku/>
        <w:overflowPunct/>
        <w:topLinePunct w:val="0"/>
        <w:bidi w:val="0"/>
        <w:spacing w:line="400" w:lineRule="exact"/>
      </w:pPr>
    </w:p>
    <w:p w14:paraId="6DF0210C">
      <w:pPr>
        <w:pStyle w:val="21"/>
      </w:pPr>
    </w:p>
    <w:p w14:paraId="26FC59FA"/>
    <w:p w14:paraId="4B819637"/>
    <w:p w14:paraId="0010F2DA"/>
    <w:p w14:paraId="001EFECA"/>
    <w:p w14:paraId="2B1BF562"/>
    <w:p w14:paraId="7DA15824"/>
    <w:p w14:paraId="363CA62A"/>
    <w:p w14:paraId="5B38673D"/>
    <w:p w14:paraId="7B0B6932"/>
    <w:p w14:paraId="1D9FF00F"/>
    <w:p w14:paraId="6F3BF4BA"/>
    <w:p w14:paraId="1E12ABD8"/>
    <w:p w14:paraId="413E67D8"/>
    <w:p w14:paraId="077B066C"/>
    <w:p w14:paraId="0045C3F9"/>
    <w:p w14:paraId="0F29B13B"/>
    <w:p w14:paraId="6133D93E"/>
    <w:p w14:paraId="5B46462B"/>
    <w:p w14:paraId="3EF71483"/>
    <w:p w14:paraId="6053B908"/>
    <w:p w14:paraId="299AC58A"/>
    <w:p w14:paraId="458378FE"/>
    <w:p w14:paraId="07F8A265"/>
    <w:p w14:paraId="3EAEC6A8"/>
    <w:p w14:paraId="0CF26F33"/>
    <w:p w14:paraId="6F7A9ECA"/>
    <w:p w14:paraId="2C945DD6"/>
    <w:p w14:paraId="18CF86C3"/>
    <w:p w14:paraId="1957466D"/>
    <w:p w14:paraId="5DAD7951"/>
    <w:p w14:paraId="41FE0FB0"/>
    <w:p w14:paraId="33CB1FB2"/>
    <w:p w14:paraId="29C095F0"/>
    <w:p w14:paraId="5F638C38"/>
    <w:p w14:paraId="47548643"/>
    <w:p w14:paraId="3CF24741"/>
    <w:p w14:paraId="3FBFD347"/>
    <w:p w14:paraId="317A8C09"/>
    <w:p w14:paraId="5E62DC40"/>
    <w:p w14:paraId="1439D004"/>
    <w:p w14:paraId="63329F7A"/>
    <w:p w14:paraId="56CF71AC"/>
    <w:p w14:paraId="2BAA00C6"/>
    <w:p w14:paraId="35F81F1D"/>
    <w:p w14:paraId="24E7C711"/>
    <w:p w14:paraId="5D7B2DE7"/>
    <w:p w14:paraId="35D34BDD"/>
    <w:p w14:paraId="1EE403EB">
      <w:pPr>
        <w:keepLines w:val="0"/>
        <w:pageBreakBefore w:val="0"/>
        <w:kinsoku/>
        <w:overflowPunct/>
        <w:topLinePunct w:val="0"/>
        <w:bidi w:val="0"/>
        <w:spacing w:line="400" w:lineRule="exact"/>
        <w:rPr>
          <w:rFonts w:ascii="新宋体" w:hAnsi="新宋体" w:eastAsia="新宋体" w:cs="宋体"/>
          <w:b/>
          <w:bCs/>
          <w:kern w:val="0"/>
          <w:sz w:val="32"/>
          <w:szCs w:val="32"/>
        </w:rPr>
      </w:pPr>
    </w:p>
    <w:p w14:paraId="6378218B">
      <w:pPr>
        <w:keepLines w:val="0"/>
        <w:pageBreakBefore w:val="0"/>
        <w:kinsoku/>
        <w:overflowPunct/>
        <w:topLinePunct w:val="0"/>
        <w:bidi w:val="0"/>
        <w:spacing w:line="400" w:lineRule="exact"/>
        <w:jc w:val="left"/>
        <w:rPr>
          <w:sz w:val="24"/>
        </w:rPr>
      </w:pPr>
      <w:r>
        <w:rPr>
          <w:rFonts w:hint="eastAsia"/>
          <w:sz w:val="24"/>
        </w:rPr>
        <w:t>附件一</w:t>
      </w:r>
    </w:p>
    <w:p w14:paraId="4B454E5D">
      <w:pPr>
        <w:keepLines w:val="0"/>
        <w:pageBreakBefore w:val="0"/>
        <w:kinsoku/>
        <w:overflowPunct/>
        <w:topLinePunct w:val="0"/>
        <w:bidi w:val="0"/>
        <w:spacing w:line="400" w:lineRule="exact"/>
        <w:jc w:val="center"/>
        <w:outlineLvl w:val="3"/>
        <w:rPr>
          <w:rFonts w:ascii="宋体" w:hAnsi="宋体" w:cs="宋体"/>
          <w:bCs/>
          <w:szCs w:val="28"/>
          <w:lang w:val="zh-CN"/>
        </w:rPr>
      </w:pPr>
      <w:r>
        <w:rPr>
          <w:rFonts w:hint="eastAsia" w:ascii="宋体" w:hAnsi="宋体" w:cs="宋体"/>
          <w:b/>
          <w:bCs/>
          <w:sz w:val="28"/>
          <w:szCs w:val="28"/>
          <w:lang w:val="zh-CN"/>
        </w:rPr>
        <w:t>投标函</w:t>
      </w:r>
    </w:p>
    <w:p w14:paraId="575CBDD2">
      <w:pPr>
        <w:keepLines w:val="0"/>
        <w:pageBreakBefore w:val="0"/>
        <w:kinsoku/>
        <w:overflowPunct/>
        <w:topLinePunct w:val="0"/>
        <w:bidi w:val="0"/>
        <w:spacing w:line="400" w:lineRule="exact"/>
        <w:rPr>
          <w:rFonts w:ascii="宋体" w:hAnsi="宋体" w:cs="宋体"/>
          <w:sz w:val="22"/>
          <w:szCs w:val="22"/>
        </w:rPr>
      </w:pPr>
      <w:r>
        <w:rPr>
          <w:rFonts w:hint="eastAsia" w:ascii="宋体" w:hAnsi="宋体" w:cs="宋体"/>
          <w:sz w:val="22"/>
          <w:szCs w:val="22"/>
        </w:rPr>
        <w:t xml:space="preserve">             </w:t>
      </w:r>
    </w:p>
    <w:p w14:paraId="5FA93A76">
      <w:pPr>
        <w:keepLines w:val="0"/>
        <w:pageBreakBefore w:val="0"/>
        <w:kinsoku/>
        <w:overflowPunct/>
        <w:topLinePunct w:val="0"/>
        <w:bidi w:val="0"/>
        <w:spacing w:line="400" w:lineRule="exact"/>
        <w:rPr>
          <w:rFonts w:ascii="新宋体" w:hAnsi="新宋体" w:eastAsia="新宋体" w:cs="新宋体"/>
          <w:sz w:val="22"/>
          <w:szCs w:val="22"/>
        </w:rPr>
      </w:pPr>
      <w:r>
        <w:rPr>
          <w:rFonts w:hint="eastAsia" w:ascii="新宋体" w:hAnsi="新宋体" w:eastAsia="新宋体" w:cs="新宋体"/>
          <w:sz w:val="22"/>
          <w:szCs w:val="22"/>
        </w:rPr>
        <w:t>致：温州市第七人民医院</w:t>
      </w:r>
    </w:p>
    <w:p w14:paraId="2D448029">
      <w:pPr>
        <w:keepLines w:val="0"/>
        <w:pageBreakBefore w:val="0"/>
        <w:kinsoku/>
        <w:overflowPunct/>
        <w:topLinePunct w:val="0"/>
        <w:bidi w:val="0"/>
        <w:spacing w:line="40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根据贵方为</w:t>
      </w:r>
      <w:r>
        <w:rPr>
          <w:rFonts w:hint="eastAsia" w:ascii="新宋体" w:hAnsi="新宋体" w:eastAsia="新宋体" w:cs="新宋体"/>
          <w:sz w:val="22"/>
          <w:szCs w:val="22"/>
          <w:u w:val="single"/>
        </w:rPr>
        <w:t xml:space="preserve">          </w:t>
      </w:r>
      <w:r>
        <w:rPr>
          <w:rFonts w:hint="eastAsia" w:ascii="新宋体" w:hAnsi="新宋体" w:eastAsia="新宋体" w:cs="新宋体"/>
          <w:sz w:val="22"/>
          <w:szCs w:val="22"/>
        </w:rPr>
        <w:t>项目的投标邀请，我方</w:t>
      </w:r>
      <w:r>
        <w:rPr>
          <w:rFonts w:hint="eastAsia" w:ascii="新宋体" w:hAnsi="新宋体" w:eastAsia="新宋体" w:cs="新宋体"/>
          <w:sz w:val="22"/>
          <w:szCs w:val="22"/>
          <w:u w:val="single"/>
        </w:rPr>
        <w:t xml:space="preserve">      　</w:t>
      </w:r>
      <w:r>
        <w:rPr>
          <w:rFonts w:hint="eastAsia" w:ascii="新宋体" w:hAnsi="新宋体" w:eastAsia="新宋体" w:cs="新宋体"/>
          <w:sz w:val="22"/>
          <w:szCs w:val="22"/>
        </w:rPr>
        <w:t>（投标人名称）作为投标人正式授权</w:t>
      </w:r>
      <w:r>
        <w:rPr>
          <w:rFonts w:hint="eastAsia" w:ascii="新宋体" w:hAnsi="新宋体" w:eastAsia="新宋体" w:cs="新宋体"/>
          <w:sz w:val="22"/>
          <w:szCs w:val="22"/>
          <w:u w:val="single"/>
        </w:rPr>
        <w:t xml:space="preserve">　           </w:t>
      </w:r>
      <w:r>
        <w:rPr>
          <w:rFonts w:hint="eastAsia" w:ascii="新宋体" w:hAnsi="新宋体" w:eastAsia="新宋体" w:cs="新宋体"/>
          <w:sz w:val="22"/>
          <w:szCs w:val="22"/>
        </w:rPr>
        <w:t>（授权代表全名，职务）代表我方处理有关本投标的一切事宜。</w:t>
      </w:r>
    </w:p>
    <w:p w14:paraId="367BFD1C">
      <w:pPr>
        <w:keepLines w:val="0"/>
        <w:pageBreakBefore w:val="0"/>
        <w:kinsoku/>
        <w:overflowPunct/>
        <w:topLinePunct w:val="0"/>
        <w:bidi w:val="0"/>
        <w:spacing w:line="40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在此提交的投标文件中，包括如下内容，并已分别单独密封装袋：</w:t>
      </w:r>
    </w:p>
    <w:p w14:paraId="64DD940C">
      <w:pPr>
        <w:keepLines w:val="0"/>
        <w:pageBreakBefore w:val="0"/>
        <w:kinsoku/>
        <w:overflowPunct/>
        <w:topLinePunct w:val="0"/>
        <w:bidi w:val="0"/>
        <w:spacing w:line="40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（—）按“招标内容及要求”要求编制的投标文件技术标【正本一份，副本三份】；</w:t>
      </w:r>
    </w:p>
    <w:p w14:paraId="726F27AE">
      <w:pPr>
        <w:keepLines w:val="0"/>
        <w:pageBreakBefore w:val="0"/>
        <w:kinsoku/>
        <w:overflowPunct/>
        <w:topLinePunct w:val="0"/>
        <w:bidi w:val="0"/>
        <w:spacing w:line="40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（二）按“招标内容及要求”要求编制的投标文件商务标【正本一份，副本三份】</w:t>
      </w:r>
    </w:p>
    <w:p w14:paraId="0E20EB94">
      <w:pPr>
        <w:keepLines w:val="0"/>
        <w:pageBreakBefore w:val="0"/>
        <w:kinsoku/>
        <w:overflowPunct/>
        <w:topLinePunct w:val="0"/>
        <w:bidi w:val="0"/>
        <w:spacing w:line="40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我方己完全明白招标文件的所有条款要求，并重申以下几点：</w:t>
      </w:r>
    </w:p>
    <w:p w14:paraId="5237F7E3">
      <w:pPr>
        <w:keepLines w:val="0"/>
        <w:pageBreakBefore w:val="0"/>
        <w:kinsoku/>
        <w:overflowPunct/>
        <w:topLinePunct w:val="0"/>
        <w:bidi w:val="0"/>
        <w:spacing w:line="40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（一）本投标文件的有效期自投标截止日起</w:t>
      </w:r>
      <w:r>
        <w:rPr>
          <w:rFonts w:hint="eastAsia" w:ascii="新宋体" w:hAnsi="新宋体" w:eastAsia="新宋体" w:cs="新宋体"/>
          <w:b/>
          <w:sz w:val="22"/>
          <w:szCs w:val="22"/>
          <w:lang w:val="en-US" w:eastAsia="zh-CN"/>
        </w:rPr>
        <w:t>9</w:t>
      </w:r>
      <w:r>
        <w:rPr>
          <w:rFonts w:hint="eastAsia" w:ascii="新宋体" w:hAnsi="新宋体" w:eastAsia="新宋体" w:cs="新宋体"/>
          <w:b/>
          <w:sz w:val="22"/>
          <w:szCs w:val="22"/>
        </w:rPr>
        <w:t>0天内</w:t>
      </w:r>
      <w:r>
        <w:rPr>
          <w:rFonts w:hint="eastAsia" w:ascii="新宋体" w:hAnsi="新宋体" w:eastAsia="新宋体" w:cs="新宋体"/>
          <w:sz w:val="22"/>
          <w:szCs w:val="22"/>
        </w:rPr>
        <w:t>有效，如中标，有效期将延至合同终止日为止；</w:t>
      </w:r>
    </w:p>
    <w:p w14:paraId="6FB0318B">
      <w:pPr>
        <w:keepLines w:val="0"/>
        <w:pageBreakBefore w:val="0"/>
        <w:kinsoku/>
        <w:overflowPunct/>
        <w:topLinePunct w:val="0"/>
        <w:bidi w:val="0"/>
        <w:spacing w:line="40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（二）我方已详细研究了招标文件的所有内容包括修改书（如有）和所有已提供的参考资料以及有关附件，我方完全理解并同意放弃在此方面提出含糊意见或误解的一切权力；</w:t>
      </w:r>
    </w:p>
    <w:p w14:paraId="10C194D8">
      <w:pPr>
        <w:keepLines w:val="0"/>
        <w:pageBreakBefore w:val="0"/>
        <w:kinsoku/>
        <w:overflowPunct/>
        <w:topLinePunct w:val="0"/>
        <w:bidi w:val="0"/>
        <w:spacing w:line="40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（三）我方同意提供按照贵方可能要求的与投标有关的一切数据或资料；</w:t>
      </w:r>
    </w:p>
    <w:p w14:paraId="2C67A299">
      <w:pPr>
        <w:keepLines w:val="0"/>
        <w:pageBreakBefore w:val="0"/>
        <w:kinsoku/>
        <w:overflowPunct/>
        <w:topLinePunct w:val="0"/>
        <w:bidi w:val="0"/>
        <w:spacing w:line="40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（四）我方理解贵方不一定接受最低报价。</w:t>
      </w:r>
    </w:p>
    <w:p w14:paraId="6873FE57">
      <w:pPr>
        <w:keepLines w:val="0"/>
        <w:pageBreakBefore w:val="0"/>
        <w:kinsoku/>
        <w:overflowPunct/>
        <w:topLinePunct w:val="0"/>
        <w:bidi w:val="0"/>
        <w:spacing w:line="40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（五）我方如果中标，将保证履行招标文件以及招标文件修改书（如有）中的全部责任和义务，按质、按量、按期完成《合同书》中的全部任务。</w:t>
      </w:r>
    </w:p>
    <w:p w14:paraId="7AD9C59E">
      <w:pPr>
        <w:keepLines w:val="0"/>
        <w:pageBreakBefore w:val="0"/>
        <w:kinsoku/>
        <w:overflowPunct/>
        <w:topLinePunct w:val="0"/>
        <w:bidi w:val="0"/>
        <w:spacing w:line="40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（六）所有与本投标有关的函件请发往下列地址：</w:t>
      </w:r>
    </w:p>
    <w:p w14:paraId="1C2421A8">
      <w:pPr>
        <w:keepLines w:val="0"/>
        <w:pageBreakBefore w:val="0"/>
        <w:kinsoku/>
        <w:overflowPunct/>
        <w:topLinePunct w:val="0"/>
        <w:bidi w:val="0"/>
        <w:spacing w:line="40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地址</w:t>
      </w:r>
      <w:r>
        <w:rPr>
          <w:rFonts w:hint="eastAsia" w:ascii="新宋体" w:hAnsi="新宋体" w:eastAsia="新宋体" w:cs="新宋体"/>
          <w:sz w:val="22"/>
          <w:szCs w:val="22"/>
          <w:u w:val="single"/>
        </w:rPr>
        <w:t xml:space="preserve">                           </w:t>
      </w:r>
    </w:p>
    <w:p w14:paraId="4D1B2C00">
      <w:pPr>
        <w:keepLines w:val="0"/>
        <w:pageBreakBefore w:val="0"/>
        <w:kinsoku/>
        <w:overflowPunct/>
        <w:topLinePunct w:val="0"/>
        <w:bidi w:val="0"/>
        <w:spacing w:line="40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电话</w:t>
      </w:r>
      <w:r>
        <w:rPr>
          <w:rFonts w:hint="eastAsia" w:ascii="新宋体" w:hAnsi="新宋体" w:eastAsia="新宋体" w:cs="新宋体"/>
          <w:sz w:val="22"/>
          <w:szCs w:val="22"/>
          <w:u w:val="single"/>
        </w:rPr>
        <w:t xml:space="preserve">                           </w:t>
      </w:r>
    </w:p>
    <w:p w14:paraId="455DB3A8">
      <w:pPr>
        <w:keepLines w:val="0"/>
        <w:pageBreakBefore w:val="0"/>
        <w:kinsoku/>
        <w:overflowPunct/>
        <w:topLinePunct w:val="0"/>
        <w:bidi w:val="0"/>
        <w:spacing w:line="40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传真</w:t>
      </w:r>
      <w:r>
        <w:rPr>
          <w:rFonts w:hint="eastAsia" w:ascii="新宋体" w:hAnsi="新宋体" w:eastAsia="新宋体" w:cs="新宋体"/>
          <w:sz w:val="22"/>
          <w:szCs w:val="22"/>
          <w:u w:val="single"/>
        </w:rPr>
        <w:t xml:space="preserve">                           </w:t>
      </w:r>
    </w:p>
    <w:p w14:paraId="6BFC4992">
      <w:pPr>
        <w:keepLines w:val="0"/>
        <w:pageBreakBefore w:val="0"/>
        <w:kinsoku/>
        <w:overflowPunct/>
        <w:topLinePunct w:val="0"/>
        <w:bidi w:val="0"/>
        <w:spacing w:line="40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电子邮件</w:t>
      </w:r>
      <w:r>
        <w:rPr>
          <w:rFonts w:hint="eastAsia" w:ascii="新宋体" w:hAnsi="新宋体" w:eastAsia="新宋体" w:cs="新宋体"/>
          <w:sz w:val="22"/>
          <w:szCs w:val="22"/>
          <w:u w:val="single"/>
        </w:rPr>
        <w:t xml:space="preserve">                       </w:t>
      </w:r>
    </w:p>
    <w:p w14:paraId="206221CC">
      <w:pPr>
        <w:keepLines w:val="0"/>
        <w:pageBreakBefore w:val="0"/>
        <w:kinsoku/>
        <w:overflowPunct/>
        <w:topLinePunct w:val="0"/>
        <w:bidi w:val="0"/>
        <w:spacing w:line="400" w:lineRule="exact"/>
        <w:ind w:firstLine="5720" w:firstLineChars="2600"/>
        <w:jc w:val="both"/>
        <w:rPr>
          <w:rFonts w:ascii="新宋体" w:hAnsi="新宋体" w:eastAsia="新宋体" w:cs="新宋体"/>
          <w:sz w:val="22"/>
          <w:szCs w:val="22"/>
        </w:rPr>
      </w:pPr>
      <w:r>
        <w:rPr>
          <w:rFonts w:hint="eastAsia" w:ascii="新宋体" w:hAnsi="新宋体" w:eastAsia="新宋体" w:cs="新宋体"/>
          <w:sz w:val="22"/>
          <w:szCs w:val="22"/>
        </w:rPr>
        <w:t>投标人名称（公章）</w:t>
      </w:r>
      <w:r>
        <w:rPr>
          <w:rFonts w:hint="eastAsia" w:ascii="新宋体" w:hAnsi="新宋体" w:eastAsia="新宋体" w:cs="新宋体"/>
          <w:sz w:val="22"/>
          <w:szCs w:val="22"/>
          <w:u w:val="single"/>
        </w:rPr>
        <w:t xml:space="preserve">                </w:t>
      </w:r>
    </w:p>
    <w:p w14:paraId="4AD566ED">
      <w:pPr>
        <w:keepLines w:val="0"/>
        <w:pageBreakBefore w:val="0"/>
        <w:kinsoku/>
        <w:overflowPunct/>
        <w:topLinePunct w:val="0"/>
        <w:bidi w:val="0"/>
        <w:spacing w:line="400" w:lineRule="exact"/>
        <w:ind w:firstLine="5728" w:firstLineChars="2604"/>
        <w:jc w:val="both"/>
        <w:rPr>
          <w:rFonts w:ascii="新宋体" w:hAnsi="新宋体" w:eastAsia="新宋体" w:cs="新宋体"/>
          <w:sz w:val="22"/>
          <w:szCs w:val="22"/>
        </w:rPr>
      </w:pPr>
      <w:r>
        <w:rPr>
          <w:rFonts w:hint="eastAsia" w:ascii="新宋体" w:hAnsi="新宋体" w:eastAsia="新宋体" w:cs="新宋体"/>
          <w:sz w:val="22"/>
          <w:szCs w:val="22"/>
        </w:rPr>
        <w:t>投标人代表</w:t>
      </w:r>
      <w:r>
        <w:rPr>
          <w:rFonts w:hint="eastAsia" w:ascii="新宋体" w:hAnsi="新宋体" w:eastAsia="新宋体" w:cs="新宋体"/>
          <w:sz w:val="22"/>
          <w:szCs w:val="22"/>
          <w:u w:val="single"/>
        </w:rPr>
        <w:t xml:space="preserve">                        </w:t>
      </w:r>
    </w:p>
    <w:p w14:paraId="015940AB">
      <w:pPr>
        <w:keepLines w:val="0"/>
        <w:pageBreakBefore w:val="0"/>
        <w:kinsoku/>
        <w:overflowPunct/>
        <w:topLinePunct w:val="0"/>
        <w:bidi w:val="0"/>
        <w:spacing w:line="400" w:lineRule="exact"/>
        <w:ind w:firstLine="5720" w:firstLineChars="2600"/>
        <w:jc w:val="both"/>
        <w:rPr>
          <w:rFonts w:ascii="新宋体" w:hAnsi="新宋体" w:eastAsia="新宋体" w:cs="新宋体"/>
          <w:sz w:val="22"/>
          <w:szCs w:val="22"/>
          <w:u w:val="single"/>
        </w:rPr>
      </w:pPr>
      <w:r>
        <w:rPr>
          <w:rFonts w:hint="eastAsia" w:ascii="新宋体" w:hAnsi="新宋体" w:eastAsia="新宋体" w:cs="新宋体"/>
          <w:sz w:val="22"/>
          <w:szCs w:val="22"/>
        </w:rPr>
        <w:t>日   期</w:t>
      </w:r>
      <w:r>
        <w:rPr>
          <w:rFonts w:hint="eastAsia" w:ascii="新宋体" w:hAnsi="新宋体" w:eastAsia="新宋体" w:cs="新宋体"/>
          <w:sz w:val="22"/>
          <w:szCs w:val="22"/>
          <w:u w:val="single"/>
        </w:rPr>
        <w:t xml:space="preserve">                           </w:t>
      </w:r>
    </w:p>
    <w:p w14:paraId="2419B18D">
      <w:pPr>
        <w:keepLines w:val="0"/>
        <w:pageBreakBefore w:val="0"/>
        <w:kinsoku/>
        <w:overflowPunct/>
        <w:topLinePunct w:val="0"/>
        <w:bidi w:val="0"/>
        <w:spacing w:line="400" w:lineRule="exact"/>
        <w:jc w:val="both"/>
        <w:outlineLvl w:val="1"/>
        <w:rPr>
          <w:rFonts w:ascii="新宋体" w:hAnsi="新宋体" w:eastAsia="新宋体"/>
          <w:b/>
          <w:bCs/>
          <w:sz w:val="22"/>
          <w:szCs w:val="22"/>
        </w:rPr>
      </w:pPr>
    </w:p>
    <w:p w14:paraId="2E8C3F31">
      <w:pPr>
        <w:keepLines w:val="0"/>
        <w:pageBreakBefore w:val="0"/>
        <w:kinsoku/>
        <w:overflowPunct/>
        <w:topLinePunct w:val="0"/>
        <w:bidi w:val="0"/>
        <w:spacing w:line="400" w:lineRule="exact"/>
        <w:rPr>
          <w:rFonts w:ascii="新宋体" w:hAnsi="新宋体" w:eastAsia="新宋体"/>
          <w:b/>
          <w:bCs/>
          <w:sz w:val="22"/>
          <w:szCs w:val="22"/>
        </w:rPr>
      </w:pPr>
      <w:r>
        <w:rPr>
          <w:rFonts w:hint="eastAsia" w:ascii="新宋体" w:hAnsi="新宋体" w:eastAsia="新宋体"/>
          <w:b/>
          <w:bCs/>
          <w:sz w:val="22"/>
          <w:szCs w:val="22"/>
        </w:rPr>
        <w:br w:type="page"/>
      </w:r>
    </w:p>
    <w:p w14:paraId="6A21726C">
      <w:pPr>
        <w:keepLines w:val="0"/>
        <w:pageBreakBefore w:val="0"/>
        <w:widowControl/>
        <w:kinsoku/>
        <w:overflowPunct/>
        <w:topLinePunct w:val="0"/>
        <w:bidi w:val="0"/>
        <w:spacing w:line="400" w:lineRule="exact"/>
        <w:jc w:val="left"/>
        <w:rPr>
          <w:sz w:val="24"/>
        </w:rPr>
      </w:pPr>
      <w:r>
        <w:rPr>
          <w:rFonts w:hint="eastAsia"/>
          <w:sz w:val="24"/>
        </w:rPr>
        <w:t>附件二：</w:t>
      </w:r>
    </w:p>
    <w:p w14:paraId="6C14A3AF">
      <w:pPr>
        <w:keepLines w:val="0"/>
        <w:pageBreakBefore w:val="0"/>
        <w:widowControl/>
        <w:kinsoku/>
        <w:overflowPunct/>
        <w:topLinePunct w:val="0"/>
        <w:bidi w:val="0"/>
        <w:spacing w:line="400" w:lineRule="exact"/>
        <w:jc w:val="center"/>
        <w:rPr>
          <w:b/>
          <w:sz w:val="36"/>
          <w:szCs w:val="36"/>
        </w:rPr>
      </w:pPr>
      <w:r>
        <w:rPr>
          <w:rFonts w:hint="eastAsia"/>
          <w:b/>
          <w:sz w:val="36"/>
          <w:szCs w:val="36"/>
        </w:rPr>
        <w:t>法定代表人授权书</w:t>
      </w:r>
    </w:p>
    <w:p w14:paraId="03EB596A">
      <w:pPr>
        <w:keepLines w:val="0"/>
        <w:pageBreakBefore w:val="0"/>
        <w:kinsoku/>
        <w:overflowPunct/>
        <w:topLinePunct w:val="0"/>
        <w:bidi w:val="0"/>
        <w:spacing w:line="400" w:lineRule="exact"/>
        <w:rPr>
          <w:rFonts w:ascii="新宋体" w:hAnsi="新宋体" w:eastAsia="新宋体"/>
          <w:sz w:val="24"/>
        </w:rPr>
      </w:pPr>
      <w:r>
        <w:rPr>
          <w:rFonts w:hint="eastAsia" w:ascii="新宋体" w:hAnsi="新宋体" w:eastAsia="新宋体"/>
          <w:sz w:val="24"/>
        </w:rPr>
        <w:t>温州市第七人民医院：</w:t>
      </w:r>
    </w:p>
    <w:p w14:paraId="1C72B594">
      <w:pPr>
        <w:keepLines w:val="0"/>
        <w:pageBreakBefore w:val="0"/>
        <w:kinsoku/>
        <w:overflowPunct/>
        <w:topLinePunct w:val="0"/>
        <w:bidi w:val="0"/>
        <w:spacing w:line="400" w:lineRule="exact"/>
        <w:ind w:firstLine="600" w:firstLineChars="250"/>
        <w:rPr>
          <w:rFonts w:ascii="新宋体" w:hAnsi="新宋体" w:eastAsia="新宋体"/>
          <w:sz w:val="24"/>
        </w:rPr>
      </w:pPr>
      <w:r>
        <w:rPr>
          <w:rFonts w:hint="eastAsia" w:ascii="新宋体" w:hAnsi="新宋体" w:eastAsia="新宋体"/>
          <w:sz w:val="24"/>
          <w:u w:val="single"/>
        </w:rPr>
        <w:t xml:space="preserve">             </w:t>
      </w:r>
      <w:r>
        <w:rPr>
          <w:rFonts w:hint="eastAsia" w:ascii="新宋体" w:hAnsi="新宋体" w:eastAsia="新宋体"/>
          <w:sz w:val="24"/>
        </w:rPr>
        <w:t>（投标人全称）法定代表人</w:t>
      </w:r>
      <w:r>
        <w:rPr>
          <w:rFonts w:hint="eastAsia" w:ascii="新宋体" w:hAnsi="新宋体" w:eastAsia="新宋体"/>
          <w:sz w:val="24"/>
          <w:u w:val="single"/>
        </w:rPr>
        <w:t xml:space="preserve">          （</w:t>
      </w:r>
      <w:r>
        <w:rPr>
          <w:rFonts w:hint="eastAsia" w:ascii="新宋体" w:hAnsi="新宋体" w:eastAsia="新宋体"/>
          <w:sz w:val="24"/>
        </w:rPr>
        <w:t>法定代表人姓名），身份证号：</w:t>
      </w:r>
      <w:r>
        <w:rPr>
          <w:rFonts w:hint="eastAsia" w:ascii="新宋体" w:hAnsi="新宋体" w:eastAsia="新宋体"/>
          <w:sz w:val="24"/>
          <w:u w:val="single"/>
        </w:rPr>
        <w:t xml:space="preserve">           </w:t>
      </w:r>
      <w:r>
        <w:rPr>
          <w:rFonts w:hint="eastAsia" w:ascii="新宋体" w:hAnsi="新宋体" w:eastAsia="新宋体"/>
          <w:sz w:val="24"/>
        </w:rPr>
        <w:t xml:space="preserve"> 授权</w:t>
      </w:r>
      <w:r>
        <w:rPr>
          <w:rFonts w:hint="eastAsia" w:ascii="新宋体" w:hAnsi="新宋体" w:eastAsia="新宋体"/>
          <w:sz w:val="24"/>
          <w:u w:val="single"/>
        </w:rPr>
        <w:t xml:space="preserve">         </w:t>
      </w:r>
      <w:r>
        <w:rPr>
          <w:rFonts w:hint="eastAsia" w:ascii="新宋体" w:hAnsi="新宋体" w:eastAsia="新宋体"/>
          <w:sz w:val="24"/>
        </w:rPr>
        <w:t>（全权代表姓名），身份证号：</w:t>
      </w:r>
      <w:r>
        <w:rPr>
          <w:rFonts w:hint="eastAsia" w:ascii="新宋体" w:hAnsi="新宋体" w:eastAsia="新宋体"/>
          <w:sz w:val="24"/>
          <w:u w:val="single"/>
        </w:rPr>
        <w:t xml:space="preserve">        </w:t>
      </w:r>
      <w:r>
        <w:rPr>
          <w:rFonts w:hint="eastAsia" w:ascii="新宋体" w:hAnsi="新宋体" w:eastAsia="新宋体"/>
          <w:sz w:val="24"/>
        </w:rPr>
        <w:t>为全权代表，参加贵单位组织的（</w:t>
      </w:r>
      <w:r>
        <w:rPr>
          <w:rFonts w:hint="eastAsia" w:ascii="新宋体" w:hAnsi="新宋体" w:eastAsia="新宋体"/>
          <w:sz w:val="24"/>
          <w:u w:val="single"/>
        </w:rPr>
        <w:t xml:space="preserve">                    </w:t>
      </w:r>
      <w:r>
        <w:rPr>
          <w:rFonts w:hint="eastAsia" w:ascii="新宋体" w:hAnsi="新宋体" w:eastAsia="新宋体"/>
          <w:sz w:val="24"/>
        </w:rPr>
        <w:t>项目名称）的比选采购活动，全权代表我方处理比选采购活动中的一切事宜。</w:t>
      </w:r>
    </w:p>
    <w:p w14:paraId="2004DBD5">
      <w:pPr>
        <w:keepLines w:val="0"/>
        <w:pageBreakBefore w:val="0"/>
        <w:kinsoku/>
        <w:overflowPunct/>
        <w:topLinePunct w:val="0"/>
        <w:bidi w:val="0"/>
        <w:spacing w:line="400" w:lineRule="exact"/>
        <w:ind w:firstLine="600" w:firstLineChars="250"/>
        <w:rPr>
          <w:rFonts w:ascii="新宋体" w:hAnsi="新宋体" w:eastAsia="新宋体"/>
          <w:sz w:val="24"/>
        </w:rPr>
      </w:pPr>
      <w:r>
        <w:rPr>
          <w:rFonts w:hint="eastAsia" w:ascii="新宋体" w:hAnsi="新宋体" w:eastAsia="新宋体"/>
          <w:sz w:val="24"/>
        </w:rPr>
        <w:t xml:space="preserve"> </w:t>
      </w:r>
    </w:p>
    <w:p w14:paraId="474BCBA5">
      <w:pPr>
        <w:keepLines w:val="0"/>
        <w:pageBreakBefore w:val="0"/>
        <w:kinsoku/>
        <w:overflowPunct/>
        <w:topLinePunct w:val="0"/>
        <w:bidi w:val="0"/>
        <w:spacing w:line="400" w:lineRule="exact"/>
        <w:rPr>
          <w:rFonts w:ascii="新宋体" w:hAnsi="新宋体" w:eastAsia="新宋体"/>
          <w:sz w:val="24"/>
        </w:rPr>
      </w:pPr>
      <w:r>
        <w:rPr>
          <w:rFonts w:hint="eastAsia" w:ascii="新宋体" w:hAnsi="新宋体" w:eastAsia="新宋体"/>
          <w:sz w:val="24"/>
        </w:rPr>
        <w:t>法定代表人(签字或盖章)：</w:t>
      </w:r>
    </w:p>
    <w:p w14:paraId="56E4A909">
      <w:pPr>
        <w:keepLines w:val="0"/>
        <w:pageBreakBefore w:val="0"/>
        <w:kinsoku/>
        <w:overflowPunct/>
        <w:topLinePunct w:val="0"/>
        <w:bidi w:val="0"/>
        <w:spacing w:line="400" w:lineRule="exact"/>
        <w:rPr>
          <w:rFonts w:ascii="新宋体" w:hAnsi="新宋体" w:eastAsia="新宋体"/>
          <w:sz w:val="24"/>
        </w:rPr>
      </w:pPr>
      <w:r>
        <w:rPr>
          <w:rFonts w:hint="eastAsia" w:ascii="新宋体" w:hAnsi="新宋体" w:eastAsia="新宋体"/>
          <w:sz w:val="24"/>
        </w:rPr>
        <w:t>投标人全称（公章）：</w:t>
      </w:r>
    </w:p>
    <w:p w14:paraId="4D9ADB52">
      <w:pPr>
        <w:keepLines w:val="0"/>
        <w:pageBreakBefore w:val="0"/>
        <w:widowControl/>
        <w:kinsoku/>
        <w:overflowPunct/>
        <w:topLinePunct w:val="0"/>
        <w:bidi w:val="0"/>
        <w:spacing w:line="400" w:lineRule="exact"/>
        <w:jc w:val="left"/>
        <w:rPr>
          <w:sz w:val="24"/>
        </w:rPr>
      </w:pPr>
      <w:r>
        <w:rPr>
          <w:rFonts w:hint="eastAsia" w:ascii="新宋体" w:hAnsi="新宋体" w:eastAsia="新宋体"/>
          <w:sz w:val="24"/>
        </w:rPr>
        <w:t>日   期：</w:t>
      </w:r>
    </w:p>
    <w:p w14:paraId="634E8F38">
      <w:pPr>
        <w:keepLines w:val="0"/>
        <w:pageBreakBefore w:val="0"/>
        <w:kinsoku/>
        <w:overflowPunct/>
        <w:topLinePunct w:val="0"/>
        <w:bidi w:val="0"/>
        <w:spacing w:line="400" w:lineRule="exact"/>
        <w:rPr>
          <w:rFonts w:ascii="新宋体" w:hAnsi="新宋体" w:eastAsia="新宋体"/>
          <w:sz w:val="24"/>
        </w:rPr>
      </w:pPr>
    </w:p>
    <w:p w14:paraId="4CF1525D">
      <w:pPr>
        <w:keepLines w:val="0"/>
        <w:pageBreakBefore w:val="0"/>
        <w:kinsoku/>
        <w:overflowPunct/>
        <w:topLinePunct w:val="0"/>
        <w:bidi w:val="0"/>
        <w:spacing w:line="400" w:lineRule="exact"/>
        <w:rPr>
          <w:rFonts w:ascii="新宋体" w:hAnsi="新宋体" w:eastAsia="新宋体"/>
          <w:sz w:val="24"/>
        </w:rPr>
      </w:pPr>
      <w:r>
        <w:rPr>
          <w:rFonts w:hint="eastAsia" w:ascii="新宋体" w:hAnsi="新宋体" w:eastAsia="新宋体"/>
          <w:sz w:val="24"/>
        </w:rPr>
        <w:t>法定代表人身份证复印件或扫描件（正反面）：</w:t>
      </w:r>
    </w:p>
    <w:p w14:paraId="58F42EF1">
      <w:pPr>
        <w:keepLines w:val="0"/>
        <w:pageBreakBefore w:val="0"/>
        <w:kinsoku/>
        <w:overflowPunct/>
        <w:topLinePunct w:val="0"/>
        <w:bidi w:val="0"/>
        <w:spacing w:line="400" w:lineRule="exact"/>
        <w:rPr>
          <w:rFonts w:ascii="新宋体" w:hAnsi="新宋体" w:eastAsia="新宋体"/>
          <w:sz w:val="24"/>
        </w:rPr>
      </w:pPr>
    </w:p>
    <w:p w14:paraId="32B8BEF7">
      <w:pPr>
        <w:keepLines w:val="0"/>
        <w:pageBreakBefore w:val="0"/>
        <w:kinsoku/>
        <w:overflowPunct/>
        <w:topLinePunct w:val="0"/>
        <w:bidi w:val="0"/>
        <w:spacing w:line="400" w:lineRule="exact"/>
        <w:rPr>
          <w:rFonts w:ascii="新宋体" w:hAnsi="新宋体" w:eastAsia="新宋体"/>
          <w:sz w:val="24"/>
        </w:rPr>
      </w:pPr>
    </w:p>
    <w:p w14:paraId="68172810">
      <w:pPr>
        <w:keepLines w:val="0"/>
        <w:pageBreakBefore w:val="0"/>
        <w:kinsoku/>
        <w:overflowPunct/>
        <w:topLinePunct w:val="0"/>
        <w:bidi w:val="0"/>
        <w:spacing w:line="400" w:lineRule="exact"/>
        <w:rPr>
          <w:rFonts w:ascii="新宋体" w:hAnsi="新宋体" w:eastAsia="新宋体"/>
          <w:sz w:val="24"/>
        </w:rPr>
      </w:pPr>
    </w:p>
    <w:p w14:paraId="11B80801">
      <w:pPr>
        <w:keepLines w:val="0"/>
        <w:pageBreakBefore w:val="0"/>
        <w:kinsoku/>
        <w:overflowPunct/>
        <w:topLinePunct w:val="0"/>
        <w:bidi w:val="0"/>
        <w:spacing w:line="400" w:lineRule="exact"/>
        <w:rPr>
          <w:rFonts w:ascii="新宋体" w:hAnsi="新宋体" w:eastAsia="新宋体"/>
          <w:sz w:val="24"/>
        </w:rPr>
      </w:pPr>
    </w:p>
    <w:p w14:paraId="3F8828E4">
      <w:pPr>
        <w:keepLines w:val="0"/>
        <w:pageBreakBefore w:val="0"/>
        <w:kinsoku/>
        <w:overflowPunct/>
        <w:topLinePunct w:val="0"/>
        <w:bidi w:val="0"/>
        <w:spacing w:line="400" w:lineRule="exact"/>
        <w:rPr>
          <w:rFonts w:ascii="新宋体" w:hAnsi="新宋体" w:eastAsia="新宋体"/>
          <w:sz w:val="24"/>
        </w:rPr>
      </w:pPr>
    </w:p>
    <w:p w14:paraId="1C470C51">
      <w:pPr>
        <w:keepLines w:val="0"/>
        <w:pageBreakBefore w:val="0"/>
        <w:kinsoku/>
        <w:overflowPunct/>
        <w:topLinePunct w:val="0"/>
        <w:bidi w:val="0"/>
        <w:spacing w:line="400" w:lineRule="exact"/>
        <w:rPr>
          <w:rFonts w:ascii="新宋体" w:hAnsi="新宋体" w:eastAsia="新宋体"/>
          <w:sz w:val="24"/>
        </w:rPr>
      </w:pPr>
    </w:p>
    <w:p w14:paraId="01BF2B41">
      <w:pPr>
        <w:keepLines w:val="0"/>
        <w:pageBreakBefore w:val="0"/>
        <w:kinsoku/>
        <w:overflowPunct/>
        <w:topLinePunct w:val="0"/>
        <w:bidi w:val="0"/>
        <w:spacing w:line="400" w:lineRule="exact"/>
        <w:rPr>
          <w:rFonts w:ascii="新宋体" w:hAnsi="新宋体" w:eastAsia="新宋体"/>
          <w:sz w:val="24"/>
        </w:rPr>
      </w:pPr>
    </w:p>
    <w:p w14:paraId="4BF4035D">
      <w:pPr>
        <w:keepLines w:val="0"/>
        <w:pageBreakBefore w:val="0"/>
        <w:kinsoku/>
        <w:overflowPunct/>
        <w:topLinePunct w:val="0"/>
        <w:bidi w:val="0"/>
        <w:spacing w:line="400" w:lineRule="exact"/>
        <w:rPr>
          <w:sz w:val="24"/>
        </w:rPr>
      </w:pPr>
      <w:r>
        <w:rPr>
          <w:rFonts w:hint="eastAsia" w:ascii="新宋体" w:hAnsi="新宋体" w:eastAsia="新宋体"/>
          <w:sz w:val="24"/>
        </w:rPr>
        <w:t>授权代表身份证复印件或扫描件（正反面）：</w:t>
      </w:r>
    </w:p>
    <w:p w14:paraId="1159542C">
      <w:pPr>
        <w:keepLines w:val="0"/>
        <w:pageBreakBefore w:val="0"/>
        <w:widowControl/>
        <w:kinsoku/>
        <w:overflowPunct/>
        <w:topLinePunct w:val="0"/>
        <w:bidi w:val="0"/>
        <w:spacing w:line="400" w:lineRule="exact"/>
        <w:jc w:val="left"/>
        <w:rPr>
          <w:sz w:val="24"/>
        </w:rPr>
      </w:pPr>
    </w:p>
    <w:p w14:paraId="4992C739">
      <w:pPr>
        <w:keepLines w:val="0"/>
        <w:pageBreakBefore w:val="0"/>
        <w:widowControl/>
        <w:kinsoku/>
        <w:overflowPunct/>
        <w:topLinePunct w:val="0"/>
        <w:bidi w:val="0"/>
        <w:spacing w:line="400" w:lineRule="exact"/>
        <w:jc w:val="left"/>
        <w:rPr>
          <w:sz w:val="24"/>
        </w:rPr>
      </w:pPr>
    </w:p>
    <w:p w14:paraId="614520F8">
      <w:pPr>
        <w:keepLines w:val="0"/>
        <w:pageBreakBefore w:val="0"/>
        <w:widowControl/>
        <w:kinsoku/>
        <w:overflowPunct/>
        <w:topLinePunct w:val="0"/>
        <w:bidi w:val="0"/>
        <w:spacing w:line="400" w:lineRule="exact"/>
        <w:jc w:val="left"/>
        <w:rPr>
          <w:sz w:val="24"/>
        </w:rPr>
      </w:pPr>
    </w:p>
    <w:p w14:paraId="556616A3">
      <w:pPr>
        <w:keepLines w:val="0"/>
        <w:pageBreakBefore w:val="0"/>
        <w:widowControl/>
        <w:kinsoku/>
        <w:overflowPunct/>
        <w:topLinePunct w:val="0"/>
        <w:bidi w:val="0"/>
        <w:spacing w:line="400" w:lineRule="exact"/>
        <w:jc w:val="left"/>
        <w:rPr>
          <w:sz w:val="24"/>
        </w:rPr>
      </w:pPr>
    </w:p>
    <w:p w14:paraId="485243D4">
      <w:pPr>
        <w:keepLines w:val="0"/>
        <w:pageBreakBefore w:val="0"/>
        <w:widowControl/>
        <w:kinsoku/>
        <w:overflowPunct/>
        <w:topLinePunct w:val="0"/>
        <w:bidi w:val="0"/>
        <w:spacing w:line="400" w:lineRule="exact"/>
        <w:jc w:val="left"/>
        <w:rPr>
          <w:sz w:val="24"/>
        </w:rPr>
      </w:pPr>
    </w:p>
    <w:p w14:paraId="57D93B1E">
      <w:pPr>
        <w:keepLines w:val="0"/>
        <w:pageBreakBefore w:val="0"/>
        <w:widowControl/>
        <w:kinsoku/>
        <w:overflowPunct/>
        <w:topLinePunct w:val="0"/>
        <w:bidi w:val="0"/>
        <w:spacing w:line="400" w:lineRule="exact"/>
        <w:jc w:val="left"/>
        <w:rPr>
          <w:sz w:val="24"/>
        </w:rPr>
      </w:pPr>
    </w:p>
    <w:p w14:paraId="6571D0D0">
      <w:pPr>
        <w:keepLines w:val="0"/>
        <w:pageBreakBefore w:val="0"/>
        <w:widowControl/>
        <w:kinsoku/>
        <w:overflowPunct/>
        <w:topLinePunct w:val="0"/>
        <w:bidi w:val="0"/>
        <w:spacing w:line="400" w:lineRule="exact"/>
        <w:jc w:val="left"/>
        <w:rPr>
          <w:sz w:val="24"/>
        </w:rPr>
      </w:pPr>
    </w:p>
    <w:p w14:paraId="4D987FDF">
      <w:pPr>
        <w:keepLines w:val="0"/>
        <w:pageBreakBefore w:val="0"/>
        <w:widowControl/>
        <w:kinsoku/>
        <w:overflowPunct/>
        <w:topLinePunct w:val="0"/>
        <w:bidi w:val="0"/>
        <w:spacing w:line="400" w:lineRule="exact"/>
        <w:jc w:val="left"/>
        <w:rPr>
          <w:sz w:val="24"/>
        </w:rPr>
      </w:pPr>
    </w:p>
    <w:p w14:paraId="35ADD191">
      <w:pPr>
        <w:keepLines w:val="0"/>
        <w:pageBreakBefore w:val="0"/>
        <w:widowControl/>
        <w:kinsoku/>
        <w:overflowPunct/>
        <w:topLinePunct w:val="0"/>
        <w:bidi w:val="0"/>
        <w:spacing w:line="400" w:lineRule="exact"/>
        <w:jc w:val="left"/>
        <w:rPr>
          <w:sz w:val="24"/>
        </w:rPr>
      </w:pPr>
      <w:r>
        <w:rPr>
          <w:sz w:val="24"/>
        </w:rPr>
        <w:br w:type="page"/>
      </w:r>
    </w:p>
    <w:p w14:paraId="3D013859">
      <w:pPr>
        <w:keepLines w:val="0"/>
        <w:pageBreakBefore w:val="0"/>
        <w:kinsoku/>
        <w:overflowPunct/>
        <w:topLinePunct w:val="0"/>
        <w:bidi w:val="0"/>
        <w:spacing w:line="400" w:lineRule="exact"/>
        <w:jc w:val="center"/>
        <w:outlineLvl w:val="3"/>
        <w:rPr>
          <w:rFonts w:ascii="新宋体" w:hAnsi="新宋体" w:eastAsia="新宋体" w:cs="新宋体"/>
          <w:b/>
          <w:bCs/>
          <w:sz w:val="22"/>
          <w:szCs w:val="22"/>
        </w:rPr>
        <w:sectPr>
          <w:pgSz w:w="11907" w:h="16840"/>
          <w:pgMar w:top="1134" w:right="1134" w:bottom="1134" w:left="1134" w:header="851" w:footer="992" w:gutter="0"/>
          <w:pgNumType w:start="0"/>
          <w:cols w:space="720" w:num="1"/>
          <w:titlePg/>
          <w:docGrid w:linePitch="312" w:charSpace="0"/>
        </w:sectPr>
      </w:pPr>
    </w:p>
    <w:p w14:paraId="55FC64A7">
      <w:pPr>
        <w:keepLines w:val="0"/>
        <w:pageBreakBefore w:val="0"/>
        <w:kinsoku/>
        <w:overflowPunct/>
        <w:topLinePunct w:val="0"/>
        <w:bidi w:val="0"/>
        <w:adjustRightInd w:val="0"/>
        <w:spacing w:line="400" w:lineRule="exact"/>
        <w:rPr>
          <w:sz w:val="24"/>
        </w:rPr>
      </w:pPr>
      <w:r>
        <w:rPr>
          <w:rFonts w:hint="eastAsia"/>
          <w:sz w:val="24"/>
        </w:rPr>
        <w:t>附件三：</w:t>
      </w:r>
    </w:p>
    <w:p w14:paraId="53E1994C">
      <w:pPr>
        <w:keepLines w:val="0"/>
        <w:pageBreakBefore w:val="0"/>
        <w:kinsoku/>
        <w:overflowPunct/>
        <w:topLinePunct w:val="0"/>
        <w:bidi w:val="0"/>
        <w:adjustRightInd w:val="0"/>
        <w:snapToGrid w:val="0"/>
        <w:spacing w:line="400" w:lineRule="exact"/>
        <w:jc w:val="center"/>
        <w:rPr>
          <w:b/>
          <w:sz w:val="36"/>
          <w:szCs w:val="36"/>
        </w:rPr>
      </w:pPr>
      <w:r>
        <w:rPr>
          <w:b/>
          <w:sz w:val="36"/>
          <w:szCs w:val="36"/>
        </w:rPr>
        <w:t>采购要求响应表</w:t>
      </w:r>
    </w:p>
    <w:p w14:paraId="199B3F65">
      <w:pPr>
        <w:keepLines w:val="0"/>
        <w:pageBreakBefore w:val="0"/>
        <w:kinsoku/>
        <w:overflowPunct/>
        <w:topLinePunct w:val="0"/>
        <w:bidi w:val="0"/>
        <w:adjustRightInd w:val="0"/>
        <w:spacing w:line="400" w:lineRule="exact"/>
        <w:rPr>
          <w:spacing w:val="20"/>
          <w:sz w:val="24"/>
        </w:rPr>
      </w:pPr>
      <w:r>
        <w:rPr>
          <w:sz w:val="24"/>
        </w:rPr>
        <w:t>项目名称：</w:t>
      </w:r>
      <w:r>
        <w:rPr>
          <w:sz w:val="24"/>
          <w:u w:val="single"/>
        </w:rPr>
        <w:t xml:space="preserve">                        </w:t>
      </w:r>
    </w:p>
    <w:tbl>
      <w:tblPr>
        <w:tblStyle w:val="16"/>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0"/>
        <w:gridCol w:w="3659"/>
        <w:gridCol w:w="3539"/>
        <w:gridCol w:w="1220"/>
      </w:tblGrid>
      <w:tr w14:paraId="4F6AF2F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4AB03C3C">
            <w:pPr>
              <w:keepLines w:val="0"/>
              <w:pageBreakBefore w:val="0"/>
              <w:kinsoku/>
              <w:overflowPunct/>
              <w:topLinePunct w:val="0"/>
              <w:bidi w:val="0"/>
              <w:adjustRightInd w:val="0"/>
              <w:spacing w:line="400" w:lineRule="exact"/>
              <w:jc w:val="center"/>
              <w:rPr>
                <w:sz w:val="24"/>
              </w:rPr>
            </w:pPr>
            <w:r>
              <w:rPr>
                <w:sz w:val="24"/>
              </w:rPr>
              <w:t>序号</w:t>
            </w:r>
          </w:p>
        </w:tc>
        <w:tc>
          <w:tcPr>
            <w:tcW w:w="3659" w:type="dxa"/>
            <w:tcBorders>
              <w:top w:val="single" w:color="auto" w:sz="4" w:space="0"/>
              <w:left w:val="single" w:color="auto" w:sz="4" w:space="0"/>
              <w:bottom w:val="single" w:color="auto" w:sz="4" w:space="0"/>
              <w:right w:val="single" w:color="auto" w:sz="4" w:space="0"/>
            </w:tcBorders>
            <w:vAlign w:val="center"/>
          </w:tcPr>
          <w:p w14:paraId="3DDFBF4F">
            <w:pPr>
              <w:keepLines w:val="0"/>
              <w:pageBreakBefore w:val="0"/>
              <w:kinsoku/>
              <w:overflowPunct/>
              <w:topLinePunct w:val="0"/>
              <w:bidi w:val="0"/>
              <w:adjustRightInd w:val="0"/>
              <w:spacing w:line="400" w:lineRule="exact"/>
              <w:jc w:val="center"/>
              <w:rPr>
                <w:sz w:val="24"/>
              </w:rPr>
            </w:pPr>
            <w:r>
              <w:rPr>
                <w:rFonts w:hint="eastAsia"/>
                <w:sz w:val="24"/>
              </w:rPr>
              <w:t>比选</w:t>
            </w:r>
            <w:r>
              <w:rPr>
                <w:sz w:val="24"/>
              </w:rPr>
              <w:t>文件要求</w:t>
            </w:r>
          </w:p>
        </w:tc>
        <w:tc>
          <w:tcPr>
            <w:tcW w:w="3539" w:type="dxa"/>
            <w:tcBorders>
              <w:top w:val="single" w:color="auto" w:sz="4" w:space="0"/>
              <w:left w:val="single" w:color="auto" w:sz="4" w:space="0"/>
              <w:bottom w:val="single" w:color="auto" w:sz="4" w:space="0"/>
              <w:right w:val="single" w:color="auto" w:sz="4" w:space="0"/>
            </w:tcBorders>
            <w:vAlign w:val="center"/>
          </w:tcPr>
          <w:p w14:paraId="71DE0440">
            <w:pPr>
              <w:keepLines w:val="0"/>
              <w:pageBreakBefore w:val="0"/>
              <w:kinsoku/>
              <w:overflowPunct/>
              <w:topLinePunct w:val="0"/>
              <w:bidi w:val="0"/>
              <w:adjustRightInd w:val="0"/>
              <w:spacing w:line="400" w:lineRule="exact"/>
              <w:jc w:val="center"/>
              <w:rPr>
                <w:sz w:val="24"/>
              </w:rPr>
            </w:pPr>
            <w:r>
              <w:rPr>
                <w:sz w:val="24"/>
              </w:rPr>
              <w:t>投标文件响应</w:t>
            </w:r>
          </w:p>
        </w:tc>
        <w:tc>
          <w:tcPr>
            <w:tcW w:w="1220" w:type="dxa"/>
            <w:tcBorders>
              <w:top w:val="single" w:color="auto" w:sz="4" w:space="0"/>
              <w:left w:val="single" w:color="auto" w:sz="4" w:space="0"/>
              <w:bottom w:val="single" w:color="auto" w:sz="4" w:space="0"/>
              <w:right w:val="single" w:color="auto" w:sz="4" w:space="0"/>
            </w:tcBorders>
            <w:vAlign w:val="center"/>
          </w:tcPr>
          <w:p w14:paraId="379DAEC7">
            <w:pPr>
              <w:keepLines w:val="0"/>
              <w:pageBreakBefore w:val="0"/>
              <w:kinsoku/>
              <w:overflowPunct/>
              <w:topLinePunct w:val="0"/>
              <w:bidi w:val="0"/>
              <w:adjustRightInd w:val="0"/>
              <w:spacing w:line="400" w:lineRule="exact"/>
              <w:jc w:val="center"/>
              <w:rPr>
                <w:sz w:val="24"/>
              </w:rPr>
            </w:pPr>
            <w:r>
              <w:rPr>
                <w:sz w:val="24"/>
              </w:rPr>
              <w:t>偏离情况</w:t>
            </w:r>
          </w:p>
        </w:tc>
      </w:tr>
      <w:tr w14:paraId="0CBA3D4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2042D8F4">
            <w:pPr>
              <w:keepLines w:val="0"/>
              <w:pageBreakBefore w:val="0"/>
              <w:kinsoku/>
              <w:overflowPunct/>
              <w:topLinePunct w:val="0"/>
              <w:bidi w:val="0"/>
              <w:adjustRightInd w:val="0"/>
              <w:spacing w:line="400" w:lineRule="exact"/>
              <w:jc w:val="center"/>
              <w:rPr>
                <w:sz w:val="24"/>
              </w:rPr>
            </w:pPr>
          </w:p>
        </w:tc>
        <w:tc>
          <w:tcPr>
            <w:tcW w:w="3659" w:type="dxa"/>
            <w:tcBorders>
              <w:top w:val="single" w:color="auto" w:sz="4" w:space="0"/>
              <w:left w:val="single" w:color="auto" w:sz="4" w:space="0"/>
              <w:bottom w:val="single" w:color="auto" w:sz="4" w:space="0"/>
              <w:right w:val="single" w:color="auto" w:sz="4" w:space="0"/>
            </w:tcBorders>
            <w:vAlign w:val="center"/>
          </w:tcPr>
          <w:p w14:paraId="52B2D793">
            <w:pPr>
              <w:keepLines w:val="0"/>
              <w:pageBreakBefore w:val="0"/>
              <w:kinsoku/>
              <w:overflowPunct/>
              <w:topLinePunct w:val="0"/>
              <w:bidi w:val="0"/>
              <w:adjustRightInd w:val="0"/>
              <w:spacing w:line="400" w:lineRule="exact"/>
              <w:jc w:val="center"/>
              <w:rPr>
                <w:sz w:val="24"/>
              </w:rPr>
            </w:pPr>
          </w:p>
        </w:tc>
        <w:tc>
          <w:tcPr>
            <w:tcW w:w="3539" w:type="dxa"/>
            <w:tcBorders>
              <w:top w:val="single" w:color="auto" w:sz="4" w:space="0"/>
              <w:left w:val="single" w:color="auto" w:sz="4" w:space="0"/>
              <w:bottom w:val="single" w:color="auto" w:sz="4" w:space="0"/>
              <w:right w:val="single" w:color="auto" w:sz="4" w:space="0"/>
            </w:tcBorders>
            <w:vAlign w:val="center"/>
          </w:tcPr>
          <w:p w14:paraId="2493E38F">
            <w:pPr>
              <w:keepLines w:val="0"/>
              <w:pageBreakBefore w:val="0"/>
              <w:kinsoku/>
              <w:overflowPunct/>
              <w:topLinePunct w:val="0"/>
              <w:bidi w:val="0"/>
              <w:adjustRightInd w:val="0"/>
              <w:spacing w:line="400" w:lineRule="exact"/>
              <w:jc w:val="center"/>
              <w:rPr>
                <w:sz w:val="24"/>
              </w:rPr>
            </w:pPr>
          </w:p>
        </w:tc>
        <w:tc>
          <w:tcPr>
            <w:tcW w:w="1220" w:type="dxa"/>
            <w:tcBorders>
              <w:top w:val="single" w:color="auto" w:sz="4" w:space="0"/>
              <w:left w:val="single" w:color="auto" w:sz="4" w:space="0"/>
              <w:bottom w:val="single" w:color="auto" w:sz="4" w:space="0"/>
              <w:right w:val="single" w:color="auto" w:sz="4" w:space="0"/>
            </w:tcBorders>
            <w:vAlign w:val="center"/>
          </w:tcPr>
          <w:p w14:paraId="0A602772">
            <w:pPr>
              <w:keepLines w:val="0"/>
              <w:pageBreakBefore w:val="0"/>
              <w:kinsoku/>
              <w:overflowPunct/>
              <w:topLinePunct w:val="0"/>
              <w:bidi w:val="0"/>
              <w:adjustRightInd w:val="0"/>
              <w:spacing w:line="400" w:lineRule="exact"/>
              <w:jc w:val="center"/>
              <w:rPr>
                <w:sz w:val="24"/>
              </w:rPr>
            </w:pPr>
          </w:p>
        </w:tc>
      </w:tr>
      <w:tr w14:paraId="65EA4FA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043DB21">
            <w:pPr>
              <w:keepLines w:val="0"/>
              <w:pageBreakBefore w:val="0"/>
              <w:kinsoku/>
              <w:overflowPunct/>
              <w:topLinePunct w:val="0"/>
              <w:bidi w:val="0"/>
              <w:adjustRightInd w:val="0"/>
              <w:spacing w:line="400" w:lineRule="exact"/>
              <w:jc w:val="center"/>
              <w:rPr>
                <w:sz w:val="24"/>
              </w:rPr>
            </w:pPr>
          </w:p>
        </w:tc>
        <w:tc>
          <w:tcPr>
            <w:tcW w:w="3659" w:type="dxa"/>
            <w:tcBorders>
              <w:top w:val="single" w:color="auto" w:sz="4" w:space="0"/>
              <w:left w:val="single" w:color="auto" w:sz="4" w:space="0"/>
              <w:bottom w:val="single" w:color="auto" w:sz="4" w:space="0"/>
              <w:right w:val="single" w:color="auto" w:sz="4" w:space="0"/>
            </w:tcBorders>
            <w:vAlign w:val="center"/>
          </w:tcPr>
          <w:p w14:paraId="4DCAE05C">
            <w:pPr>
              <w:keepLines w:val="0"/>
              <w:pageBreakBefore w:val="0"/>
              <w:kinsoku/>
              <w:overflowPunct/>
              <w:topLinePunct w:val="0"/>
              <w:bidi w:val="0"/>
              <w:adjustRightInd w:val="0"/>
              <w:spacing w:line="400" w:lineRule="exact"/>
              <w:jc w:val="center"/>
              <w:rPr>
                <w:sz w:val="24"/>
              </w:rPr>
            </w:pPr>
          </w:p>
        </w:tc>
        <w:tc>
          <w:tcPr>
            <w:tcW w:w="3539" w:type="dxa"/>
            <w:tcBorders>
              <w:top w:val="single" w:color="auto" w:sz="4" w:space="0"/>
              <w:left w:val="single" w:color="auto" w:sz="4" w:space="0"/>
              <w:bottom w:val="single" w:color="auto" w:sz="4" w:space="0"/>
              <w:right w:val="single" w:color="auto" w:sz="4" w:space="0"/>
            </w:tcBorders>
            <w:vAlign w:val="center"/>
          </w:tcPr>
          <w:p w14:paraId="71F79181">
            <w:pPr>
              <w:keepLines w:val="0"/>
              <w:pageBreakBefore w:val="0"/>
              <w:kinsoku/>
              <w:overflowPunct/>
              <w:topLinePunct w:val="0"/>
              <w:bidi w:val="0"/>
              <w:adjustRightInd w:val="0"/>
              <w:spacing w:line="400" w:lineRule="exact"/>
              <w:jc w:val="center"/>
              <w:rPr>
                <w:sz w:val="24"/>
              </w:rPr>
            </w:pPr>
          </w:p>
        </w:tc>
        <w:tc>
          <w:tcPr>
            <w:tcW w:w="1220" w:type="dxa"/>
            <w:tcBorders>
              <w:top w:val="single" w:color="auto" w:sz="4" w:space="0"/>
              <w:left w:val="single" w:color="auto" w:sz="4" w:space="0"/>
              <w:bottom w:val="single" w:color="auto" w:sz="4" w:space="0"/>
              <w:right w:val="single" w:color="auto" w:sz="4" w:space="0"/>
            </w:tcBorders>
            <w:vAlign w:val="center"/>
          </w:tcPr>
          <w:p w14:paraId="76E1A569">
            <w:pPr>
              <w:keepLines w:val="0"/>
              <w:pageBreakBefore w:val="0"/>
              <w:kinsoku/>
              <w:overflowPunct/>
              <w:topLinePunct w:val="0"/>
              <w:bidi w:val="0"/>
              <w:adjustRightInd w:val="0"/>
              <w:spacing w:line="400" w:lineRule="exact"/>
              <w:jc w:val="center"/>
              <w:rPr>
                <w:sz w:val="24"/>
              </w:rPr>
            </w:pPr>
          </w:p>
        </w:tc>
      </w:tr>
      <w:tr w14:paraId="640E300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48CD4239">
            <w:pPr>
              <w:keepLines w:val="0"/>
              <w:pageBreakBefore w:val="0"/>
              <w:kinsoku/>
              <w:overflowPunct/>
              <w:topLinePunct w:val="0"/>
              <w:bidi w:val="0"/>
              <w:adjustRightInd w:val="0"/>
              <w:spacing w:line="400" w:lineRule="exact"/>
              <w:jc w:val="center"/>
              <w:rPr>
                <w:sz w:val="24"/>
              </w:rPr>
            </w:pPr>
          </w:p>
        </w:tc>
        <w:tc>
          <w:tcPr>
            <w:tcW w:w="3659" w:type="dxa"/>
            <w:tcBorders>
              <w:top w:val="single" w:color="auto" w:sz="4" w:space="0"/>
              <w:left w:val="single" w:color="auto" w:sz="4" w:space="0"/>
              <w:bottom w:val="single" w:color="auto" w:sz="4" w:space="0"/>
              <w:right w:val="single" w:color="auto" w:sz="4" w:space="0"/>
            </w:tcBorders>
            <w:vAlign w:val="center"/>
          </w:tcPr>
          <w:p w14:paraId="2A777258">
            <w:pPr>
              <w:keepLines w:val="0"/>
              <w:pageBreakBefore w:val="0"/>
              <w:kinsoku/>
              <w:overflowPunct/>
              <w:topLinePunct w:val="0"/>
              <w:bidi w:val="0"/>
              <w:adjustRightInd w:val="0"/>
              <w:spacing w:line="400" w:lineRule="exact"/>
              <w:jc w:val="center"/>
              <w:rPr>
                <w:sz w:val="24"/>
              </w:rPr>
            </w:pPr>
          </w:p>
        </w:tc>
        <w:tc>
          <w:tcPr>
            <w:tcW w:w="3539" w:type="dxa"/>
            <w:tcBorders>
              <w:top w:val="single" w:color="auto" w:sz="4" w:space="0"/>
              <w:left w:val="single" w:color="auto" w:sz="4" w:space="0"/>
              <w:bottom w:val="single" w:color="auto" w:sz="4" w:space="0"/>
              <w:right w:val="single" w:color="auto" w:sz="4" w:space="0"/>
            </w:tcBorders>
            <w:vAlign w:val="center"/>
          </w:tcPr>
          <w:p w14:paraId="64782DE5">
            <w:pPr>
              <w:keepLines w:val="0"/>
              <w:pageBreakBefore w:val="0"/>
              <w:kinsoku/>
              <w:overflowPunct/>
              <w:topLinePunct w:val="0"/>
              <w:bidi w:val="0"/>
              <w:adjustRightInd w:val="0"/>
              <w:spacing w:line="400" w:lineRule="exact"/>
              <w:jc w:val="center"/>
              <w:rPr>
                <w:sz w:val="24"/>
              </w:rPr>
            </w:pPr>
          </w:p>
        </w:tc>
        <w:tc>
          <w:tcPr>
            <w:tcW w:w="1220" w:type="dxa"/>
            <w:tcBorders>
              <w:top w:val="single" w:color="auto" w:sz="4" w:space="0"/>
              <w:left w:val="single" w:color="auto" w:sz="4" w:space="0"/>
              <w:bottom w:val="single" w:color="auto" w:sz="4" w:space="0"/>
              <w:right w:val="single" w:color="auto" w:sz="4" w:space="0"/>
            </w:tcBorders>
            <w:vAlign w:val="center"/>
          </w:tcPr>
          <w:p w14:paraId="6C581BF5">
            <w:pPr>
              <w:keepLines w:val="0"/>
              <w:pageBreakBefore w:val="0"/>
              <w:kinsoku/>
              <w:overflowPunct/>
              <w:topLinePunct w:val="0"/>
              <w:bidi w:val="0"/>
              <w:adjustRightInd w:val="0"/>
              <w:spacing w:line="400" w:lineRule="exact"/>
              <w:jc w:val="center"/>
              <w:rPr>
                <w:sz w:val="24"/>
              </w:rPr>
            </w:pPr>
          </w:p>
        </w:tc>
      </w:tr>
      <w:tr w14:paraId="2AABBE3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240BC827">
            <w:pPr>
              <w:keepLines w:val="0"/>
              <w:pageBreakBefore w:val="0"/>
              <w:kinsoku/>
              <w:overflowPunct/>
              <w:topLinePunct w:val="0"/>
              <w:bidi w:val="0"/>
              <w:adjustRightInd w:val="0"/>
              <w:spacing w:line="400" w:lineRule="exact"/>
              <w:jc w:val="center"/>
              <w:rPr>
                <w:sz w:val="24"/>
              </w:rPr>
            </w:pPr>
          </w:p>
        </w:tc>
        <w:tc>
          <w:tcPr>
            <w:tcW w:w="3659" w:type="dxa"/>
            <w:tcBorders>
              <w:top w:val="single" w:color="auto" w:sz="4" w:space="0"/>
              <w:left w:val="single" w:color="auto" w:sz="4" w:space="0"/>
              <w:bottom w:val="single" w:color="auto" w:sz="4" w:space="0"/>
              <w:right w:val="single" w:color="auto" w:sz="4" w:space="0"/>
            </w:tcBorders>
            <w:vAlign w:val="center"/>
          </w:tcPr>
          <w:p w14:paraId="2CCCE19C">
            <w:pPr>
              <w:keepLines w:val="0"/>
              <w:pageBreakBefore w:val="0"/>
              <w:kinsoku/>
              <w:overflowPunct/>
              <w:topLinePunct w:val="0"/>
              <w:bidi w:val="0"/>
              <w:adjustRightInd w:val="0"/>
              <w:spacing w:line="400" w:lineRule="exact"/>
              <w:jc w:val="center"/>
              <w:rPr>
                <w:sz w:val="24"/>
              </w:rPr>
            </w:pPr>
          </w:p>
        </w:tc>
        <w:tc>
          <w:tcPr>
            <w:tcW w:w="3539" w:type="dxa"/>
            <w:tcBorders>
              <w:top w:val="single" w:color="auto" w:sz="4" w:space="0"/>
              <w:left w:val="single" w:color="auto" w:sz="4" w:space="0"/>
              <w:bottom w:val="single" w:color="auto" w:sz="4" w:space="0"/>
              <w:right w:val="single" w:color="auto" w:sz="4" w:space="0"/>
            </w:tcBorders>
            <w:vAlign w:val="center"/>
          </w:tcPr>
          <w:p w14:paraId="3F74772A">
            <w:pPr>
              <w:keepLines w:val="0"/>
              <w:pageBreakBefore w:val="0"/>
              <w:kinsoku/>
              <w:overflowPunct/>
              <w:topLinePunct w:val="0"/>
              <w:bidi w:val="0"/>
              <w:adjustRightInd w:val="0"/>
              <w:spacing w:line="400" w:lineRule="exact"/>
              <w:jc w:val="center"/>
              <w:rPr>
                <w:sz w:val="24"/>
              </w:rPr>
            </w:pPr>
          </w:p>
        </w:tc>
        <w:tc>
          <w:tcPr>
            <w:tcW w:w="1220" w:type="dxa"/>
            <w:tcBorders>
              <w:top w:val="single" w:color="auto" w:sz="4" w:space="0"/>
              <w:left w:val="single" w:color="auto" w:sz="4" w:space="0"/>
              <w:bottom w:val="single" w:color="auto" w:sz="4" w:space="0"/>
              <w:right w:val="single" w:color="auto" w:sz="4" w:space="0"/>
            </w:tcBorders>
            <w:vAlign w:val="center"/>
          </w:tcPr>
          <w:p w14:paraId="3B003C96">
            <w:pPr>
              <w:keepLines w:val="0"/>
              <w:pageBreakBefore w:val="0"/>
              <w:kinsoku/>
              <w:overflowPunct/>
              <w:topLinePunct w:val="0"/>
              <w:bidi w:val="0"/>
              <w:adjustRightInd w:val="0"/>
              <w:spacing w:line="400" w:lineRule="exact"/>
              <w:jc w:val="center"/>
              <w:rPr>
                <w:sz w:val="24"/>
              </w:rPr>
            </w:pPr>
          </w:p>
        </w:tc>
      </w:tr>
      <w:tr w14:paraId="3A37920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5EAF4F9B">
            <w:pPr>
              <w:keepLines w:val="0"/>
              <w:pageBreakBefore w:val="0"/>
              <w:kinsoku/>
              <w:overflowPunct/>
              <w:topLinePunct w:val="0"/>
              <w:bidi w:val="0"/>
              <w:adjustRightInd w:val="0"/>
              <w:spacing w:line="400" w:lineRule="exact"/>
              <w:jc w:val="center"/>
              <w:rPr>
                <w:sz w:val="24"/>
              </w:rPr>
            </w:pPr>
          </w:p>
        </w:tc>
        <w:tc>
          <w:tcPr>
            <w:tcW w:w="3659" w:type="dxa"/>
            <w:tcBorders>
              <w:top w:val="single" w:color="auto" w:sz="4" w:space="0"/>
              <w:left w:val="single" w:color="auto" w:sz="4" w:space="0"/>
              <w:bottom w:val="single" w:color="auto" w:sz="4" w:space="0"/>
              <w:right w:val="single" w:color="auto" w:sz="4" w:space="0"/>
            </w:tcBorders>
            <w:vAlign w:val="center"/>
          </w:tcPr>
          <w:p w14:paraId="4482B0BC">
            <w:pPr>
              <w:keepLines w:val="0"/>
              <w:pageBreakBefore w:val="0"/>
              <w:kinsoku/>
              <w:overflowPunct/>
              <w:topLinePunct w:val="0"/>
              <w:bidi w:val="0"/>
              <w:adjustRightInd w:val="0"/>
              <w:spacing w:line="400" w:lineRule="exact"/>
              <w:jc w:val="center"/>
              <w:rPr>
                <w:sz w:val="24"/>
              </w:rPr>
            </w:pPr>
          </w:p>
        </w:tc>
        <w:tc>
          <w:tcPr>
            <w:tcW w:w="3539" w:type="dxa"/>
            <w:tcBorders>
              <w:top w:val="single" w:color="auto" w:sz="4" w:space="0"/>
              <w:left w:val="single" w:color="auto" w:sz="4" w:space="0"/>
              <w:bottom w:val="single" w:color="auto" w:sz="4" w:space="0"/>
              <w:right w:val="single" w:color="auto" w:sz="4" w:space="0"/>
            </w:tcBorders>
            <w:vAlign w:val="center"/>
          </w:tcPr>
          <w:p w14:paraId="38B2591A">
            <w:pPr>
              <w:keepLines w:val="0"/>
              <w:pageBreakBefore w:val="0"/>
              <w:kinsoku/>
              <w:overflowPunct/>
              <w:topLinePunct w:val="0"/>
              <w:bidi w:val="0"/>
              <w:adjustRightInd w:val="0"/>
              <w:spacing w:line="400" w:lineRule="exact"/>
              <w:jc w:val="center"/>
              <w:rPr>
                <w:sz w:val="24"/>
              </w:rPr>
            </w:pPr>
          </w:p>
        </w:tc>
        <w:tc>
          <w:tcPr>
            <w:tcW w:w="1220" w:type="dxa"/>
            <w:tcBorders>
              <w:top w:val="single" w:color="auto" w:sz="4" w:space="0"/>
              <w:left w:val="single" w:color="auto" w:sz="4" w:space="0"/>
              <w:bottom w:val="single" w:color="auto" w:sz="4" w:space="0"/>
              <w:right w:val="single" w:color="auto" w:sz="4" w:space="0"/>
            </w:tcBorders>
            <w:vAlign w:val="center"/>
          </w:tcPr>
          <w:p w14:paraId="4F5A5072">
            <w:pPr>
              <w:keepLines w:val="0"/>
              <w:pageBreakBefore w:val="0"/>
              <w:kinsoku/>
              <w:overflowPunct/>
              <w:topLinePunct w:val="0"/>
              <w:bidi w:val="0"/>
              <w:adjustRightInd w:val="0"/>
              <w:spacing w:line="400" w:lineRule="exact"/>
              <w:jc w:val="center"/>
              <w:rPr>
                <w:sz w:val="24"/>
              </w:rPr>
            </w:pPr>
          </w:p>
        </w:tc>
      </w:tr>
      <w:tr w14:paraId="2FC175C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77A293F8">
            <w:pPr>
              <w:keepLines w:val="0"/>
              <w:pageBreakBefore w:val="0"/>
              <w:kinsoku/>
              <w:overflowPunct/>
              <w:topLinePunct w:val="0"/>
              <w:bidi w:val="0"/>
              <w:adjustRightInd w:val="0"/>
              <w:spacing w:line="400" w:lineRule="exact"/>
              <w:jc w:val="center"/>
              <w:rPr>
                <w:sz w:val="24"/>
              </w:rPr>
            </w:pPr>
          </w:p>
        </w:tc>
        <w:tc>
          <w:tcPr>
            <w:tcW w:w="3659" w:type="dxa"/>
            <w:tcBorders>
              <w:top w:val="single" w:color="auto" w:sz="4" w:space="0"/>
              <w:left w:val="single" w:color="auto" w:sz="4" w:space="0"/>
              <w:bottom w:val="single" w:color="auto" w:sz="4" w:space="0"/>
              <w:right w:val="single" w:color="auto" w:sz="4" w:space="0"/>
            </w:tcBorders>
            <w:vAlign w:val="center"/>
          </w:tcPr>
          <w:p w14:paraId="57C63642">
            <w:pPr>
              <w:keepLines w:val="0"/>
              <w:pageBreakBefore w:val="0"/>
              <w:kinsoku/>
              <w:overflowPunct/>
              <w:topLinePunct w:val="0"/>
              <w:bidi w:val="0"/>
              <w:adjustRightInd w:val="0"/>
              <w:spacing w:line="400" w:lineRule="exact"/>
              <w:jc w:val="center"/>
              <w:rPr>
                <w:sz w:val="24"/>
              </w:rPr>
            </w:pPr>
          </w:p>
        </w:tc>
        <w:tc>
          <w:tcPr>
            <w:tcW w:w="3539" w:type="dxa"/>
            <w:tcBorders>
              <w:top w:val="single" w:color="auto" w:sz="4" w:space="0"/>
              <w:left w:val="single" w:color="auto" w:sz="4" w:space="0"/>
              <w:bottom w:val="single" w:color="auto" w:sz="4" w:space="0"/>
              <w:right w:val="single" w:color="auto" w:sz="4" w:space="0"/>
            </w:tcBorders>
            <w:vAlign w:val="center"/>
          </w:tcPr>
          <w:p w14:paraId="4A8F6B61">
            <w:pPr>
              <w:keepLines w:val="0"/>
              <w:pageBreakBefore w:val="0"/>
              <w:kinsoku/>
              <w:overflowPunct/>
              <w:topLinePunct w:val="0"/>
              <w:bidi w:val="0"/>
              <w:adjustRightInd w:val="0"/>
              <w:spacing w:line="400" w:lineRule="exact"/>
              <w:jc w:val="center"/>
              <w:rPr>
                <w:sz w:val="24"/>
              </w:rPr>
            </w:pPr>
          </w:p>
        </w:tc>
        <w:tc>
          <w:tcPr>
            <w:tcW w:w="1220" w:type="dxa"/>
            <w:tcBorders>
              <w:top w:val="single" w:color="auto" w:sz="4" w:space="0"/>
              <w:left w:val="single" w:color="auto" w:sz="4" w:space="0"/>
              <w:bottom w:val="single" w:color="auto" w:sz="4" w:space="0"/>
              <w:right w:val="single" w:color="auto" w:sz="4" w:space="0"/>
            </w:tcBorders>
            <w:vAlign w:val="center"/>
          </w:tcPr>
          <w:p w14:paraId="308B8594">
            <w:pPr>
              <w:keepLines w:val="0"/>
              <w:pageBreakBefore w:val="0"/>
              <w:kinsoku/>
              <w:overflowPunct/>
              <w:topLinePunct w:val="0"/>
              <w:bidi w:val="0"/>
              <w:adjustRightInd w:val="0"/>
              <w:spacing w:line="400" w:lineRule="exact"/>
              <w:jc w:val="center"/>
              <w:rPr>
                <w:sz w:val="24"/>
              </w:rPr>
            </w:pPr>
          </w:p>
        </w:tc>
      </w:tr>
      <w:tr w14:paraId="0647360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15B5574">
            <w:pPr>
              <w:keepLines w:val="0"/>
              <w:pageBreakBefore w:val="0"/>
              <w:kinsoku/>
              <w:overflowPunct/>
              <w:topLinePunct w:val="0"/>
              <w:bidi w:val="0"/>
              <w:adjustRightInd w:val="0"/>
              <w:spacing w:line="400" w:lineRule="exact"/>
              <w:jc w:val="center"/>
              <w:rPr>
                <w:sz w:val="24"/>
              </w:rPr>
            </w:pPr>
          </w:p>
        </w:tc>
        <w:tc>
          <w:tcPr>
            <w:tcW w:w="3659" w:type="dxa"/>
            <w:tcBorders>
              <w:top w:val="single" w:color="auto" w:sz="4" w:space="0"/>
              <w:left w:val="single" w:color="auto" w:sz="4" w:space="0"/>
              <w:bottom w:val="single" w:color="auto" w:sz="4" w:space="0"/>
              <w:right w:val="single" w:color="auto" w:sz="4" w:space="0"/>
            </w:tcBorders>
            <w:vAlign w:val="center"/>
          </w:tcPr>
          <w:p w14:paraId="6B96884F">
            <w:pPr>
              <w:keepLines w:val="0"/>
              <w:pageBreakBefore w:val="0"/>
              <w:kinsoku/>
              <w:overflowPunct/>
              <w:topLinePunct w:val="0"/>
              <w:bidi w:val="0"/>
              <w:adjustRightInd w:val="0"/>
              <w:spacing w:line="400" w:lineRule="exact"/>
              <w:jc w:val="center"/>
              <w:rPr>
                <w:sz w:val="24"/>
              </w:rPr>
            </w:pPr>
          </w:p>
        </w:tc>
        <w:tc>
          <w:tcPr>
            <w:tcW w:w="3539" w:type="dxa"/>
            <w:tcBorders>
              <w:top w:val="single" w:color="auto" w:sz="4" w:space="0"/>
              <w:left w:val="single" w:color="auto" w:sz="4" w:space="0"/>
              <w:bottom w:val="single" w:color="auto" w:sz="4" w:space="0"/>
              <w:right w:val="single" w:color="auto" w:sz="4" w:space="0"/>
            </w:tcBorders>
            <w:vAlign w:val="center"/>
          </w:tcPr>
          <w:p w14:paraId="1B3A290A">
            <w:pPr>
              <w:keepLines w:val="0"/>
              <w:pageBreakBefore w:val="0"/>
              <w:kinsoku/>
              <w:overflowPunct/>
              <w:topLinePunct w:val="0"/>
              <w:bidi w:val="0"/>
              <w:adjustRightInd w:val="0"/>
              <w:spacing w:line="400" w:lineRule="exact"/>
              <w:jc w:val="center"/>
              <w:rPr>
                <w:sz w:val="24"/>
              </w:rPr>
            </w:pPr>
          </w:p>
        </w:tc>
        <w:tc>
          <w:tcPr>
            <w:tcW w:w="1220" w:type="dxa"/>
            <w:tcBorders>
              <w:top w:val="single" w:color="auto" w:sz="4" w:space="0"/>
              <w:left w:val="single" w:color="auto" w:sz="4" w:space="0"/>
              <w:bottom w:val="single" w:color="auto" w:sz="4" w:space="0"/>
              <w:right w:val="single" w:color="auto" w:sz="4" w:space="0"/>
            </w:tcBorders>
            <w:vAlign w:val="center"/>
          </w:tcPr>
          <w:p w14:paraId="35D95B4B">
            <w:pPr>
              <w:keepLines w:val="0"/>
              <w:pageBreakBefore w:val="0"/>
              <w:kinsoku/>
              <w:overflowPunct/>
              <w:topLinePunct w:val="0"/>
              <w:bidi w:val="0"/>
              <w:adjustRightInd w:val="0"/>
              <w:spacing w:line="400" w:lineRule="exact"/>
              <w:jc w:val="center"/>
              <w:rPr>
                <w:sz w:val="24"/>
              </w:rPr>
            </w:pPr>
          </w:p>
        </w:tc>
      </w:tr>
      <w:tr w14:paraId="4EFCD4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58F2DB7">
            <w:pPr>
              <w:keepLines w:val="0"/>
              <w:pageBreakBefore w:val="0"/>
              <w:kinsoku/>
              <w:overflowPunct/>
              <w:topLinePunct w:val="0"/>
              <w:bidi w:val="0"/>
              <w:adjustRightInd w:val="0"/>
              <w:spacing w:line="400" w:lineRule="exact"/>
              <w:jc w:val="center"/>
              <w:rPr>
                <w:sz w:val="24"/>
              </w:rPr>
            </w:pPr>
          </w:p>
        </w:tc>
        <w:tc>
          <w:tcPr>
            <w:tcW w:w="3659" w:type="dxa"/>
            <w:tcBorders>
              <w:top w:val="single" w:color="auto" w:sz="4" w:space="0"/>
              <w:left w:val="single" w:color="auto" w:sz="4" w:space="0"/>
              <w:bottom w:val="single" w:color="auto" w:sz="4" w:space="0"/>
              <w:right w:val="single" w:color="auto" w:sz="4" w:space="0"/>
            </w:tcBorders>
            <w:vAlign w:val="center"/>
          </w:tcPr>
          <w:p w14:paraId="18890CDC">
            <w:pPr>
              <w:keepLines w:val="0"/>
              <w:pageBreakBefore w:val="0"/>
              <w:kinsoku/>
              <w:overflowPunct/>
              <w:topLinePunct w:val="0"/>
              <w:bidi w:val="0"/>
              <w:adjustRightInd w:val="0"/>
              <w:spacing w:line="400" w:lineRule="exact"/>
              <w:jc w:val="center"/>
              <w:rPr>
                <w:sz w:val="24"/>
              </w:rPr>
            </w:pPr>
          </w:p>
        </w:tc>
        <w:tc>
          <w:tcPr>
            <w:tcW w:w="3539" w:type="dxa"/>
            <w:tcBorders>
              <w:top w:val="single" w:color="auto" w:sz="4" w:space="0"/>
              <w:left w:val="single" w:color="auto" w:sz="4" w:space="0"/>
              <w:bottom w:val="single" w:color="auto" w:sz="4" w:space="0"/>
              <w:right w:val="single" w:color="auto" w:sz="4" w:space="0"/>
            </w:tcBorders>
            <w:vAlign w:val="center"/>
          </w:tcPr>
          <w:p w14:paraId="7E84C614">
            <w:pPr>
              <w:keepLines w:val="0"/>
              <w:pageBreakBefore w:val="0"/>
              <w:kinsoku/>
              <w:overflowPunct/>
              <w:topLinePunct w:val="0"/>
              <w:bidi w:val="0"/>
              <w:adjustRightInd w:val="0"/>
              <w:spacing w:line="400" w:lineRule="exact"/>
              <w:jc w:val="center"/>
              <w:rPr>
                <w:sz w:val="24"/>
              </w:rPr>
            </w:pPr>
          </w:p>
        </w:tc>
        <w:tc>
          <w:tcPr>
            <w:tcW w:w="1220" w:type="dxa"/>
            <w:tcBorders>
              <w:top w:val="single" w:color="auto" w:sz="4" w:space="0"/>
              <w:left w:val="single" w:color="auto" w:sz="4" w:space="0"/>
              <w:bottom w:val="single" w:color="auto" w:sz="4" w:space="0"/>
              <w:right w:val="single" w:color="auto" w:sz="4" w:space="0"/>
            </w:tcBorders>
            <w:vAlign w:val="center"/>
          </w:tcPr>
          <w:p w14:paraId="2F91A5B5">
            <w:pPr>
              <w:keepLines w:val="0"/>
              <w:pageBreakBefore w:val="0"/>
              <w:kinsoku/>
              <w:overflowPunct/>
              <w:topLinePunct w:val="0"/>
              <w:bidi w:val="0"/>
              <w:adjustRightInd w:val="0"/>
              <w:spacing w:line="400" w:lineRule="exact"/>
              <w:jc w:val="center"/>
              <w:rPr>
                <w:sz w:val="24"/>
              </w:rPr>
            </w:pPr>
          </w:p>
        </w:tc>
      </w:tr>
      <w:tr w14:paraId="0B2D94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15EB5200">
            <w:pPr>
              <w:keepLines w:val="0"/>
              <w:pageBreakBefore w:val="0"/>
              <w:kinsoku/>
              <w:overflowPunct/>
              <w:topLinePunct w:val="0"/>
              <w:bidi w:val="0"/>
              <w:adjustRightInd w:val="0"/>
              <w:spacing w:line="400" w:lineRule="exact"/>
              <w:jc w:val="center"/>
              <w:rPr>
                <w:sz w:val="24"/>
              </w:rPr>
            </w:pPr>
          </w:p>
        </w:tc>
        <w:tc>
          <w:tcPr>
            <w:tcW w:w="3659" w:type="dxa"/>
            <w:tcBorders>
              <w:top w:val="single" w:color="auto" w:sz="4" w:space="0"/>
              <w:left w:val="single" w:color="auto" w:sz="4" w:space="0"/>
              <w:bottom w:val="single" w:color="auto" w:sz="4" w:space="0"/>
              <w:right w:val="single" w:color="auto" w:sz="4" w:space="0"/>
            </w:tcBorders>
            <w:vAlign w:val="center"/>
          </w:tcPr>
          <w:p w14:paraId="0D49BB7D">
            <w:pPr>
              <w:keepLines w:val="0"/>
              <w:pageBreakBefore w:val="0"/>
              <w:kinsoku/>
              <w:overflowPunct/>
              <w:topLinePunct w:val="0"/>
              <w:bidi w:val="0"/>
              <w:adjustRightInd w:val="0"/>
              <w:spacing w:line="400" w:lineRule="exact"/>
              <w:jc w:val="center"/>
              <w:rPr>
                <w:sz w:val="24"/>
              </w:rPr>
            </w:pPr>
          </w:p>
        </w:tc>
        <w:tc>
          <w:tcPr>
            <w:tcW w:w="3539" w:type="dxa"/>
            <w:tcBorders>
              <w:top w:val="single" w:color="auto" w:sz="4" w:space="0"/>
              <w:left w:val="single" w:color="auto" w:sz="4" w:space="0"/>
              <w:bottom w:val="single" w:color="auto" w:sz="4" w:space="0"/>
              <w:right w:val="single" w:color="auto" w:sz="4" w:space="0"/>
            </w:tcBorders>
            <w:vAlign w:val="center"/>
          </w:tcPr>
          <w:p w14:paraId="0956640F">
            <w:pPr>
              <w:keepLines w:val="0"/>
              <w:pageBreakBefore w:val="0"/>
              <w:kinsoku/>
              <w:overflowPunct/>
              <w:topLinePunct w:val="0"/>
              <w:bidi w:val="0"/>
              <w:adjustRightInd w:val="0"/>
              <w:spacing w:line="400" w:lineRule="exact"/>
              <w:jc w:val="center"/>
              <w:rPr>
                <w:sz w:val="24"/>
              </w:rPr>
            </w:pPr>
          </w:p>
        </w:tc>
        <w:tc>
          <w:tcPr>
            <w:tcW w:w="1220" w:type="dxa"/>
            <w:tcBorders>
              <w:top w:val="single" w:color="auto" w:sz="4" w:space="0"/>
              <w:left w:val="single" w:color="auto" w:sz="4" w:space="0"/>
              <w:bottom w:val="single" w:color="auto" w:sz="4" w:space="0"/>
              <w:right w:val="single" w:color="auto" w:sz="4" w:space="0"/>
            </w:tcBorders>
            <w:vAlign w:val="center"/>
          </w:tcPr>
          <w:p w14:paraId="3ED18C0B">
            <w:pPr>
              <w:keepLines w:val="0"/>
              <w:pageBreakBefore w:val="0"/>
              <w:kinsoku/>
              <w:overflowPunct/>
              <w:topLinePunct w:val="0"/>
              <w:bidi w:val="0"/>
              <w:adjustRightInd w:val="0"/>
              <w:spacing w:line="400" w:lineRule="exact"/>
              <w:jc w:val="center"/>
              <w:rPr>
                <w:sz w:val="24"/>
              </w:rPr>
            </w:pPr>
          </w:p>
        </w:tc>
      </w:tr>
      <w:tr w14:paraId="6F84990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5CA78947">
            <w:pPr>
              <w:keepLines w:val="0"/>
              <w:pageBreakBefore w:val="0"/>
              <w:kinsoku/>
              <w:overflowPunct/>
              <w:topLinePunct w:val="0"/>
              <w:bidi w:val="0"/>
              <w:adjustRightInd w:val="0"/>
              <w:spacing w:line="400" w:lineRule="exact"/>
              <w:jc w:val="center"/>
              <w:rPr>
                <w:sz w:val="24"/>
              </w:rPr>
            </w:pPr>
          </w:p>
        </w:tc>
        <w:tc>
          <w:tcPr>
            <w:tcW w:w="3659" w:type="dxa"/>
            <w:tcBorders>
              <w:top w:val="single" w:color="auto" w:sz="4" w:space="0"/>
              <w:left w:val="single" w:color="auto" w:sz="4" w:space="0"/>
              <w:bottom w:val="single" w:color="auto" w:sz="4" w:space="0"/>
              <w:right w:val="single" w:color="auto" w:sz="4" w:space="0"/>
            </w:tcBorders>
            <w:vAlign w:val="center"/>
          </w:tcPr>
          <w:p w14:paraId="132F903B">
            <w:pPr>
              <w:keepLines w:val="0"/>
              <w:pageBreakBefore w:val="0"/>
              <w:kinsoku/>
              <w:overflowPunct/>
              <w:topLinePunct w:val="0"/>
              <w:bidi w:val="0"/>
              <w:adjustRightInd w:val="0"/>
              <w:spacing w:line="400" w:lineRule="exact"/>
              <w:jc w:val="center"/>
              <w:rPr>
                <w:sz w:val="24"/>
              </w:rPr>
            </w:pPr>
          </w:p>
        </w:tc>
        <w:tc>
          <w:tcPr>
            <w:tcW w:w="3539" w:type="dxa"/>
            <w:tcBorders>
              <w:top w:val="single" w:color="auto" w:sz="4" w:space="0"/>
              <w:left w:val="single" w:color="auto" w:sz="4" w:space="0"/>
              <w:bottom w:val="single" w:color="auto" w:sz="4" w:space="0"/>
              <w:right w:val="single" w:color="auto" w:sz="4" w:space="0"/>
            </w:tcBorders>
            <w:vAlign w:val="center"/>
          </w:tcPr>
          <w:p w14:paraId="473DDF72">
            <w:pPr>
              <w:keepLines w:val="0"/>
              <w:pageBreakBefore w:val="0"/>
              <w:kinsoku/>
              <w:overflowPunct/>
              <w:topLinePunct w:val="0"/>
              <w:bidi w:val="0"/>
              <w:adjustRightInd w:val="0"/>
              <w:spacing w:line="400" w:lineRule="exact"/>
              <w:jc w:val="center"/>
              <w:rPr>
                <w:sz w:val="24"/>
              </w:rPr>
            </w:pPr>
          </w:p>
        </w:tc>
        <w:tc>
          <w:tcPr>
            <w:tcW w:w="1220" w:type="dxa"/>
            <w:tcBorders>
              <w:top w:val="single" w:color="auto" w:sz="4" w:space="0"/>
              <w:left w:val="single" w:color="auto" w:sz="4" w:space="0"/>
              <w:bottom w:val="single" w:color="auto" w:sz="4" w:space="0"/>
              <w:right w:val="single" w:color="auto" w:sz="4" w:space="0"/>
            </w:tcBorders>
            <w:vAlign w:val="center"/>
          </w:tcPr>
          <w:p w14:paraId="0CCD0018">
            <w:pPr>
              <w:keepLines w:val="0"/>
              <w:pageBreakBefore w:val="0"/>
              <w:kinsoku/>
              <w:overflowPunct/>
              <w:topLinePunct w:val="0"/>
              <w:bidi w:val="0"/>
              <w:adjustRightInd w:val="0"/>
              <w:spacing w:line="400" w:lineRule="exact"/>
              <w:jc w:val="center"/>
              <w:rPr>
                <w:sz w:val="24"/>
              </w:rPr>
            </w:pPr>
          </w:p>
        </w:tc>
      </w:tr>
      <w:tr w14:paraId="0B4E86F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5F0CED36">
            <w:pPr>
              <w:keepLines w:val="0"/>
              <w:pageBreakBefore w:val="0"/>
              <w:kinsoku/>
              <w:overflowPunct/>
              <w:topLinePunct w:val="0"/>
              <w:bidi w:val="0"/>
              <w:adjustRightInd w:val="0"/>
              <w:spacing w:line="400" w:lineRule="exact"/>
              <w:jc w:val="center"/>
              <w:rPr>
                <w:sz w:val="24"/>
              </w:rPr>
            </w:pPr>
          </w:p>
        </w:tc>
        <w:tc>
          <w:tcPr>
            <w:tcW w:w="3659" w:type="dxa"/>
            <w:tcBorders>
              <w:top w:val="single" w:color="auto" w:sz="4" w:space="0"/>
              <w:left w:val="single" w:color="auto" w:sz="4" w:space="0"/>
              <w:bottom w:val="single" w:color="auto" w:sz="4" w:space="0"/>
              <w:right w:val="single" w:color="auto" w:sz="4" w:space="0"/>
            </w:tcBorders>
            <w:vAlign w:val="center"/>
          </w:tcPr>
          <w:p w14:paraId="7ACA2A06">
            <w:pPr>
              <w:keepLines w:val="0"/>
              <w:pageBreakBefore w:val="0"/>
              <w:kinsoku/>
              <w:overflowPunct/>
              <w:topLinePunct w:val="0"/>
              <w:bidi w:val="0"/>
              <w:adjustRightInd w:val="0"/>
              <w:spacing w:line="400" w:lineRule="exact"/>
              <w:jc w:val="center"/>
              <w:rPr>
                <w:sz w:val="24"/>
              </w:rPr>
            </w:pPr>
          </w:p>
        </w:tc>
        <w:tc>
          <w:tcPr>
            <w:tcW w:w="3539" w:type="dxa"/>
            <w:tcBorders>
              <w:top w:val="single" w:color="auto" w:sz="4" w:space="0"/>
              <w:left w:val="single" w:color="auto" w:sz="4" w:space="0"/>
              <w:bottom w:val="single" w:color="auto" w:sz="4" w:space="0"/>
              <w:right w:val="single" w:color="auto" w:sz="4" w:space="0"/>
            </w:tcBorders>
            <w:vAlign w:val="center"/>
          </w:tcPr>
          <w:p w14:paraId="697024EC">
            <w:pPr>
              <w:keepLines w:val="0"/>
              <w:pageBreakBefore w:val="0"/>
              <w:kinsoku/>
              <w:overflowPunct/>
              <w:topLinePunct w:val="0"/>
              <w:bidi w:val="0"/>
              <w:adjustRightInd w:val="0"/>
              <w:spacing w:line="400" w:lineRule="exact"/>
              <w:jc w:val="center"/>
              <w:rPr>
                <w:sz w:val="24"/>
              </w:rPr>
            </w:pPr>
          </w:p>
        </w:tc>
        <w:tc>
          <w:tcPr>
            <w:tcW w:w="1220" w:type="dxa"/>
            <w:tcBorders>
              <w:top w:val="single" w:color="auto" w:sz="4" w:space="0"/>
              <w:left w:val="single" w:color="auto" w:sz="4" w:space="0"/>
              <w:bottom w:val="single" w:color="auto" w:sz="4" w:space="0"/>
              <w:right w:val="single" w:color="auto" w:sz="4" w:space="0"/>
            </w:tcBorders>
            <w:vAlign w:val="center"/>
          </w:tcPr>
          <w:p w14:paraId="398F98E0">
            <w:pPr>
              <w:keepLines w:val="0"/>
              <w:pageBreakBefore w:val="0"/>
              <w:kinsoku/>
              <w:overflowPunct/>
              <w:topLinePunct w:val="0"/>
              <w:bidi w:val="0"/>
              <w:adjustRightInd w:val="0"/>
              <w:spacing w:line="400" w:lineRule="exact"/>
              <w:jc w:val="center"/>
              <w:rPr>
                <w:sz w:val="24"/>
              </w:rPr>
            </w:pPr>
          </w:p>
        </w:tc>
      </w:tr>
      <w:tr w14:paraId="2A20E09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7"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6E2C72BB">
            <w:pPr>
              <w:keepLines w:val="0"/>
              <w:pageBreakBefore w:val="0"/>
              <w:kinsoku/>
              <w:overflowPunct/>
              <w:topLinePunct w:val="0"/>
              <w:bidi w:val="0"/>
              <w:adjustRightInd w:val="0"/>
              <w:spacing w:line="400" w:lineRule="exact"/>
              <w:jc w:val="center"/>
              <w:rPr>
                <w:sz w:val="24"/>
              </w:rPr>
            </w:pPr>
          </w:p>
        </w:tc>
        <w:tc>
          <w:tcPr>
            <w:tcW w:w="3659" w:type="dxa"/>
            <w:tcBorders>
              <w:top w:val="single" w:color="auto" w:sz="4" w:space="0"/>
              <w:left w:val="single" w:color="auto" w:sz="4" w:space="0"/>
              <w:bottom w:val="single" w:color="auto" w:sz="4" w:space="0"/>
              <w:right w:val="single" w:color="auto" w:sz="4" w:space="0"/>
            </w:tcBorders>
            <w:vAlign w:val="center"/>
          </w:tcPr>
          <w:p w14:paraId="003A87A2">
            <w:pPr>
              <w:keepLines w:val="0"/>
              <w:pageBreakBefore w:val="0"/>
              <w:kinsoku/>
              <w:overflowPunct/>
              <w:topLinePunct w:val="0"/>
              <w:bidi w:val="0"/>
              <w:adjustRightInd w:val="0"/>
              <w:spacing w:line="400" w:lineRule="exact"/>
              <w:jc w:val="center"/>
              <w:rPr>
                <w:sz w:val="24"/>
              </w:rPr>
            </w:pPr>
            <w:r>
              <w:rPr>
                <w:sz w:val="24"/>
              </w:rPr>
              <w:t>...</w:t>
            </w:r>
          </w:p>
        </w:tc>
        <w:tc>
          <w:tcPr>
            <w:tcW w:w="3539" w:type="dxa"/>
            <w:tcBorders>
              <w:top w:val="single" w:color="auto" w:sz="4" w:space="0"/>
              <w:left w:val="single" w:color="auto" w:sz="4" w:space="0"/>
              <w:bottom w:val="single" w:color="auto" w:sz="4" w:space="0"/>
              <w:right w:val="single" w:color="auto" w:sz="4" w:space="0"/>
            </w:tcBorders>
            <w:vAlign w:val="center"/>
          </w:tcPr>
          <w:p w14:paraId="54286295">
            <w:pPr>
              <w:keepLines w:val="0"/>
              <w:pageBreakBefore w:val="0"/>
              <w:kinsoku/>
              <w:overflowPunct/>
              <w:topLinePunct w:val="0"/>
              <w:bidi w:val="0"/>
              <w:adjustRightInd w:val="0"/>
              <w:spacing w:line="400" w:lineRule="exact"/>
              <w:jc w:val="center"/>
              <w:rPr>
                <w:sz w:val="24"/>
              </w:rPr>
            </w:pPr>
          </w:p>
        </w:tc>
        <w:tc>
          <w:tcPr>
            <w:tcW w:w="1220" w:type="dxa"/>
            <w:tcBorders>
              <w:top w:val="single" w:color="auto" w:sz="4" w:space="0"/>
              <w:left w:val="single" w:color="auto" w:sz="4" w:space="0"/>
              <w:bottom w:val="single" w:color="auto" w:sz="4" w:space="0"/>
              <w:right w:val="single" w:color="auto" w:sz="4" w:space="0"/>
            </w:tcBorders>
            <w:vAlign w:val="center"/>
          </w:tcPr>
          <w:p w14:paraId="5B04D1F2">
            <w:pPr>
              <w:keepLines w:val="0"/>
              <w:pageBreakBefore w:val="0"/>
              <w:kinsoku/>
              <w:overflowPunct/>
              <w:topLinePunct w:val="0"/>
              <w:bidi w:val="0"/>
              <w:adjustRightInd w:val="0"/>
              <w:spacing w:line="400" w:lineRule="exact"/>
              <w:jc w:val="center"/>
              <w:rPr>
                <w:sz w:val="24"/>
              </w:rPr>
            </w:pPr>
          </w:p>
        </w:tc>
      </w:tr>
    </w:tbl>
    <w:p w14:paraId="340CE836">
      <w:pPr>
        <w:keepLines w:val="0"/>
        <w:pageBreakBefore w:val="0"/>
        <w:kinsoku/>
        <w:overflowPunct/>
        <w:topLinePunct w:val="0"/>
        <w:bidi w:val="0"/>
        <w:adjustRightInd w:val="0"/>
        <w:snapToGrid w:val="0"/>
        <w:spacing w:before="50" w:after="50" w:line="400" w:lineRule="exact"/>
        <w:rPr>
          <w:b/>
          <w:bCs/>
          <w:sz w:val="24"/>
        </w:rPr>
      </w:pPr>
      <w:r>
        <w:rPr>
          <w:b/>
          <w:bCs/>
          <w:sz w:val="24"/>
        </w:rPr>
        <w:t>注：</w:t>
      </w:r>
    </w:p>
    <w:p w14:paraId="7ACAD72C">
      <w:pPr>
        <w:keepLines w:val="0"/>
        <w:pageBreakBefore w:val="0"/>
        <w:numPr>
          <w:ilvl w:val="1"/>
          <w:numId w:val="4"/>
        </w:numPr>
        <w:tabs>
          <w:tab w:val="left" w:pos="540"/>
        </w:tabs>
        <w:kinsoku/>
        <w:overflowPunct/>
        <w:topLinePunct w:val="0"/>
        <w:bidi w:val="0"/>
        <w:adjustRightInd w:val="0"/>
        <w:snapToGrid w:val="0"/>
        <w:spacing w:before="50" w:after="50" w:line="400" w:lineRule="exact"/>
        <w:ind w:left="540" w:hanging="540"/>
        <w:rPr>
          <w:b/>
          <w:bCs/>
          <w:sz w:val="24"/>
        </w:rPr>
      </w:pPr>
      <w:r>
        <w:rPr>
          <w:b/>
          <w:bCs/>
          <w:sz w:val="24"/>
        </w:rPr>
        <w:t>投标人应根据投标设备的性能指标、对照</w:t>
      </w:r>
      <w:r>
        <w:rPr>
          <w:rFonts w:hint="eastAsia"/>
          <w:b/>
          <w:bCs/>
          <w:sz w:val="24"/>
        </w:rPr>
        <w:t>比选</w:t>
      </w:r>
      <w:r>
        <w:rPr>
          <w:b/>
          <w:bCs/>
          <w:sz w:val="24"/>
        </w:rPr>
        <w:t>文件要求一一对应如实填写技术响应表，在“偏离情况”栏注明“正偏离”、“负偏离”或“无偏离”。未按要求填写的，有可能作负偏离处理。</w:t>
      </w:r>
    </w:p>
    <w:p w14:paraId="71182444">
      <w:pPr>
        <w:keepLines w:val="0"/>
        <w:pageBreakBefore w:val="0"/>
        <w:kinsoku/>
        <w:overflowPunct/>
        <w:topLinePunct w:val="0"/>
        <w:bidi w:val="0"/>
        <w:adjustRightInd w:val="0"/>
        <w:snapToGrid w:val="0"/>
        <w:spacing w:before="50" w:after="50" w:line="400" w:lineRule="exact"/>
        <w:rPr>
          <w:b/>
          <w:bCs/>
          <w:sz w:val="24"/>
        </w:rPr>
      </w:pPr>
    </w:p>
    <w:p w14:paraId="166D2B88">
      <w:pPr>
        <w:keepLines w:val="0"/>
        <w:pageBreakBefore w:val="0"/>
        <w:kinsoku/>
        <w:overflowPunct/>
        <w:topLinePunct w:val="0"/>
        <w:bidi w:val="0"/>
        <w:adjustRightInd w:val="0"/>
        <w:snapToGrid w:val="0"/>
        <w:spacing w:before="50" w:after="50" w:line="400" w:lineRule="exact"/>
        <w:rPr>
          <w:b/>
          <w:bCs/>
          <w:sz w:val="24"/>
        </w:rPr>
      </w:pPr>
    </w:p>
    <w:p w14:paraId="1D6FC503">
      <w:pPr>
        <w:keepLines w:val="0"/>
        <w:pageBreakBefore w:val="0"/>
        <w:kinsoku/>
        <w:overflowPunct/>
        <w:topLinePunct w:val="0"/>
        <w:bidi w:val="0"/>
        <w:adjustRightInd w:val="0"/>
        <w:snapToGrid w:val="0"/>
        <w:spacing w:before="50" w:after="156" w:afterLines="50" w:line="400" w:lineRule="exact"/>
        <w:jc w:val="left"/>
        <w:rPr>
          <w:sz w:val="24"/>
        </w:rPr>
      </w:pPr>
      <w:r>
        <w:rPr>
          <w:b/>
          <w:bCs/>
          <w:sz w:val="24"/>
        </w:rPr>
        <w:t>投标人签章：</w:t>
      </w:r>
      <w:r>
        <w:rPr>
          <w:spacing w:val="20"/>
          <w:sz w:val="24"/>
          <w:u w:val="single"/>
        </w:rPr>
        <w:t xml:space="preserve">            </w:t>
      </w:r>
      <w:r>
        <w:rPr>
          <w:spacing w:val="20"/>
          <w:sz w:val="24"/>
        </w:rPr>
        <w:t xml:space="preserve">              </w:t>
      </w:r>
      <w:r>
        <w:rPr>
          <w:b/>
          <w:bCs/>
          <w:sz w:val="24"/>
        </w:rPr>
        <w:t>日 期：</w:t>
      </w:r>
      <w:r>
        <w:rPr>
          <w:spacing w:val="20"/>
          <w:sz w:val="24"/>
          <w:u w:val="single"/>
        </w:rPr>
        <w:t xml:space="preserve">          </w:t>
      </w:r>
    </w:p>
    <w:p w14:paraId="7B39A7C3">
      <w:pPr>
        <w:keepLines w:val="0"/>
        <w:pageBreakBefore w:val="0"/>
        <w:kinsoku/>
        <w:overflowPunct/>
        <w:topLinePunct w:val="0"/>
        <w:bidi w:val="0"/>
        <w:spacing w:line="400" w:lineRule="exact"/>
        <w:rPr>
          <w:sz w:val="24"/>
        </w:rPr>
      </w:pPr>
    </w:p>
    <w:p w14:paraId="23A6CC03">
      <w:pPr>
        <w:keepLines w:val="0"/>
        <w:pageBreakBefore w:val="0"/>
        <w:kinsoku/>
        <w:overflowPunct/>
        <w:topLinePunct w:val="0"/>
        <w:bidi w:val="0"/>
        <w:spacing w:line="400" w:lineRule="exact"/>
        <w:rPr>
          <w:rFonts w:ascii="新宋体" w:hAnsi="新宋体" w:eastAsia="新宋体"/>
          <w:b/>
          <w:bCs/>
          <w:sz w:val="22"/>
          <w:szCs w:val="22"/>
        </w:rPr>
      </w:pPr>
      <w:r>
        <w:rPr>
          <w:rFonts w:hint="eastAsia" w:ascii="新宋体" w:hAnsi="新宋体" w:eastAsia="新宋体"/>
          <w:b/>
          <w:bCs/>
          <w:sz w:val="22"/>
          <w:szCs w:val="22"/>
        </w:rPr>
        <w:br w:type="page"/>
      </w:r>
    </w:p>
    <w:p w14:paraId="0630150E">
      <w:pPr>
        <w:keepLines w:val="0"/>
        <w:pageBreakBefore w:val="0"/>
        <w:kinsoku/>
        <w:overflowPunct/>
        <w:topLinePunct w:val="0"/>
        <w:bidi w:val="0"/>
        <w:spacing w:line="400" w:lineRule="exact"/>
        <w:outlineLvl w:val="1"/>
        <w:rPr>
          <w:rFonts w:ascii="新宋体" w:hAnsi="新宋体" w:eastAsia="新宋体"/>
          <w:b/>
          <w:bCs/>
          <w:sz w:val="22"/>
          <w:szCs w:val="22"/>
        </w:rPr>
      </w:pPr>
    </w:p>
    <w:p w14:paraId="1826FBE5">
      <w:pPr>
        <w:keepLines w:val="0"/>
        <w:pageBreakBefore w:val="0"/>
        <w:kinsoku/>
        <w:overflowPunct/>
        <w:topLinePunct w:val="0"/>
        <w:bidi w:val="0"/>
        <w:spacing w:line="400" w:lineRule="exact"/>
        <w:jc w:val="left"/>
        <w:rPr>
          <w:rFonts w:ascii="宋体" w:hAnsi="宋体" w:cs="Courier New"/>
          <w:b/>
          <w:bCs/>
          <w:sz w:val="24"/>
        </w:rPr>
      </w:pPr>
      <w:r>
        <w:rPr>
          <w:rFonts w:hint="eastAsia" w:ascii="宋体" w:hAnsi="宋体" w:cs="Courier New"/>
          <w:bCs/>
          <w:sz w:val="24"/>
        </w:rPr>
        <w:t>附件</w:t>
      </w:r>
      <w:r>
        <w:rPr>
          <w:rFonts w:hint="eastAsia" w:ascii="宋体" w:hAnsi="宋体" w:cs="Courier New"/>
          <w:bCs/>
          <w:sz w:val="24"/>
          <w:lang w:eastAsia="zh-CN"/>
        </w:rPr>
        <w:t>四</w:t>
      </w:r>
      <w:r>
        <w:rPr>
          <w:rFonts w:hint="eastAsia" w:ascii="宋体" w:hAnsi="宋体" w:cs="Courier New"/>
          <w:bCs/>
          <w:sz w:val="24"/>
        </w:rPr>
        <w:t>：</w:t>
      </w:r>
    </w:p>
    <w:p w14:paraId="6631717A">
      <w:pPr>
        <w:keepLines w:val="0"/>
        <w:pageBreakBefore w:val="0"/>
        <w:kinsoku/>
        <w:overflowPunct/>
        <w:topLinePunct w:val="0"/>
        <w:bidi w:val="0"/>
        <w:spacing w:line="400" w:lineRule="exact"/>
        <w:jc w:val="center"/>
        <w:rPr>
          <w:rFonts w:ascii="宋体" w:hAnsi="宋体" w:cs="Courier New"/>
          <w:b/>
          <w:bCs/>
          <w:sz w:val="36"/>
          <w:szCs w:val="36"/>
        </w:rPr>
      </w:pPr>
      <w:r>
        <w:rPr>
          <w:rFonts w:hint="eastAsia" w:ascii="宋体" w:hAnsi="宋体" w:cs="Courier New"/>
          <w:b/>
          <w:bCs/>
          <w:sz w:val="36"/>
          <w:szCs w:val="36"/>
        </w:rPr>
        <w:t>投标报价单</w:t>
      </w:r>
    </w:p>
    <w:p w14:paraId="7FA68CC2">
      <w:pPr>
        <w:keepLines w:val="0"/>
        <w:pageBreakBefore w:val="0"/>
        <w:kinsoku/>
        <w:overflowPunct/>
        <w:topLinePunct w:val="0"/>
        <w:bidi w:val="0"/>
        <w:spacing w:line="400" w:lineRule="exact"/>
        <w:rPr>
          <w:rFonts w:ascii="宋体" w:hAnsi="宋体"/>
          <w:b/>
          <w:bCs/>
          <w:sz w:val="24"/>
        </w:rPr>
      </w:pPr>
      <w:r>
        <w:rPr>
          <w:rFonts w:hint="eastAsia" w:ascii="宋体" w:hAnsi="宋体" w:cs="Arial"/>
          <w:sz w:val="24"/>
        </w:rPr>
        <w:t>项目名称</w:t>
      </w:r>
      <w:r>
        <w:rPr>
          <w:rFonts w:ascii="宋体" w:hAnsi="宋体" w:cs="Arial"/>
          <w:sz w:val="24"/>
        </w:rPr>
        <w:t xml:space="preserve">：   </w:t>
      </w:r>
      <w:r>
        <w:rPr>
          <w:rFonts w:ascii="宋体" w:hAnsi="宋体" w:cs="Arial"/>
          <w:bCs/>
          <w:sz w:val="24"/>
        </w:rPr>
        <w:t xml:space="preserve">        </w:t>
      </w:r>
      <w:r>
        <w:rPr>
          <w:rFonts w:hint="eastAsia" w:ascii="宋体" w:hAnsi="宋体" w:cs="Arial"/>
          <w:sz w:val="24"/>
        </w:rPr>
        <w:t xml:space="preserve">                  </w:t>
      </w:r>
      <w:r>
        <w:rPr>
          <w:rFonts w:ascii="宋体" w:hAnsi="宋体" w:cs="Arial"/>
          <w:sz w:val="24"/>
        </w:rPr>
        <w:t>（价格单位：人民币元）</w:t>
      </w:r>
    </w:p>
    <w:tbl>
      <w:tblPr>
        <w:tblStyle w:val="16"/>
        <w:tblpPr w:leftFromText="180" w:rightFromText="180" w:vertAnchor="text" w:horzAnchor="page" w:tblpX="1212" w:tblpY="133"/>
        <w:tblOverlap w:val="never"/>
        <w:tblW w:w="9583"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517"/>
        <w:gridCol w:w="1787"/>
        <w:gridCol w:w="1525"/>
        <w:gridCol w:w="1491"/>
        <w:gridCol w:w="2708"/>
        <w:gridCol w:w="1555"/>
      </w:tblGrid>
      <w:tr w14:paraId="1557F29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99" w:hRule="atLeast"/>
        </w:trPr>
        <w:tc>
          <w:tcPr>
            <w:tcW w:w="517" w:type="dxa"/>
            <w:vAlign w:val="center"/>
          </w:tcPr>
          <w:p w14:paraId="09C46958">
            <w:pPr>
              <w:keepLines w:val="0"/>
              <w:pageBreakBefore w:val="0"/>
              <w:kinsoku/>
              <w:overflowPunct/>
              <w:topLinePunct w:val="0"/>
              <w:bidi w:val="0"/>
              <w:spacing w:line="400" w:lineRule="exact"/>
              <w:jc w:val="center"/>
              <w:rPr>
                <w:rFonts w:ascii="宋体" w:hAnsi="宋体" w:cs="hakuyoxingshu7000"/>
                <w:b/>
                <w:bCs/>
                <w:sz w:val="24"/>
              </w:rPr>
            </w:pPr>
            <w:r>
              <w:rPr>
                <w:rFonts w:hint="eastAsia" w:ascii="宋体" w:hAnsi="宋体" w:cs="hakuyoxingshu7000"/>
                <w:b/>
                <w:bCs/>
                <w:sz w:val="24"/>
              </w:rPr>
              <w:t>序号</w:t>
            </w:r>
          </w:p>
        </w:tc>
        <w:tc>
          <w:tcPr>
            <w:tcW w:w="1787" w:type="dxa"/>
            <w:vAlign w:val="center"/>
          </w:tcPr>
          <w:p w14:paraId="34D45E8A">
            <w:pPr>
              <w:keepLines w:val="0"/>
              <w:pageBreakBefore w:val="0"/>
              <w:kinsoku/>
              <w:overflowPunct/>
              <w:topLinePunct w:val="0"/>
              <w:bidi w:val="0"/>
              <w:spacing w:line="400" w:lineRule="exact"/>
              <w:jc w:val="center"/>
              <w:rPr>
                <w:rFonts w:ascii="宋体" w:hAnsi="宋体" w:cs="hakuyoxingshu7000"/>
                <w:b/>
                <w:bCs/>
                <w:sz w:val="24"/>
              </w:rPr>
            </w:pPr>
            <w:r>
              <w:rPr>
                <w:rFonts w:hint="eastAsia" w:ascii="宋体" w:hAnsi="宋体" w:cs="hakuyoxingshu7000"/>
                <w:b/>
                <w:bCs/>
                <w:sz w:val="24"/>
              </w:rPr>
              <w:t>项目内容</w:t>
            </w:r>
          </w:p>
        </w:tc>
        <w:tc>
          <w:tcPr>
            <w:tcW w:w="1525" w:type="dxa"/>
            <w:vAlign w:val="center"/>
          </w:tcPr>
          <w:p w14:paraId="069A661C">
            <w:pPr>
              <w:keepLines w:val="0"/>
              <w:pageBreakBefore w:val="0"/>
              <w:kinsoku/>
              <w:overflowPunct/>
              <w:topLinePunct w:val="0"/>
              <w:bidi w:val="0"/>
              <w:spacing w:line="400" w:lineRule="exact"/>
              <w:jc w:val="center"/>
              <w:rPr>
                <w:rFonts w:ascii="宋体" w:hAnsi="宋体" w:cs="hakuyoxingshu7000"/>
                <w:b/>
                <w:bCs/>
                <w:sz w:val="24"/>
              </w:rPr>
            </w:pPr>
            <w:r>
              <w:rPr>
                <w:rFonts w:hint="eastAsia" w:ascii="宋体" w:hAnsi="宋体" w:cs="hakuyoxingshu7000"/>
                <w:b/>
                <w:bCs/>
                <w:sz w:val="24"/>
              </w:rPr>
              <w:t>数量</w:t>
            </w:r>
          </w:p>
        </w:tc>
        <w:tc>
          <w:tcPr>
            <w:tcW w:w="1491" w:type="dxa"/>
            <w:vAlign w:val="center"/>
          </w:tcPr>
          <w:p w14:paraId="2662A922">
            <w:pPr>
              <w:keepLines w:val="0"/>
              <w:pageBreakBefore w:val="0"/>
              <w:kinsoku/>
              <w:overflowPunct/>
              <w:topLinePunct w:val="0"/>
              <w:bidi w:val="0"/>
              <w:spacing w:line="400" w:lineRule="exact"/>
              <w:jc w:val="center"/>
              <w:rPr>
                <w:rFonts w:ascii="宋体" w:hAnsi="宋体" w:cs="hakuyoxingshu7000"/>
                <w:b/>
                <w:bCs/>
                <w:sz w:val="24"/>
              </w:rPr>
            </w:pPr>
            <w:r>
              <w:rPr>
                <w:rFonts w:hint="eastAsia" w:ascii="宋体" w:hAnsi="宋体" w:cs="hakuyoxingshu7000"/>
                <w:b/>
                <w:bCs/>
                <w:sz w:val="24"/>
              </w:rPr>
              <w:t>单价</w:t>
            </w:r>
          </w:p>
        </w:tc>
        <w:tc>
          <w:tcPr>
            <w:tcW w:w="2708" w:type="dxa"/>
            <w:vAlign w:val="center"/>
          </w:tcPr>
          <w:p w14:paraId="7E912241">
            <w:pPr>
              <w:keepLines w:val="0"/>
              <w:pageBreakBefore w:val="0"/>
              <w:kinsoku/>
              <w:overflowPunct/>
              <w:topLinePunct w:val="0"/>
              <w:bidi w:val="0"/>
              <w:spacing w:line="400" w:lineRule="exact"/>
              <w:jc w:val="center"/>
              <w:rPr>
                <w:rFonts w:ascii="宋体" w:hAnsi="宋体" w:cs="hakuyoxingshu7000"/>
                <w:b/>
                <w:bCs/>
                <w:sz w:val="24"/>
              </w:rPr>
            </w:pPr>
            <w:r>
              <w:rPr>
                <w:rFonts w:hint="eastAsia" w:ascii="宋体" w:hAnsi="宋体" w:cs="hakuyoxingshu7000"/>
                <w:b/>
                <w:bCs/>
                <w:sz w:val="24"/>
              </w:rPr>
              <w:t>金额</w:t>
            </w:r>
          </w:p>
        </w:tc>
        <w:tc>
          <w:tcPr>
            <w:tcW w:w="1555" w:type="dxa"/>
            <w:vAlign w:val="center"/>
          </w:tcPr>
          <w:p w14:paraId="6F71805C">
            <w:pPr>
              <w:keepLines w:val="0"/>
              <w:pageBreakBefore w:val="0"/>
              <w:kinsoku/>
              <w:overflowPunct/>
              <w:topLinePunct w:val="0"/>
              <w:bidi w:val="0"/>
              <w:spacing w:line="400" w:lineRule="exact"/>
              <w:jc w:val="center"/>
              <w:rPr>
                <w:rFonts w:ascii="宋体" w:hAnsi="宋体" w:cs="hakuyoxingshu7000"/>
                <w:b/>
                <w:bCs/>
                <w:sz w:val="24"/>
              </w:rPr>
            </w:pPr>
            <w:r>
              <w:rPr>
                <w:rFonts w:hint="eastAsia" w:ascii="宋体" w:hAnsi="宋体" w:cs="hakuyoxingshu7000"/>
                <w:b/>
                <w:bCs/>
                <w:sz w:val="24"/>
              </w:rPr>
              <w:t>备注</w:t>
            </w:r>
          </w:p>
        </w:tc>
      </w:tr>
      <w:tr w14:paraId="7E428FA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4A3FB581">
            <w:pPr>
              <w:keepLines w:val="0"/>
              <w:pageBreakBefore w:val="0"/>
              <w:kinsoku/>
              <w:overflowPunct/>
              <w:topLinePunct w:val="0"/>
              <w:bidi w:val="0"/>
              <w:spacing w:line="400" w:lineRule="exact"/>
              <w:jc w:val="center"/>
              <w:rPr>
                <w:rFonts w:ascii="宋体" w:hAnsi="宋体" w:cs="hakuyoxingshu7000"/>
                <w:bCs/>
                <w:sz w:val="24"/>
              </w:rPr>
            </w:pPr>
            <w:r>
              <w:rPr>
                <w:rFonts w:hint="eastAsia" w:ascii="宋体" w:hAnsi="宋体" w:cs="hakuyoxingshu7000"/>
                <w:bCs/>
                <w:sz w:val="24"/>
              </w:rPr>
              <w:t>1</w:t>
            </w:r>
          </w:p>
        </w:tc>
        <w:tc>
          <w:tcPr>
            <w:tcW w:w="1787" w:type="dxa"/>
            <w:vAlign w:val="center"/>
          </w:tcPr>
          <w:p w14:paraId="1E5D5AC3">
            <w:pPr>
              <w:keepLines w:val="0"/>
              <w:pageBreakBefore w:val="0"/>
              <w:kinsoku/>
              <w:overflowPunct/>
              <w:topLinePunct w:val="0"/>
              <w:bidi w:val="0"/>
              <w:spacing w:line="400" w:lineRule="exact"/>
              <w:rPr>
                <w:rFonts w:ascii="宋体" w:hAnsi="宋体" w:cs="hakuyoxingshu7000"/>
                <w:bCs/>
                <w:sz w:val="24"/>
              </w:rPr>
            </w:pPr>
          </w:p>
        </w:tc>
        <w:tc>
          <w:tcPr>
            <w:tcW w:w="1525" w:type="dxa"/>
            <w:vAlign w:val="center"/>
          </w:tcPr>
          <w:p w14:paraId="349F823A">
            <w:pPr>
              <w:keepLines w:val="0"/>
              <w:pageBreakBefore w:val="0"/>
              <w:kinsoku/>
              <w:overflowPunct/>
              <w:topLinePunct w:val="0"/>
              <w:bidi w:val="0"/>
              <w:spacing w:line="400" w:lineRule="exact"/>
              <w:rPr>
                <w:rFonts w:ascii="宋体" w:hAnsi="宋体" w:cs="hakuyoxingshu7000"/>
                <w:bCs/>
                <w:sz w:val="24"/>
              </w:rPr>
            </w:pPr>
          </w:p>
        </w:tc>
        <w:tc>
          <w:tcPr>
            <w:tcW w:w="1491" w:type="dxa"/>
            <w:vAlign w:val="center"/>
          </w:tcPr>
          <w:p w14:paraId="0B0DF03A">
            <w:pPr>
              <w:keepLines w:val="0"/>
              <w:pageBreakBefore w:val="0"/>
              <w:kinsoku/>
              <w:overflowPunct/>
              <w:topLinePunct w:val="0"/>
              <w:bidi w:val="0"/>
              <w:spacing w:line="400" w:lineRule="exact"/>
              <w:rPr>
                <w:rFonts w:ascii="宋体" w:hAnsi="宋体" w:cs="hakuyoxingshu7000"/>
                <w:b/>
                <w:bCs/>
                <w:sz w:val="24"/>
              </w:rPr>
            </w:pPr>
          </w:p>
        </w:tc>
        <w:tc>
          <w:tcPr>
            <w:tcW w:w="2708" w:type="dxa"/>
            <w:vAlign w:val="center"/>
          </w:tcPr>
          <w:p w14:paraId="17326162">
            <w:pPr>
              <w:keepLines w:val="0"/>
              <w:pageBreakBefore w:val="0"/>
              <w:kinsoku/>
              <w:overflowPunct/>
              <w:topLinePunct w:val="0"/>
              <w:bidi w:val="0"/>
              <w:spacing w:line="400" w:lineRule="exact"/>
              <w:rPr>
                <w:rFonts w:ascii="宋体" w:hAnsi="宋体" w:cs="hakuyoxingshu7000"/>
                <w:b/>
                <w:bCs/>
                <w:sz w:val="24"/>
              </w:rPr>
            </w:pPr>
          </w:p>
        </w:tc>
        <w:tc>
          <w:tcPr>
            <w:tcW w:w="1555" w:type="dxa"/>
            <w:vAlign w:val="center"/>
          </w:tcPr>
          <w:p w14:paraId="6906261E">
            <w:pPr>
              <w:keepLines w:val="0"/>
              <w:pageBreakBefore w:val="0"/>
              <w:kinsoku/>
              <w:overflowPunct/>
              <w:topLinePunct w:val="0"/>
              <w:bidi w:val="0"/>
              <w:spacing w:line="400" w:lineRule="exact"/>
              <w:rPr>
                <w:rFonts w:ascii="宋体" w:hAnsi="宋体" w:cs="hakuyoxingshu7000"/>
                <w:b/>
                <w:bCs/>
                <w:sz w:val="24"/>
              </w:rPr>
            </w:pPr>
          </w:p>
        </w:tc>
      </w:tr>
      <w:tr w14:paraId="056D136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71C11FC0">
            <w:pPr>
              <w:keepLines w:val="0"/>
              <w:pageBreakBefore w:val="0"/>
              <w:kinsoku/>
              <w:overflowPunct/>
              <w:topLinePunct w:val="0"/>
              <w:bidi w:val="0"/>
              <w:spacing w:line="400" w:lineRule="exact"/>
              <w:jc w:val="center"/>
              <w:rPr>
                <w:rFonts w:ascii="宋体" w:hAnsi="宋体" w:cs="hakuyoxingshu7000"/>
                <w:bCs/>
                <w:sz w:val="24"/>
              </w:rPr>
            </w:pPr>
            <w:r>
              <w:rPr>
                <w:rFonts w:hint="eastAsia" w:ascii="宋体" w:hAnsi="宋体" w:cs="hakuyoxingshu7000"/>
                <w:bCs/>
                <w:sz w:val="24"/>
              </w:rPr>
              <w:t>2</w:t>
            </w:r>
          </w:p>
        </w:tc>
        <w:tc>
          <w:tcPr>
            <w:tcW w:w="1787" w:type="dxa"/>
            <w:vAlign w:val="center"/>
          </w:tcPr>
          <w:p w14:paraId="7E073167">
            <w:pPr>
              <w:keepLines w:val="0"/>
              <w:pageBreakBefore w:val="0"/>
              <w:kinsoku/>
              <w:overflowPunct/>
              <w:topLinePunct w:val="0"/>
              <w:bidi w:val="0"/>
              <w:spacing w:line="400" w:lineRule="exact"/>
              <w:rPr>
                <w:rFonts w:ascii="宋体" w:hAnsi="宋体" w:cs="hakuyoxingshu7000"/>
                <w:bCs/>
                <w:sz w:val="24"/>
              </w:rPr>
            </w:pPr>
          </w:p>
        </w:tc>
        <w:tc>
          <w:tcPr>
            <w:tcW w:w="1525" w:type="dxa"/>
            <w:vAlign w:val="center"/>
          </w:tcPr>
          <w:p w14:paraId="54461E4A">
            <w:pPr>
              <w:keepLines w:val="0"/>
              <w:pageBreakBefore w:val="0"/>
              <w:kinsoku/>
              <w:overflowPunct/>
              <w:topLinePunct w:val="0"/>
              <w:bidi w:val="0"/>
              <w:spacing w:line="400" w:lineRule="exact"/>
              <w:rPr>
                <w:rFonts w:ascii="宋体" w:hAnsi="宋体" w:cs="hakuyoxingshu7000"/>
                <w:bCs/>
                <w:sz w:val="24"/>
              </w:rPr>
            </w:pPr>
          </w:p>
        </w:tc>
        <w:tc>
          <w:tcPr>
            <w:tcW w:w="1491" w:type="dxa"/>
            <w:vAlign w:val="center"/>
          </w:tcPr>
          <w:p w14:paraId="72D4959D">
            <w:pPr>
              <w:keepLines w:val="0"/>
              <w:pageBreakBefore w:val="0"/>
              <w:kinsoku/>
              <w:overflowPunct/>
              <w:topLinePunct w:val="0"/>
              <w:bidi w:val="0"/>
              <w:spacing w:line="400" w:lineRule="exact"/>
              <w:rPr>
                <w:rFonts w:ascii="宋体" w:hAnsi="宋体" w:cs="hakuyoxingshu7000"/>
                <w:b/>
                <w:bCs/>
                <w:sz w:val="24"/>
              </w:rPr>
            </w:pPr>
          </w:p>
        </w:tc>
        <w:tc>
          <w:tcPr>
            <w:tcW w:w="2708" w:type="dxa"/>
            <w:vAlign w:val="center"/>
          </w:tcPr>
          <w:p w14:paraId="5DFBECEE">
            <w:pPr>
              <w:keepLines w:val="0"/>
              <w:pageBreakBefore w:val="0"/>
              <w:kinsoku/>
              <w:overflowPunct/>
              <w:topLinePunct w:val="0"/>
              <w:bidi w:val="0"/>
              <w:spacing w:line="400" w:lineRule="exact"/>
              <w:rPr>
                <w:rFonts w:ascii="宋体" w:hAnsi="宋体" w:cs="hakuyoxingshu7000"/>
                <w:b/>
                <w:bCs/>
                <w:sz w:val="24"/>
              </w:rPr>
            </w:pPr>
          </w:p>
        </w:tc>
        <w:tc>
          <w:tcPr>
            <w:tcW w:w="1555" w:type="dxa"/>
            <w:vAlign w:val="center"/>
          </w:tcPr>
          <w:p w14:paraId="12C2DDF2">
            <w:pPr>
              <w:keepLines w:val="0"/>
              <w:pageBreakBefore w:val="0"/>
              <w:kinsoku/>
              <w:overflowPunct/>
              <w:topLinePunct w:val="0"/>
              <w:bidi w:val="0"/>
              <w:spacing w:line="400" w:lineRule="exact"/>
              <w:rPr>
                <w:rFonts w:ascii="宋体" w:hAnsi="宋体" w:cs="hakuyoxingshu7000"/>
                <w:b/>
                <w:bCs/>
                <w:sz w:val="24"/>
              </w:rPr>
            </w:pPr>
          </w:p>
        </w:tc>
      </w:tr>
      <w:tr w14:paraId="425F654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7B4B8900">
            <w:pPr>
              <w:keepLines w:val="0"/>
              <w:pageBreakBefore w:val="0"/>
              <w:kinsoku/>
              <w:overflowPunct/>
              <w:topLinePunct w:val="0"/>
              <w:bidi w:val="0"/>
              <w:spacing w:line="400" w:lineRule="exact"/>
              <w:jc w:val="center"/>
              <w:rPr>
                <w:rFonts w:ascii="宋体" w:hAnsi="宋体" w:cs="hakuyoxingshu7000"/>
                <w:bCs/>
                <w:sz w:val="24"/>
              </w:rPr>
            </w:pPr>
            <w:r>
              <w:rPr>
                <w:rFonts w:hint="eastAsia" w:ascii="宋体" w:hAnsi="宋体" w:cs="hakuyoxingshu7000"/>
                <w:bCs/>
                <w:sz w:val="24"/>
              </w:rPr>
              <w:t>3</w:t>
            </w:r>
          </w:p>
        </w:tc>
        <w:tc>
          <w:tcPr>
            <w:tcW w:w="1787" w:type="dxa"/>
            <w:vAlign w:val="center"/>
          </w:tcPr>
          <w:p w14:paraId="411DB8E4">
            <w:pPr>
              <w:keepLines w:val="0"/>
              <w:pageBreakBefore w:val="0"/>
              <w:kinsoku/>
              <w:overflowPunct/>
              <w:topLinePunct w:val="0"/>
              <w:bidi w:val="0"/>
              <w:spacing w:line="400" w:lineRule="exact"/>
              <w:rPr>
                <w:rFonts w:ascii="宋体" w:hAnsi="宋体" w:cs="hakuyoxingshu7000"/>
                <w:bCs/>
                <w:sz w:val="24"/>
              </w:rPr>
            </w:pPr>
          </w:p>
        </w:tc>
        <w:tc>
          <w:tcPr>
            <w:tcW w:w="1525" w:type="dxa"/>
            <w:vAlign w:val="center"/>
          </w:tcPr>
          <w:p w14:paraId="515593EA">
            <w:pPr>
              <w:keepLines w:val="0"/>
              <w:pageBreakBefore w:val="0"/>
              <w:kinsoku/>
              <w:overflowPunct/>
              <w:topLinePunct w:val="0"/>
              <w:bidi w:val="0"/>
              <w:spacing w:line="400" w:lineRule="exact"/>
              <w:rPr>
                <w:rFonts w:ascii="宋体" w:hAnsi="宋体" w:cs="hakuyoxingshu7000"/>
                <w:bCs/>
                <w:sz w:val="24"/>
              </w:rPr>
            </w:pPr>
          </w:p>
        </w:tc>
        <w:tc>
          <w:tcPr>
            <w:tcW w:w="1491" w:type="dxa"/>
            <w:vAlign w:val="center"/>
          </w:tcPr>
          <w:p w14:paraId="7B9BFDCE">
            <w:pPr>
              <w:keepLines w:val="0"/>
              <w:pageBreakBefore w:val="0"/>
              <w:kinsoku/>
              <w:overflowPunct/>
              <w:topLinePunct w:val="0"/>
              <w:bidi w:val="0"/>
              <w:spacing w:line="400" w:lineRule="exact"/>
              <w:rPr>
                <w:rFonts w:ascii="宋体" w:hAnsi="宋体" w:cs="hakuyoxingshu7000"/>
                <w:b/>
                <w:bCs/>
                <w:sz w:val="24"/>
              </w:rPr>
            </w:pPr>
          </w:p>
        </w:tc>
        <w:tc>
          <w:tcPr>
            <w:tcW w:w="2708" w:type="dxa"/>
            <w:vAlign w:val="center"/>
          </w:tcPr>
          <w:p w14:paraId="39D3F764">
            <w:pPr>
              <w:keepLines w:val="0"/>
              <w:pageBreakBefore w:val="0"/>
              <w:kinsoku/>
              <w:overflowPunct/>
              <w:topLinePunct w:val="0"/>
              <w:bidi w:val="0"/>
              <w:spacing w:line="400" w:lineRule="exact"/>
              <w:rPr>
                <w:rFonts w:ascii="宋体" w:hAnsi="宋体" w:cs="hakuyoxingshu7000"/>
                <w:b/>
                <w:bCs/>
                <w:sz w:val="24"/>
              </w:rPr>
            </w:pPr>
          </w:p>
        </w:tc>
        <w:tc>
          <w:tcPr>
            <w:tcW w:w="1555" w:type="dxa"/>
            <w:vAlign w:val="center"/>
          </w:tcPr>
          <w:p w14:paraId="429ACEBD">
            <w:pPr>
              <w:keepLines w:val="0"/>
              <w:pageBreakBefore w:val="0"/>
              <w:kinsoku/>
              <w:overflowPunct/>
              <w:topLinePunct w:val="0"/>
              <w:bidi w:val="0"/>
              <w:spacing w:line="400" w:lineRule="exact"/>
              <w:rPr>
                <w:rFonts w:ascii="宋体" w:hAnsi="宋体" w:cs="hakuyoxingshu7000"/>
                <w:b/>
                <w:bCs/>
                <w:sz w:val="24"/>
              </w:rPr>
            </w:pPr>
          </w:p>
        </w:tc>
      </w:tr>
      <w:tr w14:paraId="6640B26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1E0EB060">
            <w:pPr>
              <w:keepLines w:val="0"/>
              <w:pageBreakBefore w:val="0"/>
              <w:kinsoku/>
              <w:overflowPunct/>
              <w:topLinePunct w:val="0"/>
              <w:bidi w:val="0"/>
              <w:spacing w:line="400" w:lineRule="exact"/>
              <w:jc w:val="center"/>
              <w:rPr>
                <w:rFonts w:ascii="宋体" w:hAnsi="宋体" w:cs="hakuyoxingshu7000"/>
                <w:bCs/>
                <w:sz w:val="24"/>
              </w:rPr>
            </w:pPr>
            <w:r>
              <w:rPr>
                <w:rFonts w:hint="eastAsia" w:ascii="宋体" w:hAnsi="宋体" w:cs="hakuyoxingshu7000"/>
                <w:bCs/>
                <w:sz w:val="24"/>
              </w:rPr>
              <w:t>4</w:t>
            </w:r>
          </w:p>
        </w:tc>
        <w:tc>
          <w:tcPr>
            <w:tcW w:w="1787" w:type="dxa"/>
            <w:vAlign w:val="center"/>
          </w:tcPr>
          <w:p w14:paraId="141B683B">
            <w:pPr>
              <w:keepLines w:val="0"/>
              <w:pageBreakBefore w:val="0"/>
              <w:kinsoku/>
              <w:overflowPunct/>
              <w:topLinePunct w:val="0"/>
              <w:bidi w:val="0"/>
              <w:spacing w:line="400" w:lineRule="exact"/>
              <w:rPr>
                <w:rFonts w:ascii="宋体" w:hAnsi="宋体" w:cs="hakuyoxingshu7000"/>
                <w:bCs/>
                <w:sz w:val="24"/>
              </w:rPr>
            </w:pPr>
          </w:p>
        </w:tc>
        <w:tc>
          <w:tcPr>
            <w:tcW w:w="1525" w:type="dxa"/>
            <w:vAlign w:val="center"/>
          </w:tcPr>
          <w:p w14:paraId="48A1A246">
            <w:pPr>
              <w:keepLines w:val="0"/>
              <w:pageBreakBefore w:val="0"/>
              <w:kinsoku/>
              <w:overflowPunct/>
              <w:topLinePunct w:val="0"/>
              <w:bidi w:val="0"/>
              <w:spacing w:line="400" w:lineRule="exact"/>
              <w:rPr>
                <w:rFonts w:ascii="宋体" w:hAnsi="宋体" w:cs="hakuyoxingshu7000"/>
                <w:bCs/>
                <w:sz w:val="24"/>
              </w:rPr>
            </w:pPr>
          </w:p>
        </w:tc>
        <w:tc>
          <w:tcPr>
            <w:tcW w:w="1491" w:type="dxa"/>
            <w:vAlign w:val="center"/>
          </w:tcPr>
          <w:p w14:paraId="0435598A">
            <w:pPr>
              <w:keepLines w:val="0"/>
              <w:pageBreakBefore w:val="0"/>
              <w:kinsoku/>
              <w:overflowPunct/>
              <w:topLinePunct w:val="0"/>
              <w:bidi w:val="0"/>
              <w:spacing w:line="400" w:lineRule="exact"/>
              <w:rPr>
                <w:rFonts w:ascii="宋体" w:hAnsi="宋体" w:cs="hakuyoxingshu7000"/>
                <w:b/>
                <w:bCs/>
                <w:sz w:val="24"/>
              </w:rPr>
            </w:pPr>
          </w:p>
        </w:tc>
        <w:tc>
          <w:tcPr>
            <w:tcW w:w="2708" w:type="dxa"/>
            <w:vAlign w:val="center"/>
          </w:tcPr>
          <w:p w14:paraId="0F7BCE96">
            <w:pPr>
              <w:keepLines w:val="0"/>
              <w:pageBreakBefore w:val="0"/>
              <w:kinsoku/>
              <w:overflowPunct/>
              <w:topLinePunct w:val="0"/>
              <w:bidi w:val="0"/>
              <w:spacing w:line="400" w:lineRule="exact"/>
              <w:rPr>
                <w:rFonts w:ascii="宋体" w:hAnsi="宋体" w:cs="hakuyoxingshu7000"/>
                <w:b/>
                <w:bCs/>
                <w:sz w:val="24"/>
              </w:rPr>
            </w:pPr>
          </w:p>
        </w:tc>
        <w:tc>
          <w:tcPr>
            <w:tcW w:w="1555" w:type="dxa"/>
            <w:vAlign w:val="center"/>
          </w:tcPr>
          <w:p w14:paraId="6E81F066">
            <w:pPr>
              <w:keepLines w:val="0"/>
              <w:pageBreakBefore w:val="0"/>
              <w:kinsoku/>
              <w:overflowPunct/>
              <w:topLinePunct w:val="0"/>
              <w:bidi w:val="0"/>
              <w:spacing w:line="400" w:lineRule="exact"/>
              <w:rPr>
                <w:rFonts w:ascii="宋体" w:hAnsi="宋体" w:cs="hakuyoxingshu7000"/>
                <w:b/>
                <w:bCs/>
                <w:sz w:val="24"/>
              </w:rPr>
            </w:pPr>
          </w:p>
        </w:tc>
      </w:tr>
      <w:tr w14:paraId="4AB1877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4D62CF11">
            <w:pPr>
              <w:keepLines w:val="0"/>
              <w:pageBreakBefore w:val="0"/>
              <w:kinsoku/>
              <w:overflowPunct/>
              <w:topLinePunct w:val="0"/>
              <w:bidi w:val="0"/>
              <w:spacing w:line="400" w:lineRule="exact"/>
              <w:jc w:val="center"/>
              <w:rPr>
                <w:rFonts w:ascii="宋体" w:hAnsi="宋体" w:cs="hakuyoxingshu7000"/>
                <w:bCs/>
                <w:sz w:val="24"/>
              </w:rPr>
            </w:pPr>
            <w:r>
              <w:rPr>
                <w:rFonts w:hint="eastAsia" w:ascii="宋体" w:hAnsi="宋体" w:cs="hakuyoxingshu7000"/>
                <w:bCs/>
                <w:sz w:val="24"/>
              </w:rPr>
              <w:t>5</w:t>
            </w:r>
          </w:p>
        </w:tc>
        <w:tc>
          <w:tcPr>
            <w:tcW w:w="1787" w:type="dxa"/>
            <w:vAlign w:val="center"/>
          </w:tcPr>
          <w:p w14:paraId="3E1AD153">
            <w:pPr>
              <w:keepLines w:val="0"/>
              <w:pageBreakBefore w:val="0"/>
              <w:kinsoku/>
              <w:overflowPunct/>
              <w:topLinePunct w:val="0"/>
              <w:bidi w:val="0"/>
              <w:spacing w:line="400" w:lineRule="exact"/>
              <w:rPr>
                <w:rFonts w:ascii="宋体" w:hAnsi="宋体" w:cs="hakuyoxingshu7000"/>
                <w:bCs/>
                <w:sz w:val="24"/>
              </w:rPr>
            </w:pPr>
          </w:p>
        </w:tc>
        <w:tc>
          <w:tcPr>
            <w:tcW w:w="1525" w:type="dxa"/>
            <w:vAlign w:val="center"/>
          </w:tcPr>
          <w:p w14:paraId="379C5A32">
            <w:pPr>
              <w:keepLines w:val="0"/>
              <w:pageBreakBefore w:val="0"/>
              <w:kinsoku/>
              <w:overflowPunct/>
              <w:topLinePunct w:val="0"/>
              <w:bidi w:val="0"/>
              <w:spacing w:line="400" w:lineRule="exact"/>
              <w:rPr>
                <w:rFonts w:ascii="宋体" w:hAnsi="宋体" w:cs="hakuyoxingshu7000"/>
                <w:bCs/>
                <w:sz w:val="24"/>
              </w:rPr>
            </w:pPr>
          </w:p>
        </w:tc>
        <w:tc>
          <w:tcPr>
            <w:tcW w:w="1491" w:type="dxa"/>
            <w:vAlign w:val="center"/>
          </w:tcPr>
          <w:p w14:paraId="0AE0D73D">
            <w:pPr>
              <w:keepLines w:val="0"/>
              <w:pageBreakBefore w:val="0"/>
              <w:kinsoku/>
              <w:overflowPunct/>
              <w:topLinePunct w:val="0"/>
              <w:bidi w:val="0"/>
              <w:spacing w:line="400" w:lineRule="exact"/>
              <w:rPr>
                <w:rFonts w:ascii="宋体" w:hAnsi="宋体" w:cs="hakuyoxingshu7000"/>
                <w:b/>
                <w:bCs/>
                <w:sz w:val="24"/>
              </w:rPr>
            </w:pPr>
          </w:p>
        </w:tc>
        <w:tc>
          <w:tcPr>
            <w:tcW w:w="2708" w:type="dxa"/>
            <w:vAlign w:val="center"/>
          </w:tcPr>
          <w:p w14:paraId="778B2FD3">
            <w:pPr>
              <w:keepLines w:val="0"/>
              <w:pageBreakBefore w:val="0"/>
              <w:kinsoku/>
              <w:overflowPunct/>
              <w:topLinePunct w:val="0"/>
              <w:bidi w:val="0"/>
              <w:spacing w:line="400" w:lineRule="exact"/>
              <w:rPr>
                <w:rFonts w:ascii="宋体" w:hAnsi="宋体" w:cs="hakuyoxingshu7000"/>
                <w:b/>
                <w:bCs/>
                <w:sz w:val="24"/>
              </w:rPr>
            </w:pPr>
          </w:p>
        </w:tc>
        <w:tc>
          <w:tcPr>
            <w:tcW w:w="1555" w:type="dxa"/>
            <w:vAlign w:val="center"/>
          </w:tcPr>
          <w:p w14:paraId="1DF7CB65">
            <w:pPr>
              <w:keepLines w:val="0"/>
              <w:pageBreakBefore w:val="0"/>
              <w:kinsoku/>
              <w:overflowPunct/>
              <w:topLinePunct w:val="0"/>
              <w:bidi w:val="0"/>
              <w:spacing w:line="400" w:lineRule="exact"/>
              <w:rPr>
                <w:rFonts w:ascii="宋体" w:hAnsi="宋体" w:cs="hakuyoxingshu7000"/>
                <w:b/>
                <w:bCs/>
                <w:sz w:val="24"/>
              </w:rPr>
            </w:pPr>
          </w:p>
        </w:tc>
      </w:tr>
      <w:tr w14:paraId="0C458BE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64881B97">
            <w:pPr>
              <w:keepLines w:val="0"/>
              <w:pageBreakBefore w:val="0"/>
              <w:kinsoku/>
              <w:overflowPunct/>
              <w:topLinePunct w:val="0"/>
              <w:bidi w:val="0"/>
              <w:spacing w:line="400" w:lineRule="exact"/>
              <w:jc w:val="center"/>
              <w:rPr>
                <w:rFonts w:ascii="宋体" w:hAnsi="宋体" w:cs="hakuyoxingshu7000"/>
                <w:bCs/>
                <w:sz w:val="24"/>
              </w:rPr>
            </w:pPr>
            <w:r>
              <w:rPr>
                <w:rFonts w:hint="eastAsia" w:ascii="宋体" w:hAnsi="宋体" w:cs="hakuyoxingshu7000"/>
                <w:bCs/>
                <w:sz w:val="24"/>
              </w:rPr>
              <w:t>6</w:t>
            </w:r>
          </w:p>
        </w:tc>
        <w:tc>
          <w:tcPr>
            <w:tcW w:w="1787" w:type="dxa"/>
            <w:vAlign w:val="center"/>
          </w:tcPr>
          <w:p w14:paraId="1B51595E">
            <w:pPr>
              <w:keepLines w:val="0"/>
              <w:pageBreakBefore w:val="0"/>
              <w:kinsoku/>
              <w:overflowPunct/>
              <w:topLinePunct w:val="0"/>
              <w:bidi w:val="0"/>
              <w:spacing w:line="400" w:lineRule="exact"/>
              <w:rPr>
                <w:rFonts w:ascii="宋体" w:hAnsi="宋体" w:cs="hakuyoxingshu7000"/>
                <w:bCs/>
                <w:sz w:val="24"/>
              </w:rPr>
            </w:pPr>
          </w:p>
        </w:tc>
        <w:tc>
          <w:tcPr>
            <w:tcW w:w="1525" w:type="dxa"/>
            <w:vAlign w:val="center"/>
          </w:tcPr>
          <w:p w14:paraId="7BAF720A">
            <w:pPr>
              <w:keepLines w:val="0"/>
              <w:pageBreakBefore w:val="0"/>
              <w:kinsoku/>
              <w:overflowPunct/>
              <w:topLinePunct w:val="0"/>
              <w:bidi w:val="0"/>
              <w:spacing w:line="400" w:lineRule="exact"/>
              <w:rPr>
                <w:rFonts w:ascii="宋体" w:hAnsi="宋体" w:cs="hakuyoxingshu7000"/>
                <w:bCs/>
                <w:sz w:val="24"/>
              </w:rPr>
            </w:pPr>
          </w:p>
        </w:tc>
        <w:tc>
          <w:tcPr>
            <w:tcW w:w="1491" w:type="dxa"/>
            <w:vAlign w:val="center"/>
          </w:tcPr>
          <w:p w14:paraId="60831453">
            <w:pPr>
              <w:keepLines w:val="0"/>
              <w:pageBreakBefore w:val="0"/>
              <w:kinsoku/>
              <w:overflowPunct/>
              <w:topLinePunct w:val="0"/>
              <w:bidi w:val="0"/>
              <w:spacing w:line="400" w:lineRule="exact"/>
              <w:rPr>
                <w:rFonts w:ascii="宋体" w:hAnsi="宋体" w:cs="hakuyoxingshu7000"/>
                <w:b/>
                <w:bCs/>
                <w:sz w:val="24"/>
              </w:rPr>
            </w:pPr>
          </w:p>
        </w:tc>
        <w:tc>
          <w:tcPr>
            <w:tcW w:w="2708" w:type="dxa"/>
            <w:vAlign w:val="center"/>
          </w:tcPr>
          <w:p w14:paraId="33894511">
            <w:pPr>
              <w:keepLines w:val="0"/>
              <w:pageBreakBefore w:val="0"/>
              <w:kinsoku/>
              <w:overflowPunct/>
              <w:topLinePunct w:val="0"/>
              <w:bidi w:val="0"/>
              <w:spacing w:line="400" w:lineRule="exact"/>
              <w:rPr>
                <w:rFonts w:ascii="宋体" w:hAnsi="宋体" w:cs="hakuyoxingshu7000"/>
                <w:b/>
                <w:bCs/>
                <w:sz w:val="24"/>
              </w:rPr>
            </w:pPr>
          </w:p>
        </w:tc>
        <w:tc>
          <w:tcPr>
            <w:tcW w:w="1555" w:type="dxa"/>
            <w:vAlign w:val="center"/>
          </w:tcPr>
          <w:p w14:paraId="57B16B6B">
            <w:pPr>
              <w:keepLines w:val="0"/>
              <w:pageBreakBefore w:val="0"/>
              <w:kinsoku/>
              <w:overflowPunct/>
              <w:topLinePunct w:val="0"/>
              <w:bidi w:val="0"/>
              <w:spacing w:line="400" w:lineRule="exact"/>
              <w:rPr>
                <w:rFonts w:ascii="宋体" w:hAnsi="宋体" w:cs="hakuyoxingshu7000"/>
                <w:b/>
                <w:bCs/>
                <w:sz w:val="24"/>
              </w:rPr>
            </w:pPr>
          </w:p>
        </w:tc>
      </w:tr>
      <w:tr w14:paraId="26336B2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0B1C40FA">
            <w:pPr>
              <w:keepLines w:val="0"/>
              <w:pageBreakBefore w:val="0"/>
              <w:kinsoku/>
              <w:overflowPunct/>
              <w:topLinePunct w:val="0"/>
              <w:bidi w:val="0"/>
              <w:spacing w:line="400" w:lineRule="exact"/>
              <w:jc w:val="center"/>
              <w:rPr>
                <w:rFonts w:ascii="宋体" w:hAnsi="宋体" w:cs="hakuyoxingshu7000"/>
                <w:bCs/>
                <w:sz w:val="24"/>
              </w:rPr>
            </w:pPr>
          </w:p>
        </w:tc>
        <w:tc>
          <w:tcPr>
            <w:tcW w:w="1787" w:type="dxa"/>
            <w:vAlign w:val="center"/>
          </w:tcPr>
          <w:p w14:paraId="2D78319A">
            <w:pPr>
              <w:keepLines w:val="0"/>
              <w:pageBreakBefore w:val="0"/>
              <w:kinsoku/>
              <w:overflowPunct/>
              <w:topLinePunct w:val="0"/>
              <w:bidi w:val="0"/>
              <w:spacing w:line="400" w:lineRule="exact"/>
              <w:rPr>
                <w:rFonts w:hint="default" w:ascii="宋体" w:hAnsi="宋体" w:eastAsia="宋体" w:cs="hakuyoxingshu7000"/>
                <w:bCs/>
                <w:sz w:val="24"/>
                <w:lang w:val="en-US" w:eastAsia="zh-CN"/>
              </w:rPr>
            </w:pPr>
            <w:r>
              <w:rPr>
                <w:rFonts w:hint="eastAsia" w:ascii="宋体" w:hAnsi="宋体" w:cs="hakuyoxingshu7000"/>
                <w:bCs/>
                <w:sz w:val="24"/>
                <w:lang w:val="en-US" w:eastAsia="zh-CN"/>
              </w:rPr>
              <w:t>.......</w:t>
            </w:r>
          </w:p>
        </w:tc>
        <w:tc>
          <w:tcPr>
            <w:tcW w:w="1525" w:type="dxa"/>
            <w:vAlign w:val="center"/>
          </w:tcPr>
          <w:p w14:paraId="4F29E8A2">
            <w:pPr>
              <w:keepLines w:val="0"/>
              <w:pageBreakBefore w:val="0"/>
              <w:kinsoku/>
              <w:overflowPunct/>
              <w:topLinePunct w:val="0"/>
              <w:bidi w:val="0"/>
              <w:spacing w:line="400" w:lineRule="exact"/>
              <w:rPr>
                <w:rFonts w:ascii="宋体" w:hAnsi="宋体" w:cs="hakuyoxingshu7000"/>
                <w:bCs/>
                <w:sz w:val="24"/>
              </w:rPr>
            </w:pPr>
          </w:p>
        </w:tc>
        <w:tc>
          <w:tcPr>
            <w:tcW w:w="1491" w:type="dxa"/>
            <w:vAlign w:val="center"/>
          </w:tcPr>
          <w:p w14:paraId="7A34C893">
            <w:pPr>
              <w:keepLines w:val="0"/>
              <w:pageBreakBefore w:val="0"/>
              <w:kinsoku/>
              <w:overflowPunct/>
              <w:topLinePunct w:val="0"/>
              <w:bidi w:val="0"/>
              <w:spacing w:line="400" w:lineRule="exact"/>
              <w:rPr>
                <w:rFonts w:ascii="宋体" w:hAnsi="宋体" w:cs="hakuyoxingshu7000"/>
                <w:b/>
                <w:bCs/>
                <w:sz w:val="24"/>
              </w:rPr>
            </w:pPr>
          </w:p>
        </w:tc>
        <w:tc>
          <w:tcPr>
            <w:tcW w:w="2708" w:type="dxa"/>
            <w:vAlign w:val="center"/>
          </w:tcPr>
          <w:p w14:paraId="64FF3DC9">
            <w:pPr>
              <w:keepLines w:val="0"/>
              <w:pageBreakBefore w:val="0"/>
              <w:kinsoku/>
              <w:overflowPunct/>
              <w:topLinePunct w:val="0"/>
              <w:bidi w:val="0"/>
              <w:spacing w:line="400" w:lineRule="exact"/>
              <w:rPr>
                <w:rFonts w:ascii="宋体" w:hAnsi="宋体" w:cs="hakuyoxingshu7000"/>
                <w:b/>
                <w:bCs/>
                <w:sz w:val="24"/>
              </w:rPr>
            </w:pPr>
          </w:p>
        </w:tc>
        <w:tc>
          <w:tcPr>
            <w:tcW w:w="1555" w:type="dxa"/>
            <w:vAlign w:val="center"/>
          </w:tcPr>
          <w:p w14:paraId="17DAA740">
            <w:pPr>
              <w:keepLines w:val="0"/>
              <w:pageBreakBefore w:val="0"/>
              <w:kinsoku/>
              <w:overflowPunct/>
              <w:topLinePunct w:val="0"/>
              <w:bidi w:val="0"/>
              <w:spacing w:line="400" w:lineRule="exact"/>
              <w:rPr>
                <w:rFonts w:ascii="宋体" w:hAnsi="宋体" w:cs="hakuyoxingshu7000"/>
                <w:b/>
                <w:bCs/>
                <w:sz w:val="24"/>
              </w:rPr>
            </w:pPr>
          </w:p>
        </w:tc>
      </w:tr>
      <w:tr w14:paraId="7A034CF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1EC8E45A">
            <w:pPr>
              <w:keepLines w:val="0"/>
              <w:pageBreakBefore w:val="0"/>
              <w:kinsoku/>
              <w:overflowPunct/>
              <w:topLinePunct w:val="0"/>
              <w:bidi w:val="0"/>
              <w:spacing w:line="400" w:lineRule="exact"/>
              <w:jc w:val="center"/>
              <w:rPr>
                <w:rFonts w:ascii="宋体" w:hAnsi="宋体" w:cs="hakuyoxingshu7000"/>
                <w:bCs/>
                <w:sz w:val="24"/>
              </w:rPr>
            </w:pPr>
          </w:p>
        </w:tc>
        <w:tc>
          <w:tcPr>
            <w:tcW w:w="4803" w:type="dxa"/>
            <w:gridSpan w:val="3"/>
            <w:vAlign w:val="center"/>
          </w:tcPr>
          <w:p w14:paraId="38A48371">
            <w:pPr>
              <w:keepLines w:val="0"/>
              <w:pageBreakBefore w:val="0"/>
              <w:kinsoku/>
              <w:overflowPunct/>
              <w:topLinePunct w:val="0"/>
              <w:bidi w:val="0"/>
              <w:spacing w:line="400" w:lineRule="exact"/>
              <w:jc w:val="center"/>
              <w:rPr>
                <w:rFonts w:ascii="宋体" w:hAnsi="宋体" w:cs="hakuyoxingshu7000"/>
                <w:b/>
                <w:bCs/>
                <w:sz w:val="24"/>
              </w:rPr>
            </w:pPr>
            <w:r>
              <w:rPr>
                <w:rFonts w:hint="eastAsia" w:ascii="宋体" w:hAnsi="宋体" w:cs="hakuyoxingshu7000"/>
                <w:b/>
                <w:bCs/>
                <w:sz w:val="24"/>
              </w:rPr>
              <w:t>合计金额：</w:t>
            </w:r>
          </w:p>
        </w:tc>
        <w:tc>
          <w:tcPr>
            <w:tcW w:w="2708" w:type="dxa"/>
            <w:vAlign w:val="center"/>
          </w:tcPr>
          <w:p w14:paraId="5F660563">
            <w:pPr>
              <w:keepLines w:val="0"/>
              <w:pageBreakBefore w:val="0"/>
              <w:kinsoku/>
              <w:overflowPunct/>
              <w:topLinePunct w:val="0"/>
              <w:bidi w:val="0"/>
              <w:spacing w:line="400" w:lineRule="exact"/>
              <w:rPr>
                <w:rFonts w:ascii="宋体" w:hAnsi="宋体" w:cs="hakuyoxingshu7000"/>
                <w:b/>
                <w:bCs/>
                <w:sz w:val="24"/>
              </w:rPr>
            </w:pPr>
          </w:p>
        </w:tc>
        <w:tc>
          <w:tcPr>
            <w:tcW w:w="1555" w:type="dxa"/>
            <w:vAlign w:val="center"/>
          </w:tcPr>
          <w:p w14:paraId="2EDB0546">
            <w:pPr>
              <w:keepLines w:val="0"/>
              <w:pageBreakBefore w:val="0"/>
              <w:kinsoku/>
              <w:overflowPunct/>
              <w:topLinePunct w:val="0"/>
              <w:bidi w:val="0"/>
              <w:spacing w:line="400" w:lineRule="exact"/>
              <w:rPr>
                <w:rFonts w:ascii="宋体" w:hAnsi="宋体" w:cs="hakuyoxingshu7000"/>
                <w:b/>
                <w:bCs/>
                <w:sz w:val="24"/>
              </w:rPr>
            </w:pPr>
          </w:p>
        </w:tc>
      </w:tr>
      <w:tr w14:paraId="424747E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0" w:hRule="atLeast"/>
        </w:trPr>
        <w:tc>
          <w:tcPr>
            <w:tcW w:w="9583" w:type="dxa"/>
            <w:gridSpan w:val="6"/>
            <w:vAlign w:val="center"/>
          </w:tcPr>
          <w:p w14:paraId="71879A09">
            <w:pPr>
              <w:keepLines w:val="0"/>
              <w:pageBreakBefore w:val="0"/>
              <w:kinsoku/>
              <w:overflowPunct/>
              <w:topLinePunct w:val="0"/>
              <w:bidi w:val="0"/>
              <w:spacing w:line="400" w:lineRule="exact"/>
              <w:rPr>
                <w:rFonts w:ascii="宋体" w:hAnsi="宋体" w:cs="hakuyoxingshu7000"/>
                <w:b/>
                <w:bCs/>
                <w:sz w:val="24"/>
              </w:rPr>
            </w:pPr>
            <w:r>
              <w:rPr>
                <w:rFonts w:hint="eastAsia" w:ascii="宋体" w:hAnsi="宋体" w:cs="hakuyoxingshu7000"/>
                <w:b/>
                <w:bCs/>
                <w:sz w:val="24"/>
              </w:rPr>
              <w:t>合计投标报价（大写）：                             元人民币</w:t>
            </w:r>
          </w:p>
        </w:tc>
      </w:tr>
    </w:tbl>
    <w:p w14:paraId="7C5796F9">
      <w:pPr>
        <w:keepLines w:val="0"/>
        <w:pageBreakBefore w:val="0"/>
        <w:kinsoku/>
        <w:overflowPunct/>
        <w:topLinePunct w:val="0"/>
        <w:bidi w:val="0"/>
        <w:spacing w:line="400" w:lineRule="exact"/>
        <w:rPr>
          <w:rFonts w:hint="eastAsia" w:ascii="新宋体" w:hAnsi="新宋体" w:eastAsia="新宋体" w:cs="Times New Roman"/>
          <w:b/>
          <w:sz w:val="24"/>
          <w:lang w:val="en-US" w:eastAsia="zh-CN"/>
        </w:rPr>
      </w:pPr>
      <w:r>
        <w:rPr>
          <w:rFonts w:hint="eastAsia" w:ascii="新宋体" w:hAnsi="新宋体" w:eastAsia="新宋体"/>
          <w:b/>
          <w:sz w:val="24"/>
        </w:rPr>
        <w:t>说</w:t>
      </w:r>
      <w:r>
        <w:rPr>
          <w:rFonts w:hint="eastAsia" w:ascii="新宋体" w:hAnsi="新宋体" w:eastAsia="新宋体" w:cs="Times New Roman"/>
          <w:b/>
          <w:sz w:val="24"/>
        </w:rPr>
        <w:t>明：</w:t>
      </w:r>
      <w:r>
        <w:rPr>
          <w:rFonts w:hint="eastAsia" w:ascii="新宋体" w:hAnsi="新宋体" w:eastAsia="新宋体" w:cs="Times New Roman"/>
          <w:b/>
          <w:sz w:val="24"/>
          <w:lang w:val="en-US" w:eastAsia="zh-CN"/>
        </w:rPr>
        <w:t>1.本次项目以人民币报价，评审时以人民币价格为准。</w:t>
      </w:r>
    </w:p>
    <w:p w14:paraId="2A3E4A14">
      <w:pPr>
        <w:keepLines w:val="0"/>
        <w:pageBreakBefore w:val="0"/>
        <w:kinsoku/>
        <w:overflowPunct/>
        <w:topLinePunct w:val="0"/>
        <w:bidi w:val="0"/>
        <w:spacing w:line="400" w:lineRule="exact"/>
        <w:rPr>
          <w:rFonts w:hint="eastAsia" w:ascii="新宋体" w:hAnsi="新宋体" w:eastAsia="新宋体" w:cs="Times New Roman"/>
          <w:b/>
          <w:sz w:val="24"/>
          <w:lang w:val="en-US" w:eastAsia="zh-CN"/>
        </w:rPr>
      </w:pPr>
      <w:r>
        <w:rPr>
          <w:rFonts w:hint="eastAsia" w:ascii="新宋体" w:hAnsi="新宋体" w:eastAsia="新宋体" w:cs="Times New Roman"/>
          <w:b/>
          <w:sz w:val="24"/>
          <w:lang w:val="en-US" w:eastAsia="zh-CN"/>
        </w:rPr>
        <w:t>2.投标报价应包含以下费用：（1）人员成本费用；（2）机具、材料费用；（3）企业管理费用及其他费用；（4）利润；（5）税金、风险等其他一切费用。投标报价为完成本项目其他一切费用，投标供应商不得再要求追加任何费用。</w:t>
      </w:r>
    </w:p>
    <w:p w14:paraId="56D359AC">
      <w:pPr>
        <w:keepLines w:val="0"/>
        <w:pageBreakBefore w:val="0"/>
        <w:kinsoku/>
        <w:overflowPunct/>
        <w:topLinePunct w:val="0"/>
        <w:bidi w:val="0"/>
        <w:spacing w:line="400" w:lineRule="exact"/>
        <w:rPr>
          <w:rFonts w:ascii="宋体" w:hAnsi="宋体" w:cs="Arial"/>
          <w:b/>
          <w:bCs/>
          <w:sz w:val="24"/>
        </w:rPr>
      </w:pPr>
    </w:p>
    <w:p w14:paraId="3010D84D">
      <w:pPr>
        <w:keepLines w:val="0"/>
        <w:pageBreakBefore w:val="0"/>
        <w:kinsoku/>
        <w:overflowPunct/>
        <w:topLinePunct w:val="0"/>
        <w:bidi w:val="0"/>
        <w:spacing w:line="400" w:lineRule="exact"/>
        <w:rPr>
          <w:rFonts w:ascii="宋体" w:hAnsi="宋体" w:cs="Arial"/>
          <w:b/>
          <w:bCs/>
          <w:sz w:val="24"/>
        </w:rPr>
      </w:pPr>
    </w:p>
    <w:p w14:paraId="3BCDC3F6">
      <w:pPr>
        <w:keepLines w:val="0"/>
        <w:pageBreakBefore w:val="0"/>
        <w:kinsoku/>
        <w:overflowPunct/>
        <w:topLinePunct w:val="0"/>
        <w:bidi w:val="0"/>
        <w:spacing w:line="400" w:lineRule="exact"/>
        <w:ind w:right="-11" w:firstLine="240" w:firstLineChars="100"/>
        <w:rPr>
          <w:rFonts w:ascii="宋体" w:hAnsi="宋体" w:cs="Arial"/>
          <w:sz w:val="24"/>
        </w:rPr>
      </w:pPr>
      <w:r>
        <w:rPr>
          <w:rFonts w:hint="eastAsia" w:ascii="宋体" w:hAnsi="宋体" w:cs="Arial"/>
          <w:sz w:val="24"/>
        </w:rPr>
        <w:t>投标商全称</w:t>
      </w:r>
      <w:r>
        <w:rPr>
          <w:rFonts w:ascii="宋体" w:hAnsi="宋体" w:cs="Arial"/>
          <w:sz w:val="24"/>
        </w:rPr>
        <w:t>（公章）：</w:t>
      </w:r>
      <w:r>
        <w:rPr>
          <w:rFonts w:hint="eastAsia" w:ascii="宋体" w:hAnsi="宋体" w:cs="Arial"/>
          <w:sz w:val="24"/>
          <w:u w:val="single"/>
        </w:rPr>
        <w:t xml:space="preserve">                    </w:t>
      </w:r>
    </w:p>
    <w:p w14:paraId="2A289A9D">
      <w:pPr>
        <w:keepLines w:val="0"/>
        <w:pageBreakBefore w:val="0"/>
        <w:kinsoku/>
        <w:overflowPunct/>
        <w:topLinePunct w:val="0"/>
        <w:bidi w:val="0"/>
        <w:spacing w:line="400" w:lineRule="exact"/>
        <w:rPr>
          <w:rFonts w:ascii="宋体" w:hAnsi="宋体"/>
          <w:sz w:val="24"/>
        </w:rPr>
      </w:pPr>
      <w:r>
        <w:rPr>
          <w:rFonts w:hint="eastAsia" w:ascii="宋体" w:hAnsi="宋体"/>
          <w:sz w:val="24"/>
        </w:rPr>
        <w:t xml:space="preserve">  </w:t>
      </w:r>
      <w:r>
        <w:rPr>
          <w:rFonts w:ascii="宋体" w:hAnsi="宋体"/>
          <w:sz w:val="24"/>
        </w:rPr>
        <w:t>日期：</w:t>
      </w:r>
      <w:r>
        <w:rPr>
          <w:rFonts w:hint="eastAsia" w:ascii="宋体" w:hAnsi="宋体"/>
          <w:sz w:val="24"/>
          <w:u w:val="single"/>
        </w:rPr>
        <w:t xml:space="preserve">               </w:t>
      </w:r>
    </w:p>
    <w:p w14:paraId="34D68EAE">
      <w:pPr>
        <w:keepLines w:val="0"/>
        <w:pageBreakBefore w:val="0"/>
        <w:kinsoku/>
        <w:overflowPunct/>
        <w:topLinePunct w:val="0"/>
        <w:bidi w:val="0"/>
        <w:spacing w:line="400" w:lineRule="exact"/>
        <w:rPr>
          <w:sz w:val="24"/>
        </w:rPr>
      </w:pPr>
    </w:p>
    <w:p w14:paraId="4B1A0496">
      <w:pPr>
        <w:keepLines w:val="0"/>
        <w:pageBreakBefore w:val="0"/>
        <w:kinsoku/>
        <w:overflowPunct/>
        <w:topLinePunct w:val="0"/>
        <w:bidi w:val="0"/>
        <w:spacing w:line="400" w:lineRule="exact"/>
      </w:pPr>
      <w:r>
        <w:br w:type="page"/>
      </w:r>
    </w:p>
    <w:p w14:paraId="51CF9948">
      <w:pPr>
        <w:pStyle w:val="3"/>
        <w:widowControl/>
        <w:adjustRightInd w:val="0"/>
        <w:snapToGrid w:val="0"/>
        <w:spacing w:before="0" w:after="0" w:line="360" w:lineRule="auto"/>
        <w:jc w:val="center"/>
        <w:rPr>
          <w:rFonts w:hint="eastAsia" w:asciiTheme="minorEastAsia" w:hAnsiTheme="minorEastAsia" w:eastAsiaTheme="minorEastAsia" w:cstheme="minorEastAsia"/>
          <w:b w:val="0"/>
          <w:bCs w:val="0"/>
          <w:kern w:val="0"/>
          <w:sz w:val="44"/>
          <w:szCs w:val="44"/>
          <w:lang w:eastAsia="zh-CN"/>
        </w:rPr>
      </w:pPr>
      <w:r>
        <w:rPr>
          <w:rFonts w:hint="eastAsia" w:asciiTheme="minorEastAsia" w:hAnsiTheme="minorEastAsia" w:eastAsiaTheme="minorEastAsia" w:cstheme="minorEastAsia"/>
          <w:b w:val="0"/>
          <w:bCs w:val="0"/>
          <w:kern w:val="0"/>
          <w:sz w:val="44"/>
          <w:szCs w:val="44"/>
          <w:lang w:eastAsia="zh-CN"/>
        </w:rPr>
        <w:t>合同协议书</w:t>
      </w:r>
    </w:p>
    <w:p w14:paraId="3CE8AA6A">
      <w:pPr>
        <w:keepNext w:val="0"/>
        <w:keepLines w:val="0"/>
        <w:pageBreakBefore w:val="0"/>
        <w:widowControl w:val="0"/>
        <w:kinsoku/>
        <w:wordWrap/>
        <w:overflowPunct/>
        <w:topLinePunct w:val="0"/>
        <w:autoSpaceDE/>
        <w:autoSpaceDN/>
        <w:bidi w:val="0"/>
        <w:adjustRightInd/>
        <w:snapToGrid/>
        <w:spacing w:line="500" w:lineRule="exact"/>
        <w:ind w:firstLine="504" w:firstLineChars="200"/>
        <w:textAlignment w:val="auto"/>
        <w:rPr>
          <w:rFonts w:hint="eastAsia" w:asciiTheme="minorEastAsia" w:hAnsiTheme="minorEastAsia" w:eastAsiaTheme="minorEastAsia" w:cstheme="minorEastAsia"/>
          <w:spacing w:val="6"/>
          <w:sz w:val="24"/>
          <w:szCs w:val="24"/>
          <w:u w:val="none"/>
          <w:lang w:val="en-US" w:eastAsia="zh-CN"/>
        </w:rPr>
      </w:pPr>
      <w:r>
        <w:rPr>
          <w:rFonts w:hint="eastAsia" w:asciiTheme="minorEastAsia" w:hAnsiTheme="minorEastAsia" w:eastAsiaTheme="minorEastAsia" w:cstheme="minorEastAsia"/>
          <w:spacing w:val="6"/>
          <w:sz w:val="24"/>
          <w:szCs w:val="24"/>
        </w:rPr>
        <w:t>甲方：</w:t>
      </w:r>
      <w:r>
        <w:rPr>
          <w:rFonts w:hint="eastAsia" w:asciiTheme="minorEastAsia" w:hAnsiTheme="minorEastAsia" w:eastAsiaTheme="minorEastAsia" w:cstheme="minorEastAsia"/>
          <w:spacing w:val="6"/>
          <w:sz w:val="24"/>
          <w:szCs w:val="24"/>
          <w:u w:val="single"/>
          <w:lang w:val="en-US" w:eastAsia="zh-CN"/>
        </w:rPr>
        <w:t xml:space="preserve">                 </w:t>
      </w:r>
      <w:r>
        <w:rPr>
          <w:rFonts w:hint="eastAsia" w:asciiTheme="minorEastAsia" w:hAnsiTheme="minorEastAsia" w:eastAsiaTheme="minorEastAsia" w:cstheme="minorEastAsia"/>
          <w:spacing w:val="6"/>
          <w:sz w:val="24"/>
          <w:szCs w:val="24"/>
          <w:u w:val="none"/>
          <w:lang w:val="en-US" w:eastAsia="zh-CN"/>
        </w:rPr>
        <w:t xml:space="preserve">               </w:t>
      </w:r>
      <w:r>
        <w:rPr>
          <w:rFonts w:hint="eastAsia" w:asciiTheme="minorEastAsia" w:hAnsiTheme="minorEastAsia" w:eastAsiaTheme="minorEastAsia" w:cstheme="minorEastAsia"/>
          <w:spacing w:val="6"/>
          <w:sz w:val="24"/>
          <w:szCs w:val="24"/>
        </w:rPr>
        <w:t>乙方：________________</w:t>
      </w:r>
      <w:r>
        <w:rPr>
          <w:rFonts w:hint="eastAsia" w:asciiTheme="minorEastAsia" w:hAnsiTheme="minorEastAsia" w:eastAsiaTheme="minorEastAsia" w:cstheme="minorEastAsia"/>
          <w:spacing w:val="6"/>
          <w:sz w:val="24"/>
          <w:szCs w:val="24"/>
          <w:u w:val="none"/>
          <w:lang w:val="en-US" w:eastAsia="zh-CN"/>
        </w:rPr>
        <w:t xml:space="preserve">    </w:t>
      </w:r>
    </w:p>
    <w:p w14:paraId="4415AF91">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鉴于甲方于</w:t>
      </w:r>
      <w:r>
        <w:rPr>
          <w:rFonts w:hint="eastAsia" w:asciiTheme="minorEastAsia" w:hAnsiTheme="minorEastAsia" w:eastAsiaTheme="minorEastAsia" w:cstheme="minorEastAsia"/>
          <w:sz w:val="24"/>
          <w:szCs w:val="24"/>
          <w:highlight w:val="none"/>
          <w:u w:val="single"/>
          <w:lang w:val="en-US" w:eastAsia="zh-CN"/>
        </w:rPr>
        <w:t xml:space="preserve">      </w:t>
      </w:r>
      <w:r>
        <w:rPr>
          <w:rFonts w:hint="eastAsia" w:asciiTheme="minorEastAsia" w:hAnsiTheme="minorEastAsia" w:eastAsiaTheme="minorEastAsia" w:cstheme="minorEastAsia"/>
          <w:sz w:val="24"/>
          <w:szCs w:val="24"/>
          <w:highlight w:val="none"/>
        </w:rPr>
        <w:t>年</w:t>
      </w:r>
      <w:r>
        <w:rPr>
          <w:rFonts w:hint="eastAsia" w:asciiTheme="minorEastAsia" w:hAnsiTheme="minorEastAsia" w:eastAsiaTheme="minorEastAsia" w:cstheme="minorEastAsia"/>
          <w:sz w:val="24"/>
          <w:szCs w:val="24"/>
          <w:highlight w:val="none"/>
          <w:u w:val="single"/>
          <w:lang w:val="en-US" w:eastAsia="zh-CN"/>
        </w:rPr>
        <w:t xml:space="preserve">     </w:t>
      </w:r>
      <w:r>
        <w:rPr>
          <w:rFonts w:hint="eastAsia" w:asciiTheme="minorEastAsia" w:hAnsiTheme="minorEastAsia" w:eastAsiaTheme="minorEastAsia" w:cstheme="minorEastAsia"/>
          <w:sz w:val="24"/>
          <w:szCs w:val="24"/>
          <w:highlight w:val="none"/>
        </w:rPr>
        <w:t>月</w:t>
      </w:r>
      <w:r>
        <w:rPr>
          <w:rFonts w:hint="eastAsia" w:asciiTheme="minorEastAsia" w:hAnsiTheme="minorEastAsia" w:eastAsiaTheme="minorEastAsia" w:cstheme="minorEastAsia"/>
          <w:sz w:val="24"/>
          <w:szCs w:val="24"/>
          <w:highlight w:val="none"/>
          <w:u w:val="single"/>
          <w:lang w:val="en-US" w:eastAsia="zh-CN"/>
        </w:rPr>
        <w:t xml:space="preserve">    </w:t>
      </w:r>
      <w:r>
        <w:rPr>
          <w:rFonts w:hint="eastAsia" w:asciiTheme="minorEastAsia" w:hAnsiTheme="minorEastAsia" w:eastAsiaTheme="minorEastAsia" w:cstheme="minorEastAsia"/>
          <w:sz w:val="24"/>
          <w:szCs w:val="24"/>
          <w:highlight w:val="none"/>
        </w:rPr>
        <w:t>日</w:t>
      </w:r>
      <w:r>
        <w:rPr>
          <w:rFonts w:hint="eastAsia" w:asciiTheme="minorEastAsia" w:hAnsiTheme="minorEastAsia" w:eastAsiaTheme="minorEastAsia" w:cstheme="minorEastAsia"/>
          <w:kern w:val="0"/>
          <w:sz w:val="24"/>
        </w:rPr>
        <w:t>为获得</w:t>
      </w:r>
      <w:r>
        <w:rPr>
          <w:rFonts w:hint="eastAsia" w:asciiTheme="minorEastAsia" w:hAnsiTheme="minorEastAsia" w:eastAsiaTheme="minorEastAsia" w:cstheme="minorEastAsia"/>
          <w:kern w:val="0"/>
          <w:sz w:val="24"/>
          <w:u w:val="single"/>
        </w:rPr>
        <w:t>（服务名称）</w:t>
      </w:r>
      <w:r>
        <w:rPr>
          <w:rFonts w:hint="eastAsia" w:asciiTheme="minorEastAsia" w:hAnsiTheme="minorEastAsia" w:eastAsiaTheme="minorEastAsia" w:cstheme="minorEastAsia"/>
          <w:sz w:val="24"/>
          <w:szCs w:val="24"/>
          <w:highlight w:val="none"/>
        </w:rPr>
        <w:t>接受乙方对本合同项目的投标，双方根据《中华人民共和国</w:t>
      </w:r>
      <w:r>
        <w:rPr>
          <w:rFonts w:hint="eastAsia" w:asciiTheme="minorEastAsia" w:hAnsiTheme="minorEastAsia" w:eastAsiaTheme="minorEastAsia" w:cstheme="minorEastAsia"/>
          <w:sz w:val="24"/>
          <w:szCs w:val="24"/>
          <w:highlight w:val="none"/>
          <w:lang w:val="en-US" w:eastAsia="zh-CN"/>
        </w:rPr>
        <w:t>民法典</w:t>
      </w:r>
      <w:r>
        <w:rPr>
          <w:rFonts w:hint="eastAsia" w:asciiTheme="minorEastAsia" w:hAnsiTheme="minorEastAsia" w:eastAsiaTheme="minorEastAsia" w:cstheme="minorEastAsia"/>
          <w:sz w:val="24"/>
          <w:szCs w:val="24"/>
          <w:highlight w:val="none"/>
        </w:rPr>
        <w:t>》和本合同的</w:t>
      </w:r>
      <w:r>
        <w:rPr>
          <w:rFonts w:hint="eastAsia" w:asciiTheme="minorEastAsia" w:hAnsiTheme="minorEastAsia" w:eastAsiaTheme="minorEastAsia" w:cstheme="minorEastAsia"/>
          <w:sz w:val="24"/>
          <w:szCs w:val="24"/>
          <w:highlight w:val="none"/>
          <w:lang w:eastAsia="zh-CN"/>
        </w:rPr>
        <w:t>采购文件</w:t>
      </w:r>
      <w:r>
        <w:rPr>
          <w:rFonts w:hint="eastAsia" w:asciiTheme="minorEastAsia" w:hAnsiTheme="minorEastAsia" w:eastAsiaTheme="minorEastAsia" w:cstheme="minorEastAsia"/>
          <w:sz w:val="24"/>
          <w:szCs w:val="24"/>
          <w:highlight w:val="none"/>
        </w:rPr>
        <w:t>、投标文件及其投标中的承诺，经双方协商，同意签订本合同，共同遵守。</w:t>
      </w:r>
    </w:p>
    <w:p w14:paraId="772D3979">
      <w:pPr>
        <w:autoSpaceDE w:val="0"/>
        <w:autoSpaceDN w:val="0"/>
        <w:adjustRightInd w:val="0"/>
        <w:spacing w:line="360" w:lineRule="auto"/>
        <w:jc w:val="left"/>
        <w:rPr>
          <w:rFonts w:hint="eastAsia"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1、合同服务内容及价格</w:t>
      </w:r>
    </w:p>
    <w:p w14:paraId="02968EB5">
      <w:pPr>
        <w:autoSpaceDE w:val="0"/>
        <w:autoSpaceDN w:val="0"/>
        <w:adjustRightInd w:val="0"/>
        <w:spacing w:line="360" w:lineRule="auto"/>
        <w:ind w:firstLine="480" w:firstLineChars="200"/>
        <w:jc w:val="left"/>
        <w:rPr>
          <w:rFonts w:hint="eastAsia"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本此广告投播的服务费用合计人民币</w:t>
      </w:r>
      <w:r>
        <w:rPr>
          <w:rFonts w:hint="eastAsia" w:asciiTheme="minorEastAsia" w:hAnsiTheme="minorEastAsia" w:eastAsiaTheme="minorEastAsia" w:cstheme="minorEastAsia"/>
          <w:kern w:val="0"/>
          <w:sz w:val="24"/>
          <w:u w:val="single"/>
        </w:rPr>
        <w:t xml:space="preserve">        </w:t>
      </w:r>
      <w:r>
        <w:rPr>
          <w:rFonts w:hint="eastAsia" w:asciiTheme="minorEastAsia" w:hAnsiTheme="minorEastAsia" w:eastAsiaTheme="minorEastAsia" w:cstheme="minorEastAsia"/>
          <w:kern w:val="0"/>
          <w:sz w:val="24"/>
        </w:rPr>
        <w:t xml:space="preserve"> 元，大写人民币</w:t>
      </w:r>
      <w:r>
        <w:rPr>
          <w:rFonts w:hint="eastAsia" w:asciiTheme="minorEastAsia" w:hAnsiTheme="minorEastAsia" w:eastAsiaTheme="minorEastAsia" w:cstheme="minorEastAsia"/>
          <w:kern w:val="0"/>
          <w:sz w:val="24"/>
          <w:u w:val="single"/>
        </w:rPr>
        <w:t xml:space="preserve">        </w:t>
      </w:r>
      <w:r>
        <w:rPr>
          <w:rFonts w:hint="eastAsia" w:asciiTheme="minorEastAsia" w:hAnsiTheme="minorEastAsia" w:eastAsiaTheme="minorEastAsia" w:cstheme="minorEastAsia"/>
          <w:kern w:val="0"/>
          <w:sz w:val="24"/>
        </w:rPr>
        <w:t>元。</w:t>
      </w:r>
    </w:p>
    <w:p w14:paraId="276803DD">
      <w:pPr>
        <w:autoSpaceDE w:val="0"/>
        <w:autoSpaceDN w:val="0"/>
        <w:adjustRightInd w:val="0"/>
        <w:spacing w:line="360" w:lineRule="auto"/>
        <w:ind w:firstLine="480" w:firstLineChars="200"/>
        <w:jc w:val="left"/>
        <w:rPr>
          <w:rFonts w:hint="eastAsia" w:asciiTheme="minorEastAsia" w:hAnsiTheme="minorEastAsia" w:eastAsiaTheme="minorEastAsia" w:cstheme="minorEastAsia"/>
          <w:color w:val="auto"/>
          <w:kern w:val="0"/>
          <w:sz w:val="24"/>
        </w:rPr>
      </w:pPr>
      <w:r>
        <w:rPr>
          <w:rFonts w:hint="eastAsia" w:asciiTheme="minorEastAsia" w:hAnsiTheme="minorEastAsia" w:eastAsiaTheme="minorEastAsia" w:cstheme="minorEastAsia"/>
          <w:sz w:val="24"/>
        </w:rPr>
        <w:t>服务期限</w:t>
      </w:r>
      <w:r>
        <w:rPr>
          <w:rFonts w:hint="eastAsia" w:asciiTheme="minorEastAsia" w:hAnsiTheme="minorEastAsia" w:eastAsiaTheme="minorEastAsia" w:cstheme="minorEastAsia"/>
          <w:color w:val="auto"/>
          <w:sz w:val="24"/>
        </w:rPr>
        <w:t>：</w:t>
      </w:r>
      <w:r>
        <w:rPr>
          <w:rFonts w:hint="eastAsia" w:asciiTheme="minorEastAsia" w:hAnsiTheme="minorEastAsia" w:eastAsiaTheme="minorEastAsia" w:cstheme="minorEastAsia"/>
          <w:color w:val="auto"/>
          <w:sz w:val="24"/>
          <w:lang w:val="en-US" w:eastAsia="zh-CN"/>
        </w:rPr>
        <w:t>1年</w:t>
      </w:r>
      <w:r>
        <w:rPr>
          <w:rFonts w:hint="eastAsia" w:asciiTheme="minorEastAsia" w:hAnsiTheme="minorEastAsia" w:eastAsiaTheme="minorEastAsia" w:cstheme="minorEastAsia"/>
          <w:color w:val="auto"/>
          <w:sz w:val="24"/>
        </w:rPr>
        <w:t>。</w:t>
      </w:r>
    </w:p>
    <w:p w14:paraId="457392BD">
      <w:pPr>
        <w:autoSpaceDE w:val="0"/>
        <w:autoSpaceDN w:val="0"/>
        <w:adjustRightInd w:val="0"/>
        <w:spacing w:line="360" w:lineRule="auto"/>
        <w:ind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kern w:val="0"/>
          <w:sz w:val="24"/>
        </w:rPr>
        <w:t>本合同总价内包含的内容：</w:t>
      </w:r>
      <w:r>
        <w:rPr>
          <w:rFonts w:hint="eastAsia" w:asciiTheme="minorEastAsia" w:hAnsiTheme="minorEastAsia" w:eastAsiaTheme="minorEastAsia" w:cstheme="minorEastAsia"/>
          <w:color w:val="auto"/>
          <w:sz w:val="24"/>
          <w:szCs w:val="24"/>
        </w:rPr>
        <w:t>应包括本项目的广告制作、广告位租赁、广告投播、维保费用、利润、税金、政策性文件规定费用以及合同包含的所有风险责任、不可预见费等所有费用。</w:t>
      </w:r>
    </w:p>
    <w:p w14:paraId="50D4B538">
      <w:pPr>
        <w:autoSpaceDE w:val="0"/>
        <w:autoSpaceDN w:val="0"/>
        <w:adjustRightInd w:val="0"/>
        <w:spacing w:line="360" w:lineRule="auto"/>
        <w:jc w:val="left"/>
        <w:rPr>
          <w:rFonts w:hint="eastAsia" w:asciiTheme="minorEastAsia" w:hAnsiTheme="minorEastAsia" w:eastAsiaTheme="minorEastAsia" w:cstheme="minorEastAsia"/>
          <w:color w:val="auto"/>
          <w:kern w:val="0"/>
          <w:sz w:val="24"/>
        </w:rPr>
      </w:pPr>
      <w:r>
        <w:rPr>
          <w:rFonts w:hint="eastAsia" w:asciiTheme="minorEastAsia" w:hAnsiTheme="minorEastAsia" w:eastAsiaTheme="minorEastAsia" w:cstheme="minorEastAsia"/>
          <w:color w:val="auto"/>
          <w:kern w:val="0"/>
          <w:sz w:val="24"/>
        </w:rPr>
        <w:t>2、付款方式及付款期：</w:t>
      </w:r>
    </w:p>
    <w:p w14:paraId="02E82DC8">
      <w:pPr>
        <w:autoSpaceDE w:val="0"/>
        <w:autoSpaceDN w:val="0"/>
        <w:adjustRightInd w:val="0"/>
        <w:spacing w:line="360" w:lineRule="auto"/>
        <w:jc w:val="left"/>
        <w:rPr>
          <w:rFonts w:hint="eastAsia" w:asciiTheme="minorEastAsia" w:hAnsiTheme="minorEastAsia" w:eastAsiaTheme="minorEastAsia" w:cstheme="minorEastAsia"/>
          <w:color w:val="auto"/>
          <w:kern w:val="0"/>
          <w:sz w:val="24"/>
        </w:rPr>
      </w:pPr>
      <w:r>
        <w:rPr>
          <w:rFonts w:hint="eastAsia" w:asciiTheme="minorEastAsia" w:hAnsiTheme="minorEastAsia" w:eastAsiaTheme="minorEastAsia" w:cstheme="minorEastAsia"/>
          <w:color w:val="auto"/>
          <w:kern w:val="0"/>
          <w:sz w:val="24"/>
        </w:rPr>
        <w:t>2.1合同签订后</w:t>
      </w:r>
      <w:r>
        <w:rPr>
          <w:rFonts w:hint="eastAsia" w:asciiTheme="minorEastAsia" w:hAnsiTheme="minorEastAsia" w:eastAsiaTheme="minorEastAsia" w:cstheme="minorEastAsia"/>
          <w:color w:val="auto"/>
          <w:kern w:val="0"/>
          <w:sz w:val="24"/>
          <w:lang w:eastAsia="zh-CN"/>
        </w:rPr>
        <w:t>第一个节日广告播放后，</w:t>
      </w:r>
      <w:r>
        <w:rPr>
          <w:rFonts w:hint="eastAsia" w:asciiTheme="minorEastAsia" w:hAnsiTheme="minorEastAsia" w:eastAsiaTheme="minorEastAsia" w:cstheme="minorEastAsia"/>
          <w:color w:val="auto"/>
          <w:kern w:val="0"/>
          <w:sz w:val="24"/>
        </w:rPr>
        <w:t>支付合同价的</w:t>
      </w:r>
      <w:r>
        <w:rPr>
          <w:rFonts w:hint="eastAsia" w:asciiTheme="minorEastAsia" w:hAnsiTheme="minorEastAsia" w:eastAsiaTheme="minorEastAsia" w:cstheme="minorEastAsia"/>
          <w:color w:val="auto"/>
          <w:kern w:val="0"/>
          <w:sz w:val="24"/>
          <w:lang w:val="en-US" w:eastAsia="zh-CN"/>
        </w:rPr>
        <w:t>6</w:t>
      </w:r>
      <w:r>
        <w:rPr>
          <w:rFonts w:hint="eastAsia" w:asciiTheme="minorEastAsia" w:hAnsiTheme="minorEastAsia" w:eastAsiaTheme="minorEastAsia" w:cstheme="minorEastAsia"/>
          <w:color w:val="auto"/>
          <w:kern w:val="0"/>
          <w:sz w:val="24"/>
        </w:rPr>
        <w:t>0%；</w:t>
      </w:r>
    </w:p>
    <w:p w14:paraId="014FB19E">
      <w:pPr>
        <w:autoSpaceDE w:val="0"/>
        <w:autoSpaceDN w:val="0"/>
        <w:adjustRightInd w:val="0"/>
        <w:spacing w:line="360" w:lineRule="auto"/>
        <w:jc w:val="left"/>
        <w:rPr>
          <w:rFonts w:hint="eastAsia" w:asciiTheme="minorEastAsia" w:hAnsiTheme="minorEastAsia" w:eastAsiaTheme="minorEastAsia" w:cstheme="minorEastAsia"/>
          <w:color w:val="FF0000"/>
          <w:kern w:val="0"/>
          <w:sz w:val="24"/>
        </w:rPr>
      </w:pPr>
      <w:r>
        <w:rPr>
          <w:rFonts w:hint="eastAsia" w:asciiTheme="minorEastAsia" w:hAnsiTheme="minorEastAsia" w:eastAsiaTheme="minorEastAsia" w:cstheme="minorEastAsia"/>
          <w:color w:val="auto"/>
          <w:kern w:val="0"/>
          <w:sz w:val="24"/>
        </w:rPr>
        <w:t>2.</w:t>
      </w:r>
      <w:r>
        <w:rPr>
          <w:rFonts w:hint="eastAsia" w:asciiTheme="minorEastAsia" w:hAnsiTheme="minorEastAsia" w:eastAsiaTheme="minorEastAsia" w:cstheme="minorEastAsia"/>
          <w:color w:val="auto"/>
          <w:kern w:val="0"/>
          <w:sz w:val="24"/>
          <w:lang w:val="en-US" w:eastAsia="zh-CN"/>
        </w:rPr>
        <w:t>2</w:t>
      </w:r>
      <w:r>
        <w:rPr>
          <w:rFonts w:hint="eastAsia" w:asciiTheme="minorEastAsia" w:hAnsiTheme="minorEastAsia" w:eastAsiaTheme="minorEastAsia" w:cstheme="minorEastAsia"/>
          <w:color w:val="auto"/>
          <w:kern w:val="0"/>
          <w:sz w:val="24"/>
        </w:rPr>
        <w:t>余款在合同期结束后一个月内支付。</w:t>
      </w:r>
    </w:p>
    <w:p w14:paraId="42353939">
      <w:pPr>
        <w:autoSpaceDE w:val="0"/>
        <w:autoSpaceDN w:val="0"/>
        <w:adjustRightInd w:val="0"/>
        <w:spacing w:line="360" w:lineRule="auto"/>
        <w:jc w:val="lef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kern w:val="0"/>
          <w:sz w:val="24"/>
        </w:rPr>
        <w:t>3、其他约定事项：</w:t>
      </w:r>
    </w:p>
    <w:p w14:paraId="66A7989C">
      <w:pPr>
        <w:autoSpaceDE w:val="0"/>
        <w:autoSpaceDN w:val="0"/>
        <w:adjustRightInd w:val="0"/>
        <w:spacing w:line="360" w:lineRule="auto"/>
        <w:jc w:val="left"/>
        <w:rPr>
          <w:rFonts w:hint="eastAsia"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4、合同经双方授权代表签署，买卖双方加盖印章之后生效。</w:t>
      </w:r>
    </w:p>
    <w:p w14:paraId="4EA2E5A3">
      <w:pPr>
        <w:autoSpaceDE w:val="0"/>
        <w:autoSpaceDN w:val="0"/>
        <w:adjustRightInd w:val="0"/>
        <w:spacing w:line="360" w:lineRule="auto"/>
        <w:jc w:val="left"/>
        <w:rPr>
          <w:rFonts w:hint="eastAsia"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5、本合同一式</w:t>
      </w:r>
      <w:r>
        <w:rPr>
          <w:rFonts w:hint="eastAsia" w:asciiTheme="minorEastAsia" w:hAnsiTheme="minorEastAsia" w:eastAsiaTheme="minorEastAsia" w:cstheme="minorEastAsia"/>
          <w:kern w:val="0"/>
          <w:sz w:val="24"/>
          <w:u w:val="single"/>
        </w:rPr>
        <w:t xml:space="preserve">  </w:t>
      </w:r>
      <w:r>
        <w:rPr>
          <w:rFonts w:hint="eastAsia" w:asciiTheme="minorEastAsia" w:hAnsiTheme="minorEastAsia" w:eastAsiaTheme="minorEastAsia" w:cstheme="minorEastAsia"/>
          <w:kern w:val="0"/>
          <w:sz w:val="24"/>
          <w:u w:val="single"/>
          <w:lang w:eastAsia="zh-CN"/>
        </w:rPr>
        <w:t>陆</w:t>
      </w:r>
      <w:r>
        <w:rPr>
          <w:rFonts w:hint="eastAsia" w:asciiTheme="minorEastAsia" w:hAnsiTheme="minorEastAsia" w:eastAsiaTheme="minorEastAsia" w:cstheme="minorEastAsia"/>
          <w:kern w:val="0"/>
          <w:sz w:val="24"/>
          <w:u w:val="single"/>
        </w:rPr>
        <w:t xml:space="preserve"> </w:t>
      </w:r>
      <w:r>
        <w:rPr>
          <w:rFonts w:hint="eastAsia" w:asciiTheme="minorEastAsia" w:hAnsiTheme="minorEastAsia" w:eastAsiaTheme="minorEastAsia" w:cstheme="minorEastAsia"/>
          <w:kern w:val="0"/>
          <w:sz w:val="24"/>
        </w:rPr>
        <w:t>份，双方各执</w:t>
      </w:r>
      <w:r>
        <w:rPr>
          <w:rFonts w:hint="eastAsia" w:asciiTheme="minorEastAsia" w:hAnsiTheme="minorEastAsia" w:eastAsiaTheme="minorEastAsia" w:cstheme="minorEastAsia"/>
          <w:kern w:val="0"/>
          <w:sz w:val="24"/>
          <w:u w:val="single"/>
        </w:rPr>
        <w:t xml:space="preserve"> </w:t>
      </w:r>
      <w:r>
        <w:rPr>
          <w:rFonts w:hint="eastAsia" w:asciiTheme="minorEastAsia" w:hAnsiTheme="minorEastAsia" w:eastAsiaTheme="minorEastAsia" w:cstheme="minorEastAsia"/>
          <w:kern w:val="0"/>
          <w:sz w:val="24"/>
          <w:u w:val="single"/>
          <w:lang w:eastAsia="zh-CN"/>
        </w:rPr>
        <w:t>叁</w:t>
      </w:r>
      <w:r>
        <w:rPr>
          <w:rFonts w:hint="eastAsia" w:asciiTheme="minorEastAsia" w:hAnsiTheme="minorEastAsia" w:eastAsiaTheme="minorEastAsia" w:cstheme="minorEastAsia"/>
          <w:kern w:val="0"/>
          <w:sz w:val="24"/>
          <w:u w:val="single"/>
        </w:rPr>
        <w:t xml:space="preserve"> </w:t>
      </w:r>
      <w:r>
        <w:rPr>
          <w:rFonts w:hint="eastAsia" w:asciiTheme="minorEastAsia" w:hAnsiTheme="minorEastAsia" w:eastAsiaTheme="minorEastAsia" w:cstheme="minorEastAsia"/>
          <w:kern w:val="0"/>
          <w:sz w:val="24"/>
        </w:rPr>
        <w:t>份。</w:t>
      </w:r>
    </w:p>
    <w:p w14:paraId="0BFFEBF8">
      <w:pP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 </w:t>
      </w:r>
    </w:p>
    <w:p w14:paraId="74BB2F0F">
      <w:pPr>
        <w:rPr>
          <w:rFonts w:hint="eastAsia" w:asciiTheme="minorEastAsia" w:hAnsiTheme="minorEastAsia" w:eastAsiaTheme="minorEastAsia" w:cstheme="minorEastAsia"/>
          <w:sz w:val="24"/>
        </w:rPr>
      </w:pPr>
    </w:p>
    <w:p w14:paraId="6E232F93">
      <w:pPr>
        <w:spacing w:line="360" w:lineRule="auto"/>
        <w:rPr>
          <w:rFonts w:hint="eastAsia"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买方：                                      卖方：</w:t>
      </w:r>
    </w:p>
    <w:p w14:paraId="3EB6C802">
      <w:pPr>
        <w:spacing w:line="360" w:lineRule="auto"/>
        <w:rPr>
          <w:rFonts w:hint="eastAsia"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名称（印章）：                              名称（印章）  ：</w:t>
      </w:r>
    </w:p>
    <w:p w14:paraId="7CF36861">
      <w:pPr>
        <w:spacing w:line="360" w:lineRule="auto"/>
        <w:rPr>
          <w:rFonts w:hint="eastAsia"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授权代表（签字）：                          授权代表（签字）：</w:t>
      </w:r>
    </w:p>
    <w:p w14:paraId="43731A9D">
      <w:pPr>
        <w:spacing w:line="360" w:lineRule="auto"/>
        <w:rPr>
          <w:rFonts w:hint="eastAsia"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地址：                                      地址：</w:t>
      </w:r>
    </w:p>
    <w:p w14:paraId="2D617239">
      <w:pPr>
        <w:spacing w:line="360" w:lineRule="auto"/>
        <w:rPr>
          <w:rFonts w:hint="eastAsia"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邮政编码：                                  邮政编码：</w:t>
      </w:r>
    </w:p>
    <w:p w14:paraId="49C34468">
      <w:pPr>
        <w:spacing w:line="360" w:lineRule="auto"/>
        <w:rPr>
          <w:rFonts w:hint="eastAsia"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电话：                                      电话：</w:t>
      </w:r>
    </w:p>
    <w:p w14:paraId="6BBC6DD9">
      <w:pPr>
        <w:spacing w:line="360" w:lineRule="auto"/>
        <w:rPr>
          <w:rFonts w:hint="eastAsia"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传真：                                      传真：</w:t>
      </w:r>
    </w:p>
    <w:p w14:paraId="453CF5E7">
      <w:pPr>
        <w:spacing w:line="360" w:lineRule="auto"/>
        <w:rPr>
          <w:rFonts w:hint="eastAsia"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开户银行：                                  开户银行：</w:t>
      </w:r>
    </w:p>
    <w:p w14:paraId="5746C3FB">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kern w:val="0"/>
          <w:sz w:val="24"/>
        </w:rPr>
        <w:t>账号：                                      账号：</w:t>
      </w:r>
    </w:p>
    <w:p w14:paraId="39D3E199">
      <w:pPr>
        <w:autoSpaceDE w:val="0"/>
        <w:autoSpaceDN w:val="0"/>
        <w:adjustRightInd w:val="0"/>
        <w:spacing w:line="360" w:lineRule="auto"/>
        <w:jc w:val="center"/>
        <w:rPr>
          <w:rFonts w:hint="eastAsia" w:asciiTheme="minorEastAsia" w:hAnsiTheme="minorEastAsia" w:eastAsiaTheme="minorEastAsia" w:cstheme="minorEastAsia"/>
          <w:b w:val="0"/>
          <w:bCs w:val="0"/>
          <w:kern w:val="0"/>
          <w:sz w:val="44"/>
          <w:szCs w:val="44"/>
          <w:lang w:eastAsia="zh-CN"/>
        </w:rPr>
      </w:pPr>
    </w:p>
    <w:p w14:paraId="7157E6AD">
      <w:pPr>
        <w:autoSpaceDE w:val="0"/>
        <w:autoSpaceDN w:val="0"/>
        <w:adjustRightInd w:val="0"/>
        <w:spacing w:line="360" w:lineRule="auto"/>
        <w:jc w:val="center"/>
        <w:rPr>
          <w:rFonts w:hint="eastAsia" w:asciiTheme="minorEastAsia" w:hAnsiTheme="minorEastAsia" w:eastAsiaTheme="minorEastAsia" w:cstheme="minorEastAsia"/>
          <w:b w:val="0"/>
          <w:bCs w:val="0"/>
          <w:kern w:val="0"/>
          <w:sz w:val="44"/>
          <w:szCs w:val="44"/>
          <w:lang w:eastAsia="zh-CN"/>
        </w:rPr>
      </w:pPr>
      <w:r>
        <w:rPr>
          <w:rFonts w:hint="eastAsia" w:asciiTheme="minorEastAsia" w:hAnsiTheme="minorEastAsia" w:eastAsiaTheme="minorEastAsia" w:cstheme="minorEastAsia"/>
          <w:b w:val="0"/>
          <w:bCs w:val="0"/>
          <w:kern w:val="0"/>
          <w:sz w:val="44"/>
          <w:szCs w:val="44"/>
          <w:lang w:eastAsia="zh-CN"/>
        </w:rPr>
        <w:t>专用合同条款</w:t>
      </w:r>
    </w:p>
    <w:p w14:paraId="3E63415C">
      <w:pPr>
        <w:autoSpaceDE w:val="0"/>
        <w:autoSpaceDN w:val="0"/>
        <w:adjustRightInd w:val="0"/>
        <w:spacing w:line="360" w:lineRule="auto"/>
        <w:jc w:val="left"/>
        <w:rPr>
          <w:kern w:val="0"/>
          <w:sz w:val="24"/>
        </w:rPr>
      </w:pPr>
      <w:r>
        <w:rPr>
          <w:kern w:val="0"/>
          <w:sz w:val="24"/>
        </w:rPr>
        <w:t>1. 定义</w:t>
      </w:r>
    </w:p>
    <w:p w14:paraId="79452CAA">
      <w:pPr>
        <w:spacing w:line="360" w:lineRule="auto"/>
        <w:ind w:firstLine="480" w:firstLineChars="200"/>
        <w:jc w:val="left"/>
        <w:rPr>
          <w:rFonts w:hAnsi="宋体"/>
          <w:sz w:val="24"/>
        </w:rPr>
      </w:pPr>
      <w:r>
        <w:rPr>
          <w:rFonts w:hAnsi="宋体"/>
          <w:sz w:val="24"/>
        </w:rPr>
        <w:t>本合同中的下列术语应解释为：</w:t>
      </w:r>
    </w:p>
    <w:p w14:paraId="7F7598DD">
      <w:pPr>
        <w:spacing w:line="360" w:lineRule="auto"/>
        <w:ind w:firstLine="480" w:firstLineChars="200"/>
        <w:jc w:val="left"/>
        <w:rPr>
          <w:rFonts w:hAnsi="宋体"/>
          <w:sz w:val="24"/>
        </w:rPr>
      </w:pPr>
      <w:r>
        <w:rPr>
          <w:rFonts w:hint="eastAsia" w:hAnsi="宋体"/>
          <w:sz w:val="24"/>
        </w:rPr>
        <w:t>（</w:t>
      </w:r>
      <w:r>
        <w:rPr>
          <w:rFonts w:hAnsi="宋体"/>
          <w:sz w:val="24"/>
        </w:rPr>
        <w:t>1</w:t>
      </w:r>
      <w:r>
        <w:rPr>
          <w:rFonts w:hint="eastAsia" w:hAnsi="宋体"/>
          <w:sz w:val="24"/>
        </w:rPr>
        <w:t>）</w:t>
      </w:r>
      <w:r>
        <w:rPr>
          <w:rFonts w:hAnsi="宋体"/>
          <w:sz w:val="24"/>
        </w:rPr>
        <w:t>“合同”系指买卖双方签署的、合同格式中载明的买卖双方所达成的协议，包括所有的附件、附录和组成合同部分的所有其他文件。</w:t>
      </w:r>
    </w:p>
    <w:p w14:paraId="6CC4BAE5">
      <w:pPr>
        <w:spacing w:line="360" w:lineRule="auto"/>
        <w:ind w:firstLine="480" w:firstLineChars="200"/>
        <w:jc w:val="left"/>
        <w:rPr>
          <w:rFonts w:hAnsi="宋体"/>
          <w:sz w:val="24"/>
        </w:rPr>
      </w:pPr>
      <w:r>
        <w:rPr>
          <w:rFonts w:hint="eastAsia" w:hAnsi="宋体"/>
          <w:sz w:val="24"/>
        </w:rPr>
        <w:t>（</w:t>
      </w:r>
      <w:r>
        <w:rPr>
          <w:rFonts w:hAnsi="宋体"/>
          <w:sz w:val="24"/>
        </w:rPr>
        <w:t>2</w:t>
      </w:r>
      <w:r>
        <w:rPr>
          <w:rFonts w:hint="eastAsia" w:hAnsi="宋体"/>
          <w:sz w:val="24"/>
        </w:rPr>
        <w:t>）</w:t>
      </w:r>
      <w:r>
        <w:rPr>
          <w:rFonts w:hAnsi="宋体"/>
          <w:sz w:val="24"/>
        </w:rPr>
        <w:t>“合同价”系指根据合同规定，在卖方全面正确地履行合同义务后，买方应付给卖方的款项。</w:t>
      </w:r>
    </w:p>
    <w:p w14:paraId="3D022116">
      <w:pPr>
        <w:spacing w:line="360" w:lineRule="auto"/>
        <w:ind w:firstLine="480" w:firstLineChars="200"/>
        <w:jc w:val="left"/>
        <w:rPr>
          <w:rFonts w:hAnsi="宋体"/>
          <w:sz w:val="24"/>
        </w:rPr>
      </w:pPr>
      <w:r>
        <w:rPr>
          <w:rFonts w:hint="eastAsia" w:hAnsi="宋体"/>
          <w:sz w:val="24"/>
        </w:rPr>
        <w:t>（</w:t>
      </w:r>
      <w:r>
        <w:rPr>
          <w:rFonts w:hAnsi="宋体"/>
          <w:sz w:val="24"/>
        </w:rPr>
        <w:t>3</w:t>
      </w:r>
      <w:r>
        <w:rPr>
          <w:rFonts w:hint="eastAsia" w:hAnsi="宋体"/>
          <w:sz w:val="24"/>
        </w:rPr>
        <w:t>）</w:t>
      </w:r>
      <w:r>
        <w:rPr>
          <w:rFonts w:hAnsi="宋体"/>
          <w:sz w:val="24"/>
        </w:rPr>
        <w:t>“服务”系指根据合同规定卖方所提供的一整套有关的服务，是卖方应承担的义务。</w:t>
      </w:r>
    </w:p>
    <w:p w14:paraId="3AE8B572">
      <w:pPr>
        <w:spacing w:line="360" w:lineRule="auto"/>
        <w:ind w:firstLine="480" w:firstLineChars="200"/>
        <w:jc w:val="left"/>
        <w:rPr>
          <w:rFonts w:hAnsi="宋体"/>
          <w:sz w:val="24"/>
        </w:rPr>
      </w:pPr>
      <w:r>
        <w:rPr>
          <w:rFonts w:hint="eastAsia" w:hAnsi="宋体"/>
          <w:sz w:val="24"/>
        </w:rPr>
        <w:t>（</w:t>
      </w:r>
      <w:r>
        <w:rPr>
          <w:rFonts w:hAnsi="宋体"/>
          <w:sz w:val="24"/>
        </w:rPr>
        <w:t>4</w:t>
      </w:r>
      <w:r>
        <w:rPr>
          <w:rFonts w:hint="eastAsia" w:hAnsi="宋体"/>
          <w:sz w:val="24"/>
        </w:rPr>
        <w:t>）</w:t>
      </w:r>
      <w:r>
        <w:rPr>
          <w:rFonts w:hAnsi="宋体"/>
          <w:sz w:val="24"/>
        </w:rPr>
        <w:t>“买方”系指购买上述服务的法人、机构、单位或其它组织。</w:t>
      </w:r>
    </w:p>
    <w:p w14:paraId="4C666894">
      <w:pPr>
        <w:spacing w:line="360" w:lineRule="auto"/>
        <w:ind w:firstLine="480" w:firstLineChars="200"/>
        <w:jc w:val="left"/>
        <w:rPr>
          <w:rFonts w:hAnsi="宋体"/>
          <w:sz w:val="24"/>
        </w:rPr>
      </w:pPr>
      <w:r>
        <w:rPr>
          <w:rFonts w:hint="eastAsia" w:hAnsi="宋体"/>
          <w:sz w:val="24"/>
        </w:rPr>
        <w:t>（</w:t>
      </w:r>
      <w:r>
        <w:rPr>
          <w:rFonts w:hAnsi="宋体"/>
          <w:sz w:val="24"/>
        </w:rPr>
        <w:t>5</w:t>
      </w:r>
      <w:r>
        <w:rPr>
          <w:rFonts w:hint="eastAsia" w:hAnsi="宋体"/>
          <w:sz w:val="24"/>
        </w:rPr>
        <w:t>）</w:t>
      </w:r>
      <w:r>
        <w:rPr>
          <w:rFonts w:hAnsi="宋体"/>
          <w:sz w:val="24"/>
        </w:rPr>
        <w:t>“卖方”系指向买方提供上述服务的具有法人资格的公司、机构、单位或其他实体。</w:t>
      </w:r>
    </w:p>
    <w:p w14:paraId="1A368A35">
      <w:pPr>
        <w:autoSpaceDE w:val="0"/>
        <w:autoSpaceDN w:val="0"/>
        <w:adjustRightInd w:val="0"/>
        <w:spacing w:line="360" w:lineRule="auto"/>
        <w:jc w:val="left"/>
        <w:rPr>
          <w:kern w:val="0"/>
          <w:sz w:val="24"/>
        </w:rPr>
      </w:pPr>
      <w:r>
        <w:rPr>
          <w:kern w:val="0"/>
          <w:sz w:val="24"/>
        </w:rPr>
        <w:t>2. 本合同一般条款的适用</w:t>
      </w:r>
    </w:p>
    <w:p w14:paraId="4552C5F7">
      <w:pPr>
        <w:spacing w:line="360" w:lineRule="auto"/>
        <w:ind w:firstLine="480" w:firstLineChars="200"/>
        <w:jc w:val="left"/>
        <w:rPr>
          <w:rFonts w:hAnsi="宋体"/>
          <w:sz w:val="24"/>
        </w:rPr>
      </w:pPr>
      <w:r>
        <w:rPr>
          <w:rFonts w:hAnsi="宋体"/>
          <w:sz w:val="24"/>
        </w:rPr>
        <w:t>本合同条款适用于没有被本合同正文各条款所界定的范围，也可以根据采购的具体情况，选择使用部分条款（将不选用的条款划去）。</w:t>
      </w:r>
    </w:p>
    <w:p w14:paraId="0089E4C0">
      <w:pPr>
        <w:autoSpaceDE w:val="0"/>
        <w:autoSpaceDN w:val="0"/>
        <w:adjustRightInd w:val="0"/>
        <w:spacing w:line="360" w:lineRule="auto"/>
        <w:jc w:val="left"/>
        <w:rPr>
          <w:kern w:val="0"/>
          <w:sz w:val="24"/>
        </w:rPr>
      </w:pPr>
      <w:r>
        <w:rPr>
          <w:kern w:val="0"/>
          <w:sz w:val="24"/>
        </w:rPr>
        <w:t>3. 服务内容规格和标准</w:t>
      </w:r>
    </w:p>
    <w:p w14:paraId="7D345F5B">
      <w:pPr>
        <w:spacing w:line="360" w:lineRule="auto"/>
        <w:ind w:firstLine="480" w:firstLineChars="200"/>
        <w:jc w:val="left"/>
        <w:rPr>
          <w:rFonts w:hAnsi="宋体"/>
          <w:sz w:val="24"/>
        </w:rPr>
      </w:pPr>
      <w:r>
        <w:rPr>
          <w:rFonts w:hAnsi="宋体"/>
          <w:sz w:val="24"/>
        </w:rPr>
        <w:t>卖方提供本合同项下所提供服务内容的规格和标准应与竞争性谈判采购文件规定的服务内容的规格和标准和服务技术规格附件（如果有的话）、报价文件的服务方案及服务规格偏差表（如果被买方接受的话）、报价文件的“服务内容范围和服务说明”相一致。</w:t>
      </w:r>
    </w:p>
    <w:p w14:paraId="2A9021EE">
      <w:pPr>
        <w:autoSpaceDE w:val="0"/>
        <w:autoSpaceDN w:val="0"/>
        <w:adjustRightInd w:val="0"/>
        <w:spacing w:line="360" w:lineRule="auto"/>
        <w:jc w:val="left"/>
        <w:rPr>
          <w:kern w:val="0"/>
          <w:sz w:val="24"/>
        </w:rPr>
      </w:pPr>
      <w:r>
        <w:rPr>
          <w:kern w:val="0"/>
          <w:sz w:val="24"/>
        </w:rPr>
        <w:t>4. 标准</w:t>
      </w:r>
    </w:p>
    <w:p w14:paraId="241632F0">
      <w:pPr>
        <w:spacing w:line="360" w:lineRule="auto"/>
        <w:ind w:firstLine="480" w:firstLineChars="200"/>
        <w:jc w:val="left"/>
        <w:rPr>
          <w:rFonts w:hAnsi="宋体"/>
          <w:sz w:val="24"/>
        </w:rPr>
      </w:pPr>
      <w:r>
        <w:rPr>
          <w:rFonts w:hAnsi="宋体"/>
          <w:sz w:val="24"/>
        </w:rPr>
        <w:t>4.1 本合同下所提供的服务应符合服务技术规格所述的标准。如果没有提及适用标准，则应符合中国国家标准，这些标准必须是最新版本的标准。</w:t>
      </w:r>
    </w:p>
    <w:p w14:paraId="41F6A5D7">
      <w:pPr>
        <w:spacing w:line="360" w:lineRule="auto"/>
        <w:ind w:firstLine="480" w:firstLineChars="200"/>
        <w:jc w:val="left"/>
        <w:rPr>
          <w:rFonts w:hAnsi="宋体"/>
          <w:sz w:val="24"/>
        </w:rPr>
      </w:pPr>
      <w:r>
        <w:rPr>
          <w:rFonts w:hAnsi="宋体"/>
          <w:sz w:val="24"/>
        </w:rPr>
        <w:t>4.2 除服务技术规范中另有规定外，计量单位均使用国家法定的计量单位。</w:t>
      </w:r>
    </w:p>
    <w:p w14:paraId="0868469B">
      <w:pPr>
        <w:autoSpaceDE w:val="0"/>
        <w:autoSpaceDN w:val="0"/>
        <w:adjustRightInd w:val="0"/>
        <w:spacing w:line="360" w:lineRule="auto"/>
        <w:jc w:val="left"/>
        <w:rPr>
          <w:kern w:val="0"/>
          <w:sz w:val="24"/>
        </w:rPr>
      </w:pPr>
      <w:r>
        <w:rPr>
          <w:kern w:val="0"/>
          <w:sz w:val="24"/>
        </w:rPr>
        <w:t>5. 使用合同文件和资料：</w:t>
      </w:r>
    </w:p>
    <w:p w14:paraId="6D2218CB">
      <w:pPr>
        <w:spacing w:line="360" w:lineRule="auto"/>
        <w:ind w:firstLine="480" w:firstLineChars="200"/>
        <w:jc w:val="left"/>
        <w:rPr>
          <w:rFonts w:hAnsi="宋体"/>
          <w:sz w:val="24"/>
        </w:rPr>
      </w:pPr>
      <w:r>
        <w:rPr>
          <w:rFonts w:hAnsi="宋体"/>
          <w:sz w:val="24"/>
        </w:rPr>
        <w:t>5.1 没有买方事先书面同意，卖方不得将由买方（或代表买方的第三方）提供的有关合同或任何合同条文、规格、计划、图纸、模型、样品或资料提供给与履行本合同无关的任何其他人。即使向与履行本合同有关的人员提供，也应注意保密并限于履行合同必须的范围。</w:t>
      </w:r>
    </w:p>
    <w:p w14:paraId="78EF5F48">
      <w:pPr>
        <w:spacing w:line="360" w:lineRule="auto"/>
        <w:ind w:firstLine="480" w:firstLineChars="200"/>
        <w:jc w:val="left"/>
        <w:rPr>
          <w:rFonts w:hAnsi="宋体"/>
          <w:sz w:val="24"/>
        </w:rPr>
      </w:pPr>
      <w:r>
        <w:rPr>
          <w:rFonts w:hAnsi="宋体"/>
          <w:sz w:val="24"/>
        </w:rPr>
        <w:t>5.2 没有买方事先书面同意，除了履行本合同之外，卖方不应使用 5.1 条款所列举的任何文件和资料。</w:t>
      </w:r>
    </w:p>
    <w:p w14:paraId="2A2EB253">
      <w:pPr>
        <w:spacing w:line="360" w:lineRule="auto"/>
        <w:ind w:firstLine="480" w:firstLineChars="200"/>
        <w:jc w:val="left"/>
        <w:rPr>
          <w:rFonts w:hAnsi="宋体"/>
          <w:sz w:val="24"/>
        </w:rPr>
      </w:pPr>
      <w:r>
        <w:rPr>
          <w:rFonts w:hAnsi="宋体"/>
          <w:sz w:val="24"/>
        </w:rPr>
        <w:t>5.3 除了合同本身外，5.1 条款所列举的任何文件是买方的财产。如果买方有要求，卖方应在完成合同后将这些文件及全部复制件归还给买方。</w:t>
      </w:r>
    </w:p>
    <w:p w14:paraId="634ECC50">
      <w:pPr>
        <w:autoSpaceDE w:val="0"/>
        <w:autoSpaceDN w:val="0"/>
        <w:adjustRightInd w:val="0"/>
        <w:spacing w:line="360" w:lineRule="auto"/>
        <w:jc w:val="left"/>
        <w:rPr>
          <w:kern w:val="0"/>
          <w:sz w:val="24"/>
        </w:rPr>
      </w:pPr>
      <w:r>
        <w:rPr>
          <w:kern w:val="0"/>
          <w:sz w:val="24"/>
        </w:rPr>
        <w:t>6. 知识产权</w:t>
      </w:r>
    </w:p>
    <w:p w14:paraId="1BCD1948">
      <w:pPr>
        <w:spacing w:line="360" w:lineRule="auto"/>
        <w:ind w:firstLine="480" w:firstLineChars="200"/>
        <w:jc w:val="left"/>
        <w:rPr>
          <w:rFonts w:hAnsi="宋体"/>
          <w:sz w:val="24"/>
        </w:rPr>
      </w:pPr>
      <w:r>
        <w:rPr>
          <w:rFonts w:hAnsi="宋体"/>
          <w:sz w:val="24"/>
        </w:rPr>
        <w:t>采购人在中华人民共和国使用供应商提供该服务或服务的任何一部分时，免受第三方有关侵犯其专利权、商标权或其它知识产权的指控。倘若此类指控发生，供应商负责与第三方交涉并承担与此有关的一切费用和法律责任。</w:t>
      </w:r>
    </w:p>
    <w:p w14:paraId="5D100629">
      <w:pPr>
        <w:autoSpaceDE w:val="0"/>
        <w:autoSpaceDN w:val="0"/>
        <w:adjustRightInd w:val="0"/>
        <w:spacing w:line="360" w:lineRule="auto"/>
        <w:jc w:val="left"/>
        <w:rPr>
          <w:kern w:val="0"/>
          <w:sz w:val="24"/>
        </w:rPr>
      </w:pPr>
      <w:r>
        <w:rPr>
          <w:kern w:val="0"/>
          <w:sz w:val="24"/>
        </w:rPr>
        <w:t xml:space="preserve">7. 服务时间、场所及期限 </w:t>
      </w:r>
    </w:p>
    <w:p w14:paraId="73DC21B6">
      <w:pPr>
        <w:autoSpaceDE w:val="0"/>
        <w:autoSpaceDN w:val="0"/>
        <w:adjustRightInd w:val="0"/>
        <w:spacing w:line="360" w:lineRule="auto"/>
        <w:ind w:firstLine="480" w:firstLineChars="200"/>
        <w:jc w:val="left"/>
        <w:rPr>
          <w:kern w:val="0"/>
          <w:sz w:val="24"/>
        </w:rPr>
      </w:pPr>
      <w:r>
        <w:rPr>
          <w:kern w:val="0"/>
          <w:sz w:val="24"/>
        </w:rPr>
        <w:t xml:space="preserve">7.1 </w:t>
      </w:r>
      <w:r>
        <w:rPr>
          <w:rFonts w:hAnsi="宋体"/>
          <w:kern w:val="0"/>
          <w:sz w:val="24"/>
        </w:rPr>
        <w:t>提供服务时间为：</w:t>
      </w:r>
      <w:r>
        <w:rPr>
          <w:kern w:val="0"/>
          <w:sz w:val="24"/>
          <w:u w:val="single"/>
        </w:rPr>
        <w:t xml:space="preserve">                                             </w:t>
      </w:r>
      <w:r>
        <w:rPr>
          <w:rFonts w:hAnsi="宋体"/>
          <w:kern w:val="0"/>
          <w:sz w:val="24"/>
        </w:rPr>
        <w:t>。</w:t>
      </w:r>
    </w:p>
    <w:p w14:paraId="7D3A155A">
      <w:pPr>
        <w:autoSpaceDE w:val="0"/>
        <w:autoSpaceDN w:val="0"/>
        <w:adjustRightInd w:val="0"/>
        <w:spacing w:line="360" w:lineRule="auto"/>
        <w:ind w:firstLine="480" w:firstLineChars="200"/>
        <w:jc w:val="left"/>
        <w:rPr>
          <w:kern w:val="0"/>
          <w:sz w:val="24"/>
        </w:rPr>
      </w:pPr>
      <w:r>
        <w:rPr>
          <w:kern w:val="0"/>
          <w:sz w:val="24"/>
        </w:rPr>
        <w:t xml:space="preserve">7.2 </w:t>
      </w:r>
      <w:r>
        <w:rPr>
          <w:rFonts w:hAnsi="宋体"/>
          <w:kern w:val="0"/>
          <w:sz w:val="24"/>
        </w:rPr>
        <w:t>提供服务场所为：</w:t>
      </w:r>
      <w:r>
        <w:rPr>
          <w:kern w:val="0"/>
          <w:sz w:val="24"/>
          <w:u w:val="single"/>
        </w:rPr>
        <w:t xml:space="preserve">                                             </w:t>
      </w:r>
      <w:r>
        <w:rPr>
          <w:rFonts w:hAnsi="宋体"/>
          <w:kern w:val="0"/>
          <w:sz w:val="24"/>
        </w:rPr>
        <w:t>。</w:t>
      </w:r>
    </w:p>
    <w:p w14:paraId="77205173">
      <w:pPr>
        <w:autoSpaceDE w:val="0"/>
        <w:autoSpaceDN w:val="0"/>
        <w:adjustRightInd w:val="0"/>
        <w:spacing w:line="360" w:lineRule="auto"/>
        <w:ind w:firstLine="480" w:firstLineChars="200"/>
        <w:jc w:val="left"/>
        <w:rPr>
          <w:kern w:val="0"/>
          <w:sz w:val="24"/>
          <w:u w:val="single"/>
        </w:rPr>
      </w:pPr>
      <w:r>
        <w:rPr>
          <w:kern w:val="0"/>
          <w:sz w:val="24"/>
        </w:rPr>
        <w:t xml:space="preserve">7.3 </w:t>
      </w:r>
      <w:r>
        <w:rPr>
          <w:rFonts w:hAnsi="宋体"/>
          <w:kern w:val="0"/>
          <w:sz w:val="24"/>
        </w:rPr>
        <w:t>本合同的服务期限为</w:t>
      </w:r>
      <w:r>
        <w:rPr>
          <w:kern w:val="0"/>
          <w:sz w:val="24"/>
          <w:u w:val="single"/>
        </w:rPr>
        <w:t xml:space="preserve">    </w:t>
      </w:r>
      <w:r>
        <w:rPr>
          <w:rFonts w:hAnsi="宋体"/>
          <w:kern w:val="0"/>
          <w:sz w:val="24"/>
        </w:rPr>
        <w:t>年。即自</w:t>
      </w:r>
      <w:r>
        <w:rPr>
          <w:kern w:val="0"/>
          <w:sz w:val="24"/>
          <w:u w:val="single"/>
        </w:rPr>
        <w:t xml:space="preserve">    </w:t>
      </w:r>
      <w:r>
        <w:rPr>
          <w:rFonts w:hAnsi="宋体"/>
          <w:kern w:val="0"/>
          <w:sz w:val="24"/>
        </w:rPr>
        <w:t>年</w:t>
      </w:r>
      <w:r>
        <w:rPr>
          <w:kern w:val="0"/>
          <w:sz w:val="24"/>
          <w:u w:val="single"/>
        </w:rPr>
        <w:t xml:space="preserve">  </w:t>
      </w:r>
      <w:r>
        <w:rPr>
          <w:rFonts w:hAnsi="宋体"/>
          <w:kern w:val="0"/>
          <w:sz w:val="24"/>
        </w:rPr>
        <w:t>月</w:t>
      </w:r>
      <w:r>
        <w:rPr>
          <w:kern w:val="0"/>
          <w:sz w:val="24"/>
          <w:u w:val="single"/>
        </w:rPr>
        <w:t xml:space="preserve">  </w:t>
      </w:r>
      <w:r>
        <w:rPr>
          <w:rFonts w:hAnsi="宋体"/>
          <w:kern w:val="0"/>
          <w:sz w:val="24"/>
        </w:rPr>
        <w:t>日起至</w:t>
      </w:r>
      <w:r>
        <w:rPr>
          <w:kern w:val="0"/>
          <w:sz w:val="24"/>
          <w:u w:val="single"/>
        </w:rPr>
        <w:t xml:space="preserve">    </w:t>
      </w:r>
      <w:r>
        <w:rPr>
          <w:rFonts w:hAnsi="宋体"/>
          <w:kern w:val="0"/>
          <w:sz w:val="24"/>
        </w:rPr>
        <w:t>年</w:t>
      </w:r>
      <w:r>
        <w:rPr>
          <w:kern w:val="0"/>
          <w:sz w:val="24"/>
          <w:u w:val="single"/>
        </w:rPr>
        <w:t xml:space="preserve">  </w:t>
      </w:r>
      <w:r>
        <w:rPr>
          <w:rFonts w:hAnsi="宋体"/>
          <w:kern w:val="0"/>
          <w:sz w:val="24"/>
        </w:rPr>
        <w:t>月</w:t>
      </w:r>
      <w:r>
        <w:rPr>
          <w:kern w:val="0"/>
          <w:sz w:val="24"/>
          <w:u w:val="single"/>
        </w:rPr>
        <w:t xml:space="preserve">  </w:t>
      </w:r>
      <w:r>
        <w:rPr>
          <w:rFonts w:hAnsi="宋体"/>
          <w:kern w:val="0"/>
          <w:sz w:val="24"/>
        </w:rPr>
        <w:t>日止。</w:t>
      </w:r>
    </w:p>
    <w:p w14:paraId="468F2E90">
      <w:pPr>
        <w:autoSpaceDE w:val="0"/>
        <w:autoSpaceDN w:val="0"/>
        <w:adjustRightInd w:val="0"/>
        <w:spacing w:line="360" w:lineRule="auto"/>
        <w:jc w:val="left"/>
        <w:rPr>
          <w:kern w:val="0"/>
          <w:sz w:val="24"/>
        </w:rPr>
      </w:pPr>
      <w:r>
        <w:rPr>
          <w:kern w:val="0"/>
          <w:sz w:val="24"/>
        </w:rPr>
        <w:t>8. 服务价格及合同总价</w:t>
      </w:r>
    </w:p>
    <w:p w14:paraId="3E231882">
      <w:pPr>
        <w:autoSpaceDE w:val="0"/>
        <w:autoSpaceDN w:val="0"/>
        <w:adjustRightInd w:val="0"/>
        <w:spacing w:line="360" w:lineRule="auto"/>
        <w:ind w:firstLine="480" w:firstLineChars="200"/>
        <w:jc w:val="left"/>
        <w:rPr>
          <w:sz w:val="24"/>
        </w:rPr>
      </w:pPr>
      <w:r>
        <w:rPr>
          <w:kern w:val="0"/>
          <w:sz w:val="24"/>
        </w:rPr>
        <w:t xml:space="preserve">8.1 </w:t>
      </w:r>
      <w:r>
        <w:rPr>
          <w:rFonts w:hAnsi="宋体"/>
          <w:kern w:val="0"/>
          <w:sz w:val="24"/>
        </w:rPr>
        <w:t>服务价格为：</w:t>
      </w:r>
      <w:r>
        <w:rPr>
          <w:kern w:val="0"/>
          <w:sz w:val="24"/>
          <w:u w:val="single"/>
        </w:rPr>
        <w:t xml:space="preserve">                                                 </w:t>
      </w:r>
      <w:r>
        <w:rPr>
          <w:rFonts w:hAnsi="宋体"/>
          <w:kern w:val="0"/>
          <w:sz w:val="24"/>
        </w:rPr>
        <w:t>。（或，参见服务价格列表。）</w:t>
      </w:r>
    </w:p>
    <w:p w14:paraId="71BCFA2F">
      <w:pPr>
        <w:autoSpaceDE w:val="0"/>
        <w:autoSpaceDN w:val="0"/>
        <w:adjustRightInd w:val="0"/>
        <w:spacing w:line="360" w:lineRule="auto"/>
        <w:ind w:firstLine="480" w:firstLineChars="200"/>
        <w:jc w:val="left"/>
        <w:rPr>
          <w:rFonts w:hint="eastAsia"/>
          <w:kern w:val="0"/>
          <w:sz w:val="24"/>
        </w:rPr>
      </w:pPr>
      <w:r>
        <w:rPr>
          <w:kern w:val="0"/>
          <w:sz w:val="24"/>
        </w:rPr>
        <w:t xml:space="preserve">8.2 </w:t>
      </w:r>
      <w:r>
        <w:rPr>
          <w:rFonts w:hAnsi="宋体"/>
          <w:kern w:val="0"/>
          <w:sz w:val="24"/>
        </w:rPr>
        <w:t>本服务合同总价为（大写</w:t>
      </w:r>
      <w:r>
        <w:rPr>
          <w:kern w:val="0"/>
          <w:sz w:val="24"/>
          <w:u w:val="single"/>
        </w:rPr>
        <w:t xml:space="preserve">                                      </w:t>
      </w:r>
      <w:r>
        <w:rPr>
          <w:rFonts w:hAnsi="宋体"/>
          <w:kern w:val="0"/>
          <w:sz w:val="24"/>
        </w:rPr>
        <w:t>）。（</w:t>
      </w:r>
      <w:r>
        <w:rPr>
          <w:kern w:val="0"/>
          <w:sz w:val="24"/>
        </w:rPr>
        <w:t>RMB</w:t>
      </w:r>
      <w:r>
        <w:rPr>
          <w:kern w:val="0"/>
          <w:sz w:val="24"/>
          <w:u w:val="single"/>
        </w:rPr>
        <w:t xml:space="preserve">                 </w:t>
      </w:r>
      <w:r>
        <w:rPr>
          <w:rFonts w:hAnsi="宋体"/>
          <w:kern w:val="0"/>
          <w:sz w:val="24"/>
        </w:rPr>
        <w:t>）</w:t>
      </w:r>
    </w:p>
    <w:p w14:paraId="0837B3DE">
      <w:pPr>
        <w:autoSpaceDE w:val="0"/>
        <w:autoSpaceDN w:val="0"/>
        <w:adjustRightInd w:val="0"/>
        <w:spacing w:line="360" w:lineRule="auto"/>
        <w:ind w:firstLine="480" w:firstLineChars="200"/>
        <w:jc w:val="left"/>
        <w:rPr>
          <w:kern w:val="0"/>
          <w:sz w:val="24"/>
        </w:rPr>
      </w:pPr>
      <w:r>
        <w:rPr>
          <w:kern w:val="0"/>
          <w:sz w:val="24"/>
        </w:rPr>
        <w:t xml:space="preserve">8.3 </w:t>
      </w:r>
      <w:r>
        <w:rPr>
          <w:rFonts w:hAnsi="宋体"/>
          <w:kern w:val="0"/>
          <w:sz w:val="24"/>
        </w:rPr>
        <w:t>除非合同中另有规定，乙方为其所提供的服务而要求甲方支付的金额应与其报价一致。</w:t>
      </w:r>
    </w:p>
    <w:p w14:paraId="1952814E">
      <w:pPr>
        <w:autoSpaceDE w:val="0"/>
        <w:autoSpaceDN w:val="0"/>
        <w:adjustRightInd w:val="0"/>
        <w:spacing w:line="360" w:lineRule="auto"/>
        <w:jc w:val="left"/>
        <w:rPr>
          <w:kern w:val="0"/>
          <w:sz w:val="24"/>
        </w:rPr>
      </w:pPr>
      <w:r>
        <w:rPr>
          <w:kern w:val="0"/>
          <w:sz w:val="24"/>
        </w:rPr>
        <w:t>9. 合同价格支付</w:t>
      </w:r>
    </w:p>
    <w:p w14:paraId="4163EB08">
      <w:pPr>
        <w:autoSpaceDE w:val="0"/>
        <w:autoSpaceDN w:val="0"/>
        <w:adjustRightInd w:val="0"/>
        <w:spacing w:line="360" w:lineRule="auto"/>
        <w:ind w:firstLine="480" w:firstLineChars="200"/>
        <w:jc w:val="left"/>
        <w:rPr>
          <w:kern w:val="0"/>
          <w:sz w:val="24"/>
        </w:rPr>
      </w:pPr>
      <w:r>
        <w:rPr>
          <w:kern w:val="0"/>
          <w:sz w:val="24"/>
        </w:rPr>
        <w:t xml:space="preserve">9.1 </w:t>
      </w:r>
      <w:r>
        <w:rPr>
          <w:rFonts w:hAnsi="宋体"/>
          <w:kern w:val="0"/>
          <w:sz w:val="24"/>
        </w:rPr>
        <w:t>卖方应及时准确地提供给买方依照合同规定所完成的服务内容、服务清单和</w:t>
      </w:r>
      <w:r>
        <w:rPr>
          <w:kern w:val="0"/>
          <w:sz w:val="24"/>
        </w:rPr>
        <w:t>质量考评等书面报告，并向买方提出给付款项凭证。</w:t>
      </w:r>
    </w:p>
    <w:p w14:paraId="4BA8D9CD">
      <w:pPr>
        <w:autoSpaceDE w:val="0"/>
        <w:autoSpaceDN w:val="0"/>
        <w:adjustRightInd w:val="0"/>
        <w:spacing w:line="360" w:lineRule="auto"/>
        <w:ind w:firstLine="480" w:firstLineChars="200"/>
        <w:jc w:val="left"/>
        <w:rPr>
          <w:kern w:val="0"/>
          <w:sz w:val="24"/>
        </w:rPr>
      </w:pPr>
      <w:r>
        <w:rPr>
          <w:kern w:val="0"/>
          <w:sz w:val="24"/>
        </w:rPr>
        <w:t>9.2 买方将对卖方已实施的服务进行评测，按照双方约定的评测支付计划给付合同款项。</w:t>
      </w:r>
    </w:p>
    <w:p w14:paraId="7F92F6CF">
      <w:pPr>
        <w:autoSpaceDE w:val="0"/>
        <w:autoSpaceDN w:val="0"/>
        <w:adjustRightInd w:val="0"/>
        <w:spacing w:line="360" w:lineRule="auto"/>
        <w:ind w:firstLine="480" w:firstLineChars="200"/>
        <w:jc w:val="left"/>
        <w:rPr>
          <w:kern w:val="0"/>
          <w:sz w:val="24"/>
        </w:rPr>
      </w:pPr>
      <w:r>
        <w:rPr>
          <w:kern w:val="0"/>
          <w:sz w:val="24"/>
        </w:rPr>
        <w:t>9.3 如果卖方未能按照合同约定完成相关服务，买方有权拒付相关合同款项。</w:t>
      </w:r>
    </w:p>
    <w:p w14:paraId="4EB4801B">
      <w:pPr>
        <w:autoSpaceDE w:val="0"/>
        <w:autoSpaceDN w:val="0"/>
        <w:adjustRightInd w:val="0"/>
        <w:spacing w:line="360" w:lineRule="auto"/>
        <w:jc w:val="left"/>
        <w:rPr>
          <w:kern w:val="0"/>
          <w:sz w:val="24"/>
        </w:rPr>
      </w:pPr>
      <w:r>
        <w:rPr>
          <w:kern w:val="0"/>
          <w:sz w:val="24"/>
        </w:rPr>
        <w:t>10.索赔</w:t>
      </w:r>
    </w:p>
    <w:p w14:paraId="1D0EAF59">
      <w:pPr>
        <w:autoSpaceDE w:val="0"/>
        <w:autoSpaceDN w:val="0"/>
        <w:adjustRightInd w:val="0"/>
        <w:spacing w:line="360" w:lineRule="auto"/>
        <w:ind w:firstLine="480" w:firstLineChars="200"/>
        <w:jc w:val="left"/>
        <w:rPr>
          <w:kern w:val="0"/>
          <w:sz w:val="24"/>
        </w:rPr>
      </w:pPr>
      <w:r>
        <w:rPr>
          <w:kern w:val="0"/>
          <w:sz w:val="24"/>
        </w:rPr>
        <w:t>10.1 卖方对所提供的服务内容的规格和标准与合同要求不符负有责任，并且卖方已于合同规定的服务期内提出索赔，卖方应按买方同意的下述一种或多种方法解决索赔事宜：</w:t>
      </w:r>
    </w:p>
    <w:p w14:paraId="2BE61E4D">
      <w:pPr>
        <w:autoSpaceDE w:val="0"/>
        <w:autoSpaceDN w:val="0"/>
        <w:adjustRightInd w:val="0"/>
        <w:spacing w:line="360" w:lineRule="auto"/>
        <w:ind w:firstLine="480" w:firstLineChars="200"/>
        <w:jc w:val="left"/>
        <w:rPr>
          <w:kern w:val="0"/>
          <w:sz w:val="24"/>
        </w:rPr>
      </w:pPr>
      <w:r>
        <w:rPr>
          <w:kern w:val="0"/>
          <w:sz w:val="24"/>
        </w:rPr>
        <w:t>(1) 卖方同意买方取消其不符要求的服务项目，退还已经收取的该类项目的管理费、佣金和酬金等全部费用。</w:t>
      </w:r>
    </w:p>
    <w:p w14:paraId="4796DF92">
      <w:pPr>
        <w:autoSpaceDE w:val="0"/>
        <w:autoSpaceDN w:val="0"/>
        <w:adjustRightInd w:val="0"/>
        <w:spacing w:line="360" w:lineRule="auto"/>
        <w:ind w:firstLine="480" w:firstLineChars="200"/>
        <w:jc w:val="left"/>
        <w:rPr>
          <w:kern w:val="0"/>
          <w:sz w:val="24"/>
        </w:rPr>
      </w:pPr>
      <w:r>
        <w:rPr>
          <w:kern w:val="0"/>
          <w:sz w:val="24"/>
        </w:rPr>
        <w:t>(2) 对于情节轻微的，经双方同意可降低该类项目的服务价格。</w:t>
      </w:r>
    </w:p>
    <w:p w14:paraId="5483E169">
      <w:pPr>
        <w:autoSpaceDE w:val="0"/>
        <w:autoSpaceDN w:val="0"/>
        <w:adjustRightInd w:val="0"/>
        <w:spacing w:line="360" w:lineRule="auto"/>
        <w:ind w:firstLine="480" w:firstLineChars="200"/>
        <w:jc w:val="left"/>
        <w:rPr>
          <w:kern w:val="0"/>
          <w:sz w:val="24"/>
        </w:rPr>
      </w:pPr>
      <w:r>
        <w:rPr>
          <w:kern w:val="0"/>
          <w:sz w:val="24"/>
        </w:rPr>
        <w:t>(3) 对于情节严重，造成买方损失金额巨大的，同意买方终止全部服务合同，并赔偿买方因此造成的损失。</w:t>
      </w:r>
    </w:p>
    <w:p w14:paraId="3D2D5D78">
      <w:pPr>
        <w:autoSpaceDE w:val="0"/>
        <w:autoSpaceDN w:val="0"/>
        <w:adjustRightInd w:val="0"/>
        <w:spacing w:line="360" w:lineRule="auto"/>
        <w:ind w:firstLine="480" w:firstLineChars="200"/>
        <w:jc w:val="left"/>
        <w:rPr>
          <w:kern w:val="0"/>
          <w:sz w:val="24"/>
        </w:rPr>
      </w:pPr>
      <w:r>
        <w:rPr>
          <w:kern w:val="0"/>
          <w:sz w:val="24"/>
        </w:rPr>
        <w:t>10.2 如果在买方发出索赔通知后 30 天内，卖方未作答复，上述索赔应视为已被卖方接受。如卖方未能在买方提出索赔通知后 30 天内或买方同意的更长时间内，按照第 10.1 条款（上述）规定的任何一种方法解决索赔事宜，买方将从未付款项或从卖方开具的履约保证金保函中扣回索赔金额。如果这些金额不足以满足索赔金额，买方有权向卖方提出不足部分的赔偿要求。</w:t>
      </w:r>
    </w:p>
    <w:p w14:paraId="0DEAC6FD">
      <w:pPr>
        <w:autoSpaceDE w:val="0"/>
        <w:autoSpaceDN w:val="0"/>
        <w:adjustRightInd w:val="0"/>
        <w:spacing w:line="360" w:lineRule="auto"/>
        <w:ind w:firstLine="480" w:firstLineChars="200"/>
        <w:jc w:val="left"/>
        <w:rPr>
          <w:kern w:val="0"/>
          <w:sz w:val="24"/>
        </w:rPr>
      </w:pPr>
      <w:r>
        <w:rPr>
          <w:kern w:val="0"/>
          <w:sz w:val="24"/>
        </w:rPr>
        <w:t>10.3 如果索赔通知是在保证期满后 30 日内提出的，将是有效的。</w:t>
      </w:r>
    </w:p>
    <w:p w14:paraId="388181D3">
      <w:pPr>
        <w:autoSpaceDE w:val="0"/>
        <w:autoSpaceDN w:val="0"/>
        <w:adjustRightInd w:val="0"/>
        <w:spacing w:line="360" w:lineRule="auto"/>
        <w:jc w:val="left"/>
        <w:rPr>
          <w:kern w:val="0"/>
          <w:sz w:val="24"/>
        </w:rPr>
      </w:pPr>
      <w:r>
        <w:rPr>
          <w:kern w:val="0"/>
          <w:sz w:val="24"/>
        </w:rPr>
        <w:t>11.不可抗力</w:t>
      </w:r>
    </w:p>
    <w:p w14:paraId="188A0727">
      <w:pPr>
        <w:autoSpaceDE w:val="0"/>
        <w:autoSpaceDN w:val="0"/>
        <w:adjustRightInd w:val="0"/>
        <w:spacing w:line="360" w:lineRule="auto"/>
        <w:ind w:firstLine="480" w:firstLineChars="200"/>
        <w:jc w:val="left"/>
        <w:rPr>
          <w:kern w:val="0"/>
          <w:sz w:val="24"/>
        </w:rPr>
      </w:pPr>
      <w:r>
        <w:rPr>
          <w:kern w:val="0"/>
          <w:sz w:val="24"/>
        </w:rPr>
        <w:t>11.1 如果双方中任何一方由于战争、严重火灾、水灾、台风和地震以及其它经双方同意属于不可抗力的事故，致使合同履行受阻时，受不可抗力影响导致合同义务延迟或不能履行的一方不承担责任，但应尽快以传真方式将不可抗力事件结束或消除的情况通知另一方，并立即继续履行合同义务，合同的期限也应予相应延长。不可抗力事故系指双方在缔结合同时所不能预见的，并且它的发生及其后果是无法避免和无法克服的事故。</w:t>
      </w:r>
    </w:p>
    <w:p w14:paraId="0F9C444F">
      <w:pPr>
        <w:autoSpaceDE w:val="0"/>
        <w:autoSpaceDN w:val="0"/>
        <w:adjustRightInd w:val="0"/>
        <w:spacing w:line="360" w:lineRule="auto"/>
        <w:ind w:firstLine="480" w:firstLineChars="200"/>
        <w:jc w:val="left"/>
        <w:rPr>
          <w:kern w:val="0"/>
          <w:sz w:val="24"/>
        </w:rPr>
      </w:pPr>
      <w:r>
        <w:rPr>
          <w:kern w:val="0"/>
          <w:sz w:val="24"/>
        </w:rPr>
        <w:t>11.2 受事故影响的一方应在不可抗力的事故发生后尽快以传真通知另一方，并在事故发生后 14 天内，将有关部门出具的证明文件用挂号信邮寄或派人送达另一方。如果不可抗力影响时间超过合同规定的期限的，合同任何一方均有权以书面通知终止合同。</w:t>
      </w:r>
    </w:p>
    <w:p w14:paraId="2FF35BAE">
      <w:pPr>
        <w:autoSpaceDE w:val="0"/>
        <w:autoSpaceDN w:val="0"/>
        <w:adjustRightInd w:val="0"/>
        <w:spacing w:line="360" w:lineRule="auto"/>
        <w:jc w:val="left"/>
        <w:rPr>
          <w:kern w:val="0"/>
          <w:sz w:val="24"/>
        </w:rPr>
      </w:pPr>
      <w:r>
        <w:rPr>
          <w:kern w:val="0"/>
          <w:sz w:val="24"/>
        </w:rPr>
        <w:t>12.税费</w:t>
      </w:r>
    </w:p>
    <w:p w14:paraId="2FF9DF8C">
      <w:pPr>
        <w:autoSpaceDE w:val="0"/>
        <w:autoSpaceDN w:val="0"/>
        <w:adjustRightInd w:val="0"/>
        <w:spacing w:line="360" w:lineRule="auto"/>
        <w:ind w:firstLine="480" w:firstLineChars="200"/>
        <w:jc w:val="left"/>
        <w:rPr>
          <w:kern w:val="0"/>
          <w:sz w:val="24"/>
        </w:rPr>
      </w:pPr>
      <w:r>
        <w:rPr>
          <w:kern w:val="0"/>
          <w:sz w:val="24"/>
        </w:rPr>
        <w:t>12.1 根据国家现行税法对买方征收的与合同有关的一切税费均由买方负担。</w:t>
      </w:r>
    </w:p>
    <w:p w14:paraId="015819EA">
      <w:pPr>
        <w:autoSpaceDE w:val="0"/>
        <w:autoSpaceDN w:val="0"/>
        <w:adjustRightInd w:val="0"/>
        <w:spacing w:line="360" w:lineRule="auto"/>
        <w:ind w:firstLine="480" w:firstLineChars="200"/>
        <w:jc w:val="left"/>
        <w:rPr>
          <w:kern w:val="0"/>
          <w:sz w:val="24"/>
        </w:rPr>
      </w:pPr>
      <w:r>
        <w:rPr>
          <w:kern w:val="0"/>
          <w:sz w:val="24"/>
        </w:rPr>
        <w:t>12.2 根据国家现行税法对卖方征收的与合同有关的一切税费均由卖方负担。</w:t>
      </w:r>
    </w:p>
    <w:p w14:paraId="6274799C">
      <w:pPr>
        <w:autoSpaceDE w:val="0"/>
        <w:autoSpaceDN w:val="0"/>
        <w:adjustRightInd w:val="0"/>
        <w:spacing w:line="360" w:lineRule="auto"/>
        <w:jc w:val="left"/>
        <w:rPr>
          <w:rFonts w:hint="eastAsia"/>
          <w:kern w:val="0"/>
          <w:sz w:val="24"/>
        </w:rPr>
      </w:pPr>
      <w:r>
        <w:rPr>
          <w:kern w:val="0"/>
          <w:sz w:val="24"/>
        </w:rPr>
        <w:t>13.履约保证金</w:t>
      </w:r>
      <w:r>
        <w:rPr>
          <w:rFonts w:hint="eastAsia"/>
          <w:kern w:val="0"/>
          <w:sz w:val="24"/>
        </w:rPr>
        <w:t>（本次采购不适用）</w:t>
      </w:r>
    </w:p>
    <w:p w14:paraId="7CF50E72">
      <w:pPr>
        <w:autoSpaceDE w:val="0"/>
        <w:autoSpaceDN w:val="0"/>
        <w:adjustRightInd w:val="0"/>
        <w:spacing w:line="360" w:lineRule="auto"/>
        <w:ind w:firstLine="480" w:firstLineChars="200"/>
        <w:jc w:val="left"/>
        <w:rPr>
          <w:kern w:val="0"/>
          <w:sz w:val="24"/>
        </w:rPr>
      </w:pPr>
      <w:r>
        <w:rPr>
          <w:kern w:val="0"/>
          <w:sz w:val="24"/>
        </w:rPr>
        <w:t>13.1 卖方在收到的中标通知书的发出日起三十天内，通过在中国境内营业的一家银行，向买方提供相当于合同总价 10%的履约保证金保函。有效期至合同有效期满后三十天。</w:t>
      </w:r>
    </w:p>
    <w:p w14:paraId="79C6113C">
      <w:pPr>
        <w:autoSpaceDE w:val="0"/>
        <w:autoSpaceDN w:val="0"/>
        <w:adjustRightInd w:val="0"/>
        <w:spacing w:line="360" w:lineRule="auto"/>
        <w:ind w:firstLine="480" w:firstLineChars="200"/>
        <w:jc w:val="left"/>
        <w:rPr>
          <w:kern w:val="0"/>
          <w:sz w:val="24"/>
        </w:rPr>
      </w:pPr>
      <w:r>
        <w:rPr>
          <w:kern w:val="0"/>
          <w:sz w:val="24"/>
        </w:rPr>
        <w:t>卖方是否需按规定递交履约保证金，按双方约定执行</w:t>
      </w:r>
    </w:p>
    <w:p w14:paraId="7EDA81D2">
      <w:pPr>
        <w:autoSpaceDE w:val="0"/>
        <w:autoSpaceDN w:val="0"/>
        <w:adjustRightInd w:val="0"/>
        <w:spacing w:line="360" w:lineRule="auto"/>
        <w:ind w:firstLine="480" w:firstLineChars="200"/>
        <w:jc w:val="left"/>
        <w:rPr>
          <w:kern w:val="0"/>
          <w:sz w:val="24"/>
        </w:rPr>
      </w:pPr>
      <w:r>
        <w:rPr>
          <w:kern w:val="0"/>
          <w:sz w:val="24"/>
        </w:rPr>
        <w:t>13.2 卖方提供的履约保证金保函应按竞争性谈判采购文件所附的格式提供，与此有关的费用由卖方负担。</w:t>
      </w:r>
    </w:p>
    <w:p w14:paraId="614293AA">
      <w:pPr>
        <w:autoSpaceDE w:val="0"/>
        <w:autoSpaceDN w:val="0"/>
        <w:adjustRightInd w:val="0"/>
        <w:spacing w:line="360" w:lineRule="auto"/>
        <w:ind w:firstLine="480" w:firstLineChars="200"/>
        <w:jc w:val="left"/>
        <w:rPr>
          <w:kern w:val="0"/>
          <w:sz w:val="24"/>
        </w:rPr>
      </w:pPr>
      <w:r>
        <w:rPr>
          <w:kern w:val="0"/>
          <w:sz w:val="24"/>
        </w:rPr>
        <w:t>13.3 如卖方未能履行合同规定的任何义务，买方有权从履约保证金中得到补偿。</w:t>
      </w:r>
    </w:p>
    <w:p w14:paraId="19DF09E7">
      <w:pPr>
        <w:autoSpaceDE w:val="0"/>
        <w:autoSpaceDN w:val="0"/>
        <w:adjustRightInd w:val="0"/>
        <w:spacing w:line="360" w:lineRule="auto"/>
        <w:jc w:val="left"/>
        <w:rPr>
          <w:kern w:val="0"/>
          <w:sz w:val="24"/>
        </w:rPr>
      </w:pPr>
      <w:r>
        <w:rPr>
          <w:kern w:val="0"/>
          <w:sz w:val="24"/>
        </w:rPr>
        <w:t>14.争议的解决</w:t>
      </w:r>
    </w:p>
    <w:p w14:paraId="7C51F233">
      <w:pPr>
        <w:autoSpaceDE w:val="0"/>
        <w:autoSpaceDN w:val="0"/>
        <w:adjustRightInd w:val="0"/>
        <w:spacing w:line="360" w:lineRule="auto"/>
        <w:ind w:firstLine="480" w:firstLineChars="200"/>
        <w:jc w:val="left"/>
        <w:rPr>
          <w:kern w:val="0"/>
          <w:sz w:val="24"/>
        </w:rPr>
      </w:pPr>
      <w:r>
        <w:rPr>
          <w:kern w:val="0"/>
          <w:sz w:val="24"/>
        </w:rPr>
        <w:t>14.1 合同实施或与合同有关的一切争端应依据《中华人民共和国合同法》并通过双方协商解决。如果协商开始后六十天还不能解决，争端应提交仲裁或诉讼，仲裁和诉讼应在买方所在地进行。</w:t>
      </w:r>
    </w:p>
    <w:p w14:paraId="1494EABE">
      <w:pPr>
        <w:autoSpaceDE w:val="0"/>
        <w:autoSpaceDN w:val="0"/>
        <w:adjustRightInd w:val="0"/>
        <w:spacing w:line="360" w:lineRule="auto"/>
        <w:ind w:firstLine="480" w:firstLineChars="200"/>
        <w:jc w:val="left"/>
        <w:rPr>
          <w:kern w:val="0"/>
          <w:sz w:val="24"/>
        </w:rPr>
      </w:pPr>
      <w:r>
        <w:rPr>
          <w:kern w:val="0"/>
          <w:sz w:val="24"/>
        </w:rPr>
        <w:t>14.2 仲裁或诉讼裁决应为最终裁决，对双方均有约束力。除另有裁决外，仲裁或诉讼费均应由败诉方负担。</w:t>
      </w:r>
    </w:p>
    <w:p w14:paraId="71F4DE6E">
      <w:pPr>
        <w:autoSpaceDE w:val="0"/>
        <w:autoSpaceDN w:val="0"/>
        <w:adjustRightInd w:val="0"/>
        <w:spacing w:line="360" w:lineRule="auto"/>
        <w:ind w:firstLine="480" w:firstLineChars="200"/>
        <w:jc w:val="left"/>
        <w:rPr>
          <w:kern w:val="0"/>
          <w:sz w:val="24"/>
        </w:rPr>
      </w:pPr>
      <w:r>
        <w:rPr>
          <w:kern w:val="0"/>
          <w:sz w:val="24"/>
        </w:rPr>
        <w:t>14.3 在仲裁或诉讼期间，除正在进行仲裁或诉讼的部分外，合同其他部分应继续执行。</w:t>
      </w:r>
    </w:p>
    <w:p w14:paraId="2471A2A3">
      <w:pPr>
        <w:autoSpaceDE w:val="0"/>
        <w:autoSpaceDN w:val="0"/>
        <w:adjustRightInd w:val="0"/>
        <w:spacing w:line="360" w:lineRule="auto"/>
        <w:jc w:val="left"/>
        <w:rPr>
          <w:kern w:val="0"/>
          <w:sz w:val="24"/>
        </w:rPr>
      </w:pPr>
      <w:r>
        <w:rPr>
          <w:kern w:val="0"/>
          <w:sz w:val="24"/>
        </w:rPr>
        <w:t>15.合同终止</w:t>
      </w:r>
    </w:p>
    <w:p w14:paraId="5E9282F9">
      <w:pPr>
        <w:autoSpaceDE w:val="0"/>
        <w:autoSpaceDN w:val="0"/>
        <w:adjustRightInd w:val="0"/>
        <w:spacing w:line="360" w:lineRule="auto"/>
        <w:ind w:firstLine="480" w:firstLineChars="200"/>
        <w:jc w:val="left"/>
        <w:rPr>
          <w:kern w:val="0"/>
          <w:sz w:val="24"/>
        </w:rPr>
      </w:pPr>
      <w:r>
        <w:rPr>
          <w:kern w:val="0"/>
          <w:sz w:val="24"/>
        </w:rPr>
        <w:t>15.1 合同到期双方均未提出新的意向，合同自行终止。合作期内任何一方不得擅自停止协议，否则应负担所造成的一切损失。如一方因故需终止合同，必须提前三个月书面通知另一方，经双方达成一致意见后，方可终止。</w:t>
      </w:r>
    </w:p>
    <w:p w14:paraId="733C9FD4">
      <w:pPr>
        <w:autoSpaceDE w:val="0"/>
        <w:autoSpaceDN w:val="0"/>
        <w:adjustRightInd w:val="0"/>
        <w:spacing w:line="360" w:lineRule="auto"/>
        <w:ind w:firstLine="480" w:firstLineChars="200"/>
        <w:jc w:val="left"/>
        <w:rPr>
          <w:kern w:val="0"/>
          <w:sz w:val="24"/>
        </w:rPr>
      </w:pPr>
      <w:r>
        <w:rPr>
          <w:kern w:val="0"/>
          <w:sz w:val="24"/>
        </w:rPr>
        <w:t>15.2 如果卖方破产或发生资不抵债的情况，买方可在任何时候以书面通知终止合同，而不给对方补偿。该终止合同将不损害或影响买方已经采取或将要采取的补救措施的权利。</w:t>
      </w:r>
    </w:p>
    <w:p w14:paraId="2FF571CA">
      <w:pPr>
        <w:autoSpaceDE w:val="0"/>
        <w:autoSpaceDN w:val="0"/>
        <w:adjustRightInd w:val="0"/>
        <w:spacing w:line="360" w:lineRule="auto"/>
        <w:ind w:firstLine="480" w:firstLineChars="200"/>
        <w:jc w:val="left"/>
        <w:rPr>
          <w:kern w:val="0"/>
          <w:sz w:val="24"/>
        </w:rPr>
      </w:pPr>
      <w:r>
        <w:rPr>
          <w:kern w:val="0"/>
          <w:sz w:val="24"/>
        </w:rPr>
        <w:t>15.3 买方宣布或被法律程序判定破产的，合同自动终止。</w:t>
      </w:r>
    </w:p>
    <w:p w14:paraId="2176C077">
      <w:pPr>
        <w:autoSpaceDE w:val="0"/>
        <w:autoSpaceDN w:val="0"/>
        <w:adjustRightInd w:val="0"/>
        <w:spacing w:line="360" w:lineRule="auto"/>
        <w:ind w:firstLine="480" w:firstLineChars="200"/>
        <w:jc w:val="left"/>
        <w:rPr>
          <w:kern w:val="0"/>
          <w:sz w:val="24"/>
        </w:rPr>
      </w:pPr>
      <w:r>
        <w:rPr>
          <w:kern w:val="0"/>
          <w:sz w:val="24"/>
        </w:rPr>
        <w:t>15.4 一方不履行合同条款，造成另一方无法执行合同协议，协商又不能求得解决。合同终止，责任方赔偿损失。</w:t>
      </w:r>
    </w:p>
    <w:p w14:paraId="3F1F2CA0">
      <w:pPr>
        <w:autoSpaceDE w:val="0"/>
        <w:autoSpaceDN w:val="0"/>
        <w:adjustRightInd w:val="0"/>
        <w:spacing w:line="360" w:lineRule="auto"/>
        <w:jc w:val="left"/>
        <w:rPr>
          <w:kern w:val="0"/>
          <w:sz w:val="24"/>
        </w:rPr>
      </w:pPr>
      <w:r>
        <w:rPr>
          <w:kern w:val="0"/>
          <w:sz w:val="24"/>
        </w:rPr>
        <w:t>16.合同修改</w:t>
      </w:r>
    </w:p>
    <w:p w14:paraId="27CD600B">
      <w:pPr>
        <w:autoSpaceDE w:val="0"/>
        <w:autoSpaceDN w:val="0"/>
        <w:adjustRightInd w:val="0"/>
        <w:spacing w:line="360" w:lineRule="auto"/>
        <w:ind w:firstLine="480" w:firstLineChars="200"/>
        <w:jc w:val="left"/>
        <w:rPr>
          <w:kern w:val="0"/>
          <w:sz w:val="24"/>
        </w:rPr>
      </w:pPr>
      <w:r>
        <w:rPr>
          <w:kern w:val="0"/>
          <w:sz w:val="24"/>
        </w:rPr>
        <w:t>16.1 对于合同的未尽事宜，需进行修改、补充和完善的，买卖双方必须就所修改的内容签订书面的合同修改书，作为合同的补充协议。</w:t>
      </w:r>
    </w:p>
    <w:p w14:paraId="00A328C4">
      <w:pPr>
        <w:autoSpaceDE w:val="0"/>
        <w:autoSpaceDN w:val="0"/>
        <w:adjustRightInd w:val="0"/>
        <w:spacing w:line="360" w:lineRule="auto"/>
        <w:jc w:val="left"/>
        <w:rPr>
          <w:kern w:val="0"/>
          <w:sz w:val="24"/>
        </w:rPr>
      </w:pPr>
      <w:r>
        <w:rPr>
          <w:kern w:val="0"/>
          <w:sz w:val="24"/>
        </w:rPr>
        <w:t>17.适用法律</w:t>
      </w:r>
    </w:p>
    <w:p w14:paraId="44CF999B">
      <w:pPr>
        <w:autoSpaceDE w:val="0"/>
        <w:autoSpaceDN w:val="0"/>
        <w:adjustRightInd w:val="0"/>
        <w:spacing w:line="360" w:lineRule="auto"/>
        <w:ind w:firstLine="480" w:firstLineChars="200"/>
        <w:jc w:val="left"/>
        <w:rPr>
          <w:kern w:val="0"/>
          <w:sz w:val="24"/>
        </w:rPr>
      </w:pPr>
      <w:r>
        <w:rPr>
          <w:kern w:val="0"/>
          <w:sz w:val="24"/>
        </w:rPr>
        <w:t>17.1 本合同应按中华人民共和国合同法和其他相关的法律解释。</w:t>
      </w:r>
    </w:p>
    <w:p w14:paraId="75CEB945">
      <w:pPr>
        <w:autoSpaceDE w:val="0"/>
        <w:autoSpaceDN w:val="0"/>
        <w:adjustRightInd w:val="0"/>
        <w:spacing w:line="360" w:lineRule="auto"/>
        <w:jc w:val="left"/>
        <w:rPr>
          <w:kern w:val="0"/>
          <w:sz w:val="24"/>
        </w:rPr>
      </w:pPr>
      <w:r>
        <w:rPr>
          <w:kern w:val="0"/>
          <w:sz w:val="24"/>
        </w:rPr>
        <w:t>18.语言</w:t>
      </w:r>
    </w:p>
    <w:p w14:paraId="65530EC0">
      <w:pPr>
        <w:autoSpaceDE w:val="0"/>
        <w:autoSpaceDN w:val="0"/>
        <w:adjustRightInd w:val="0"/>
        <w:spacing w:line="360" w:lineRule="auto"/>
        <w:ind w:firstLine="480" w:firstLineChars="200"/>
        <w:jc w:val="left"/>
        <w:rPr>
          <w:kern w:val="0"/>
          <w:sz w:val="24"/>
        </w:rPr>
      </w:pPr>
      <w:r>
        <w:rPr>
          <w:kern w:val="0"/>
          <w:sz w:val="24"/>
        </w:rPr>
        <w:t>18.1 合同应以中文书写。买卖双方所有的来往信函以及与合同有关的文件均应以中文书写。</w:t>
      </w:r>
    </w:p>
    <w:p w14:paraId="7E868244">
      <w:pPr>
        <w:autoSpaceDE w:val="0"/>
        <w:autoSpaceDN w:val="0"/>
        <w:adjustRightInd w:val="0"/>
        <w:spacing w:line="360" w:lineRule="auto"/>
        <w:ind w:firstLine="480" w:firstLineChars="200"/>
        <w:jc w:val="left"/>
        <w:rPr>
          <w:kern w:val="0"/>
          <w:sz w:val="24"/>
        </w:rPr>
      </w:pPr>
      <w:r>
        <w:rPr>
          <w:kern w:val="0"/>
          <w:sz w:val="24"/>
        </w:rPr>
        <w:t>18.2 若合同及往来信函以多种文字书写，以中文为准；未有中文书写的，以买方的中文翻译文本为准。</w:t>
      </w:r>
    </w:p>
    <w:p w14:paraId="015158AD">
      <w:pPr>
        <w:autoSpaceDE w:val="0"/>
        <w:autoSpaceDN w:val="0"/>
        <w:adjustRightInd w:val="0"/>
        <w:spacing w:line="360" w:lineRule="auto"/>
        <w:jc w:val="left"/>
        <w:rPr>
          <w:kern w:val="0"/>
          <w:sz w:val="24"/>
        </w:rPr>
      </w:pPr>
      <w:r>
        <w:rPr>
          <w:kern w:val="0"/>
          <w:sz w:val="24"/>
        </w:rPr>
        <w:t>19.合同份数</w:t>
      </w:r>
    </w:p>
    <w:p w14:paraId="52907DAB">
      <w:pPr>
        <w:autoSpaceDE w:val="0"/>
        <w:autoSpaceDN w:val="0"/>
        <w:adjustRightInd w:val="0"/>
        <w:spacing w:line="360" w:lineRule="auto"/>
        <w:ind w:firstLine="480" w:firstLineChars="200"/>
        <w:jc w:val="left"/>
        <w:rPr>
          <w:kern w:val="0"/>
          <w:sz w:val="24"/>
        </w:rPr>
      </w:pPr>
      <w:r>
        <w:rPr>
          <w:kern w:val="0"/>
          <w:sz w:val="24"/>
        </w:rPr>
        <w:t xml:space="preserve">19.1 </w:t>
      </w:r>
      <w:r>
        <w:rPr>
          <w:rFonts w:hAnsi="宋体"/>
          <w:kern w:val="0"/>
          <w:sz w:val="24"/>
        </w:rPr>
        <w:t>本合同一式</w:t>
      </w:r>
      <w:r>
        <w:rPr>
          <w:rFonts w:hint="eastAsia" w:hAnsi="宋体"/>
          <w:kern w:val="0"/>
          <w:sz w:val="24"/>
          <w:u w:val="single"/>
          <w:lang w:eastAsia="zh-CN"/>
        </w:rPr>
        <w:t>陆</w:t>
      </w:r>
      <w:r>
        <w:rPr>
          <w:kern w:val="0"/>
          <w:sz w:val="24"/>
          <w:u w:val="single"/>
        </w:rPr>
        <w:t xml:space="preserve"> </w:t>
      </w:r>
      <w:r>
        <w:rPr>
          <w:rFonts w:hAnsi="宋体"/>
          <w:kern w:val="0"/>
          <w:sz w:val="24"/>
        </w:rPr>
        <w:t>份，买卖双方各执</w:t>
      </w:r>
      <w:r>
        <w:rPr>
          <w:kern w:val="0"/>
          <w:sz w:val="24"/>
          <w:u w:val="single"/>
        </w:rPr>
        <w:t xml:space="preserve"> </w:t>
      </w:r>
      <w:r>
        <w:rPr>
          <w:rFonts w:hint="eastAsia"/>
          <w:kern w:val="0"/>
          <w:sz w:val="24"/>
          <w:u w:val="single"/>
          <w:lang w:eastAsia="zh-CN"/>
        </w:rPr>
        <w:t>叁</w:t>
      </w:r>
      <w:r>
        <w:rPr>
          <w:kern w:val="0"/>
          <w:sz w:val="24"/>
          <w:u w:val="single"/>
        </w:rPr>
        <w:t xml:space="preserve"> </w:t>
      </w:r>
      <w:r>
        <w:rPr>
          <w:rFonts w:hAnsi="宋体"/>
          <w:kern w:val="0"/>
          <w:sz w:val="24"/>
        </w:rPr>
        <w:t>份，具有同等法律效力。</w:t>
      </w:r>
    </w:p>
    <w:p w14:paraId="3B92E36E">
      <w:pPr>
        <w:autoSpaceDE w:val="0"/>
        <w:autoSpaceDN w:val="0"/>
        <w:adjustRightInd w:val="0"/>
        <w:spacing w:line="360" w:lineRule="auto"/>
        <w:jc w:val="left"/>
        <w:rPr>
          <w:kern w:val="0"/>
          <w:sz w:val="24"/>
        </w:rPr>
      </w:pPr>
      <w:r>
        <w:rPr>
          <w:kern w:val="0"/>
          <w:sz w:val="24"/>
        </w:rPr>
        <w:t>20.合同生效</w:t>
      </w:r>
    </w:p>
    <w:p w14:paraId="6F8CB7EA">
      <w:pPr>
        <w:spacing w:line="360" w:lineRule="auto"/>
        <w:ind w:firstLine="480" w:firstLineChars="200"/>
        <w:rPr>
          <w:rFonts w:hint="eastAsia"/>
          <w:kern w:val="0"/>
          <w:sz w:val="24"/>
        </w:rPr>
      </w:pPr>
      <w:r>
        <w:rPr>
          <w:kern w:val="0"/>
          <w:sz w:val="24"/>
        </w:rPr>
        <w:t xml:space="preserve">20.1 </w:t>
      </w:r>
      <w:r>
        <w:rPr>
          <w:rFonts w:hAnsi="宋体"/>
          <w:kern w:val="0"/>
          <w:sz w:val="24"/>
        </w:rPr>
        <w:t>除非合同中另有说明，本合同经双方签字盖章，并在买方收到买方的履约保证金后，即生效。</w:t>
      </w:r>
    </w:p>
    <w:p w14:paraId="58D96188">
      <w:pPr>
        <w:pStyle w:val="10"/>
        <w:jc w:val="left"/>
        <w:rPr>
          <w:rFonts w:hint="eastAsia" w:asciiTheme="minorEastAsia" w:hAnsiTheme="minorEastAsia" w:eastAsiaTheme="minorEastAsia" w:cstheme="minorEastAsia"/>
          <w:sz w:val="24"/>
          <w:szCs w:val="24"/>
          <w:lang w:val="en-US" w:eastAsia="zh-CN"/>
        </w:rPr>
      </w:pPr>
    </w:p>
    <w:p w14:paraId="04380610">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sz w:val="24"/>
          <w:szCs w:val="24"/>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楷体">
    <w:altName w:val="宋体"/>
    <w:panose1 w:val="02010600040101010101"/>
    <w:charset w:val="86"/>
    <w:family w:val="auto"/>
    <w:pitch w:val="default"/>
    <w:sig w:usb0="00000000" w:usb1="00000000" w:usb2="00000010" w:usb3="00000000" w:csb0="0004009F" w:csb1="00000000"/>
  </w:font>
  <w:font w:name="微软雅黑">
    <w:panose1 w:val="020B0503020204020204"/>
    <w:charset w:val="86"/>
    <w:family w:val="swiss"/>
    <w:pitch w:val="default"/>
    <w:sig w:usb0="80000287" w:usb1="280F3C52" w:usb2="00000016" w:usb3="00000000" w:csb0="0004001F" w:csb1="00000000"/>
  </w:font>
  <w:font w:name="新宋体">
    <w:panose1 w:val="02010609030101010101"/>
    <w:charset w:val="86"/>
    <w:family w:val="modern"/>
    <w:pitch w:val="default"/>
    <w:sig w:usb0="00000003" w:usb1="288F0000" w:usb2="00000006" w:usb3="00000000" w:csb0="00040001" w:csb1="00000000"/>
  </w:font>
  <w:font w:name="hakuyoxingshu7000">
    <w:altName w:val="宋体"/>
    <w:panose1 w:val="02000600000000000000"/>
    <w:charset w:val="86"/>
    <w:family w:val="auto"/>
    <w:pitch w:val="default"/>
    <w:sig w:usb0="00000000" w:usb1="00000000" w:usb2="0000003F" w:usb3="00000000" w:csb0="603F00FF" w:csb1="FFFF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C00EF3E"/>
    <w:multiLevelType w:val="singleLevel"/>
    <w:tmpl w:val="FC00EF3E"/>
    <w:lvl w:ilvl="0" w:tentative="0">
      <w:start w:val="1"/>
      <w:numFmt w:val="chineseCounting"/>
      <w:suff w:val="nothing"/>
      <w:lvlText w:val="%1、"/>
      <w:lvlJc w:val="left"/>
      <w:rPr>
        <w:rFonts w:hint="eastAsia"/>
      </w:rPr>
    </w:lvl>
  </w:abstractNum>
  <w:abstractNum w:abstractNumId="1">
    <w:nsid w:val="00000001"/>
    <w:multiLevelType w:val="multilevel"/>
    <w:tmpl w:val="00000001"/>
    <w:lvl w:ilvl="0" w:tentative="0">
      <w:start w:val="1"/>
      <w:numFmt w:val="decimal"/>
      <w:lvlText w:val="%1、"/>
      <w:lvlJc w:val="left"/>
      <w:pPr>
        <w:tabs>
          <w:tab w:val="left" w:pos="360"/>
        </w:tabs>
        <w:ind w:left="36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0B014A16"/>
    <w:multiLevelType w:val="singleLevel"/>
    <w:tmpl w:val="0B014A16"/>
    <w:lvl w:ilvl="0" w:tentative="0">
      <w:start w:val="3"/>
      <w:numFmt w:val="decimal"/>
      <w:suff w:val="nothing"/>
      <w:lvlText w:val="（%1）"/>
      <w:lvlJc w:val="left"/>
      <w:pPr>
        <w:ind w:left="420" w:leftChars="0" w:firstLine="0" w:firstLineChars="0"/>
      </w:pPr>
    </w:lvl>
  </w:abstractNum>
  <w:abstractNum w:abstractNumId="3">
    <w:nsid w:val="5D497C9E"/>
    <w:multiLevelType w:val="multilevel"/>
    <w:tmpl w:val="5D497C9E"/>
    <w:lvl w:ilvl="0" w:tentative="0">
      <w:start w:val="1"/>
      <w:numFmt w:val="chineseCountingThousand"/>
      <w:pStyle w:val="2"/>
      <w:suff w:val="nothing"/>
      <w:lvlText w:val="第%1章"/>
      <w:lvlJc w:val="left"/>
      <w:pPr>
        <w:ind w:left="0" w:firstLine="0"/>
      </w:pPr>
      <w:rPr>
        <w:rFonts w:hint="default" w:ascii="Times New Roman" w:hAnsi="Times New Roman" w:eastAsia="黑体"/>
        <w:b/>
        <w:i w:val="0"/>
        <w:sz w:val="32"/>
        <w:szCs w:val="32"/>
      </w:rPr>
    </w:lvl>
    <w:lvl w:ilvl="1" w:tentative="0">
      <w:start w:val="1"/>
      <w:numFmt w:val="none"/>
      <w:suff w:val="nothing"/>
      <w:lvlText w:val=""/>
      <w:lvlJc w:val="left"/>
      <w:pPr>
        <w:ind w:left="0" w:firstLine="0"/>
      </w:pPr>
      <w:rPr>
        <w:rFonts w:hint="eastAsia"/>
      </w:rPr>
    </w:lvl>
    <w:lvl w:ilvl="2" w:tentative="0">
      <w:start w:val="1"/>
      <w:numFmt w:val="none"/>
      <w:suff w:val="nothing"/>
      <w:lvlText w:val=""/>
      <w:lvlJc w:val="left"/>
      <w:pPr>
        <w:ind w:left="0" w:firstLine="0"/>
      </w:pPr>
      <w:rPr>
        <w:rFonts w:hint="eastAsia"/>
      </w:rPr>
    </w:lvl>
    <w:lvl w:ilvl="3" w:tentative="0">
      <w:start w:val="1"/>
      <w:numFmt w:val="none"/>
      <w:suff w:val="nothing"/>
      <w:lvlText w:val=""/>
      <w:lvlJc w:val="left"/>
      <w:pPr>
        <w:ind w:left="0" w:firstLine="0"/>
      </w:pPr>
      <w:rPr>
        <w:rFonts w:hint="eastAsia"/>
      </w:rPr>
    </w:lvl>
    <w:lvl w:ilvl="4" w:tentative="0">
      <w:start w:val="1"/>
      <w:numFmt w:val="none"/>
      <w:suff w:val="nothing"/>
      <w:lvlText w:val=""/>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Q1NWE4MzgzMzNiMjhmZmMxMDNlZjM0NGE0Mjk3N2MifQ=="/>
  </w:docVars>
  <w:rsids>
    <w:rsidRoot w:val="7E9D2BEE"/>
    <w:rsid w:val="00164318"/>
    <w:rsid w:val="001B4EF9"/>
    <w:rsid w:val="004F42B0"/>
    <w:rsid w:val="00522719"/>
    <w:rsid w:val="00565404"/>
    <w:rsid w:val="005B3FFE"/>
    <w:rsid w:val="007F6F3E"/>
    <w:rsid w:val="008F65FF"/>
    <w:rsid w:val="009B4F26"/>
    <w:rsid w:val="00B2450C"/>
    <w:rsid w:val="014C4DA3"/>
    <w:rsid w:val="015500B5"/>
    <w:rsid w:val="017B2F92"/>
    <w:rsid w:val="01AD7280"/>
    <w:rsid w:val="01EE5029"/>
    <w:rsid w:val="01F20A56"/>
    <w:rsid w:val="02544950"/>
    <w:rsid w:val="027976FD"/>
    <w:rsid w:val="02AE55E9"/>
    <w:rsid w:val="03210B87"/>
    <w:rsid w:val="03BA7264"/>
    <w:rsid w:val="03C42E7B"/>
    <w:rsid w:val="03D91BC3"/>
    <w:rsid w:val="04137DFA"/>
    <w:rsid w:val="041E1407"/>
    <w:rsid w:val="046C7126"/>
    <w:rsid w:val="048177A5"/>
    <w:rsid w:val="05104339"/>
    <w:rsid w:val="0521288B"/>
    <w:rsid w:val="05252DE6"/>
    <w:rsid w:val="054935FC"/>
    <w:rsid w:val="055B464A"/>
    <w:rsid w:val="057272E7"/>
    <w:rsid w:val="057D45C7"/>
    <w:rsid w:val="05832D5D"/>
    <w:rsid w:val="059C3DC6"/>
    <w:rsid w:val="063437DC"/>
    <w:rsid w:val="063F15D1"/>
    <w:rsid w:val="06770E4D"/>
    <w:rsid w:val="06944187"/>
    <w:rsid w:val="06E95A55"/>
    <w:rsid w:val="07742EA5"/>
    <w:rsid w:val="07A03D8C"/>
    <w:rsid w:val="08E6389B"/>
    <w:rsid w:val="08EF6757"/>
    <w:rsid w:val="09181A0E"/>
    <w:rsid w:val="093323A4"/>
    <w:rsid w:val="09367318"/>
    <w:rsid w:val="09682EB8"/>
    <w:rsid w:val="09701596"/>
    <w:rsid w:val="09926BA6"/>
    <w:rsid w:val="099E35BB"/>
    <w:rsid w:val="09AC7B86"/>
    <w:rsid w:val="09C35DE1"/>
    <w:rsid w:val="09EF276F"/>
    <w:rsid w:val="09FC30DE"/>
    <w:rsid w:val="0A600F93"/>
    <w:rsid w:val="0AB102CC"/>
    <w:rsid w:val="0ABB16FD"/>
    <w:rsid w:val="0AFB0952"/>
    <w:rsid w:val="0B9E1294"/>
    <w:rsid w:val="0BB6273C"/>
    <w:rsid w:val="0BE678A2"/>
    <w:rsid w:val="0C3E373D"/>
    <w:rsid w:val="0C48260B"/>
    <w:rsid w:val="0C811679"/>
    <w:rsid w:val="0C9814B5"/>
    <w:rsid w:val="0CC16E9D"/>
    <w:rsid w:val="0CD74F4E"/>
    <w:rsid w:val="0CD97C60"/>
    <w:rsid w:val="0D6364B4"/>
    <w:rsid w:val="0D69317F"/>
    <w:rsid w:val="0DCF4D92"/>
    <w:rsid w:val="0DD57DA6"/>
    <w:rsid w:val="0DED1E0A"/>
    <w:rsid w:val="0E1D50C2"/>
    <w:rsid w:val="0E2B3F92"/>
    <w:rsid w:val="0E681446"/>
    <w:rsid w:val="0F105091"/>
    <w:rsid w:val="0FBF2BE4"/>
    <w:rsid w:val="0FC9344B"/>
    <w:rsid w:val="10103BBF"/>
    <w:rsid w:val="10111110"/>
    <w:rsid w:val="10B169D0"/>
    <w:rsid w:val="10C0062A"/>
    <w:rsid w:val="10E2481B"/>
    <w:rsid w:val="110E0BAC"/>
    <w:rsid w:val="11497AAB"/>
    <w:rsid w:val="114C494B"/>
    <w:rsid w:val="11706C19"/>
    <w:rsid w:val="12004B47"/>
    <w:rsid w:val="123D63F3"/>
    <w:rsid w:val="127B54E8"/>
    <w:rsid w:val="12B22195"/>
    <w:rsid w:val="12CF6CBB"/>
    <w:rsid w:val="13433DE3"/>
    <w:rsid w:val="135D343D"/>
    <w:rsid w:val="13823917"/>
    <w:rsid w:val="13CA1F19"/>
    <w:rsid w:val="13DD44F2"/>
    <w:rsid w:val="14173326"/>
    <w:rsid w:val="144E2A5F"/>
    <w:rsid w:val="1493761C"/>
    <w:rsid w:val="14E32ED1"/>
    <w:rsid w:val="14ED1FA1"/>
    <w:rsid w:val="15235DCB"/>
    <w:rsid w:val="154E7CBC"/>
    <w:rsid w:val="15DA064A"/>
    <w:rsid w:val="15DA0D4C"/>
    <w:rsid w:val="15DA1A14"/>
    <w:rsid w:val="16855DBF"/>
    <w:rsid w:val="16B40FC8"/>
    <w:rsid w:val="17100C34"/>
    <w:rsid w:val="173845ED"/>
    <w:rsid w:val="17497CDE"/>
    <w:rsid w:val="17626C76"/>
    <w:rsid w:val="17CE7E68"/>
    <w:rsid w:val="17E53404"/>
    <w:rsid w:val="17EF7DDE"/>
    <w:rsid w:val="17FD24FB"/>
    <w:rsid w:val="182201B4"/>
    <w:rsid w:val="18490F58"/>
    <w:rsid w:val="187B02C7"/>
    <w:rsid w:val="18905EAE"/>
    <w:rsid w:val="18F00A8A"/>
    <w:rsid w:val="1AAF0E80"/>
    <w:rsid w:val="1AC51655"/>
    <w:rsid w:val="1AD56617"/>
    <w:rsid w:val="1B0207F3"/>
    <w:rsid w:val="1B3767AB"/>
    <w:rsid w:val="1B462E07"/>
    <w:rsid w:val="1B943177"/>
    <w:rsid w:val="1B972558"/>
    <w:rsid w:val="1BCD3B84"/>
    <w:rsid w:val="1BD532AE"/>
    <w:rsid w:val="1C25283A"/>
    <w:rsid w:val="1C275729"/>
    <w:rsid w:val="1C8431EB"/>
    <w:rsid w:val="1CC20464"/>
    <w:rsid w:val="1D872A3A"/>
    <w:rsid w:val="1DFB0390"/>
    <w:rsid w:val="1E034B9A"/>
    <w:rsid w:val="1E05197A"/>
    <w:rsid w:val="1E1A454E"/>
    <w:rsid w:val="1E573D6D"/>
    <w:rsid w:val="1E8A3853"/>
    <w:rsid w:val="1EDB07A1"/>
    <w:rsid w:val="1EEA7AC6"/>
    <w:rsid w:val="1EF96CF2"/>
    <w:rsid w:val="1F090697"/>
    <w:rsid w:val="1F0A095C"/>
    <w:rsid w:val="1F0B09EA"/>
    <w:rsid w:val="1FD92A7D"/>
    <w:rsid w:val="20254B96"/>
    <w:rsid w:val="203B6D03"/>
    <w:rsid w:val="20746C50"/>
    <w:rsid w:val="209C5373"/>
    <w:rsid w:val="20AC4ABE"/>
    <w:rsid w:val="20BE4494"/>
    <w:rsid w:val="20F16CA2"/>
    <w:rsid w:val="20F6446B"/>
    <w:rsid w:val="211B52FE"/>
    <w:rsid w:val="213056EF"/>
    <w:rsid w:val="2136082C"/>
    <w:rsid w:val="21B0008F"/>
    <w:rsid w:val="21E30D42"/>
    <w:rsid w:val="22201238"/>
    <w:rsid w:val="2261581A"/>
    <w:rsid w:val="22617B2B"/>
    <w:rsid w:val="22A01F0E"/>
    <w:rsid w:val="22B814DB"/>
    <w:rsid w:val="22BA4FCF"/>
    <w:rsid w:val="23426D25"/>
    <w:rsid w:val="238E2BA1"/>
    <w:rsid w:val="23943C60"/>
    <w:rsid w:val="239D3A89"/>
    <w:rsid w:val="23B87C1E"/>
    <w:rsid w:val="23B97D00"/>
    <w:rsid w:val="23D83E1C"/>
    <w:rsid w:val="23EF1AD0"/>
    <w:rsid w:val="242D0576"/>
    <w:rsid w:val="24C745BD"/>
    <w:rsid w:val="24D31BA1"/>
    <w:rsid w:val="25280D3F"/>
    <w:rsid w:val="253A6130"/>
    <w:rsid w:val="25980233"/>
    <w:rsid w:val="2601367E"/>
    <w:rsid w:val="260E1459"/>
    <w:rsid w:val="265542E5"/>
    <w:rsid w:val="265D5A85"/>
    <w:rsid w:val="26647BE9"/>
    <w:rsid w:val="26CB1FFA"/>
    <w:rsid w:val="26EB3E67"/>
    <w:rsid w:val="26FA337A"/>
    <w:rsid w:val="270D25C0"/>
    <w:rsid w:val="27624C01"/>
    <w:rsid w:val="278A02F5"/>
    <w:rsid w:val="27BA6FBE"/>
    <w:rsid w:val="27F86EC9"/>
    <w:rsid w:val="28013942"/>
    <w:rsid w:val="282707F3"/>
    <w:rsid w:val="28591FB0"/>
    <w:rsid w:val="28BC6745"/>
    <w:rsid w:val="28F124F7"/>
    <w:rsid w:val="290B7C96"/>
    <w:rsid w:val="293C106B"/>
    <w:rsid w:val="295020B2"/>
    <w:rsid w:val="29607107"/>
    <w:rsid w:val="298E32BC"/>
    <w:rsid w:val="29BF51B1"/>
    <w:rsid w:val="2A2829FB"/>
    <w:rsid w:val="2A5C2CCF"/>
    <w:rsid w:val="2A9F7DB7"/>
    <w:rsid w:val="2B0D5F6D"/>
    <w:rsid w:val="2B31540B"/>
    <w:rsid w:val="2B394B81"/>
    <w:rsid w:val="2B844556"/>
    <w:rsid w:val="2B996587"/>
    <w:rsid w:val="2BAD0143"/>
    <w:rsid w:val="2C5B3DED"/>
    <w:rsid w:val="2C9F3729"/>
    <w:rsid w:val="2CB7420D"/>
    <w:rsid w:val="2CDF5BE9"/>
    <w:rsid w:val="2D736011"/>
    <w:rsid w:val="2D8C0151"/>
    <w:rsid w:val="2DB43E82"/>
    <w:rsid w:val="2DDA4C9A"/>
    <w:rsid w:val="2DE55AB4"/>
    <w:rsid w:val="2E081A0D"/>
    <w:rsid w:val="2E0C3A22"/>
    <w:rsid w:val="2E0D1483"/>
    <w:rsid w:val="2E1754F4"/>
    <w:rsid w:val="2E242EEE"/>
    <w:rsid w:val="2EBB4BEE"/>
    <w:rsid w:val="2EE12B17"/>
    <w:rsid w:val="2F324A77"/>
    <w:rsid w:val="2F5C01C6"/>
    <w:rsid w:val="2F6F6789"/>
    <w:rsid w:val="30000983"/>
    <w:rsid w:val="30F8798D"/>
    <w:rsid w:val="313E4203"/>
    <w:rsid w:val="317B0F6A"/>
    <w:rsid w:val="319C6045"/>
    <w:rsid w:val="31A35A6A"/>
    <w:rsid w:val="31B05E08"/>
    <w:rsid w:val="31B41C0A"/>
    <w:rsid w:val="31D54EF7"/>
    <w:rsid w:val="32351D06"/>
    <w:rsid w:val="32B3248C"/>
    <w:rsid w:val="32BF4B25"/>
    <w:rsid w:val="331647C9"/>
    <w:rsid w:val="333F6A58"/>
    <w:rsid w:val="33415B8B"/>
    <w:rsid w:val="3345781A"/>
    <w:rsid w:val="33950813"/>
    <w:rsid w:val="33D60378"/>
    <w:rsid w:val="33EA7980"/>
    <w:rsid w:val="340E1B6C"/>
    <w:rsid w:val="342C6E1F"/>
    <w:rsid w:val="342F6CD8"/>
    <w:rsid w:val="350512F4"/>
    <w:rsid w:val="35876A57"/>
    <w:rsid w:val="35983D7A"/>
    <w:rsid w:val="360F36CE"/>
    <w:rsid w:val="3620283E"/>
    <w:rsid w:val="365A27C8"/>
    <w:rsid w:val="3694744F"/>
    <w:rsid w:val="36B63093"/>
    <w:rsid w:val="37254A3F"/>
    <w:rsid w:val="3734045B"/>
    <w:rsid w:val="378C2AA9"/>
    <w:rsid w:val="37E66B23"/>
    <w:rsid w:val="37E83616"/>
    <w:rsid w:val="37F0752F"/>
    <w:rsid w:val="37FF59C4"/>
    <w:rsid w:val="383B6C22"/>
    <w:rsid w:val="38606463"/>
    <w:rsid w:val="38710670"/>
    <w:rsid w:val="38C32119"/>
    <w:rsid w:val="38C43CA9"/>
    <w:rsid w:val="38DB20AB"/>
    <w:rsid w:val="394668D6"/>
    <w:rsid w:val="39534BA0"/>
    <w:rsid w:val="3A6313BE"/>
    <w:rsid w:val="3A7D77A0"/>
    <w:rsid w:val="3AA32C70"/>
    <w:rsid w:val="3AC6636C"/>
    <w:rsid w:val="3AEE6AD9"/>
    <w:rsid w:val="3BE55E13"/>
    <w:rsid w:val="3C0464C0"/>
    <w:rsid w:val="3C377A75"/>
    <w:rsid w:val="3C4B3FC2"/>
    <w:rsid w:val="3C4C0B25"/>
    <w:rsid w:val="3D104A2C"/>
    <w:rsid w:val="3D167058"/>
    <w:rsid w:val="3D2551B7"/>
    <w:rsid w:val="3D4855F3"/>
    <w:rsid w:val="3D7E46A8"/>
    <w:rsid w:val="3DF81D2A"/>
    <w:rsid w:val="3E5E1BF9"/>
    <w:rsid w:val="3E75078E"/>
    <w:rsid w:val="3E9D0D52"/>
    <w:rsid w:val="3ECF1148"/>
    <w:rsid w:val="3F1F65DD"/>
    <w:rsid w:val="3FB757CD"/>
    <w:rsid w:val="40034CE0"/>
    <w:rsid w:val="402940C2"/>
    <w:rsid w:val="40B42554"/>
    <w:rsid w:val="411A6241"/>
    <w:rsid w:val="41403C0A"/>
    <w:rsid w:val="41BF46F3"/>
    <w:rsid w:val="41DF2AEE"/>
    <w:rsid w:val="41E864D0"/>
    <w:rsid w:val="41ED7BBF"/>
    <w:rsid w:val="42162BD2"/>
    <w:rsid w:val="422C4AC9"/>
    <w:rsid w:val="423A5616"/>
    <w:rsid w:val="426F07B9"/>
    <w:rsid w:val="427A0BED"/>
    <w:rsid w:val="42825BCB"/>
    <w:rsid w:val="42E12896"/>
    <w:rsid w:val="42E303BC"/>
    <w:rsid w:val="43411735"/>
    <w:rsid w:val="43416B84"/>
    <w:rsid w:val="43703F00"/>
    <w:rsid w:val="43F53D29"/>
    <w:rsid w:val="4407136D"/>
    <w:rsid w:val="445B4977"/>
    <w:rsid w:val="44A57C2A"/>
    <w:rsid w:val="45B84D5C"/>
    <w:rsid w:val="46217054"/>
    <w:rsid w:val="462269D5"/>
    <w:rsid w:val="46254F1A"/>
    <w:rsid w:val="46481A27"/>
    <w:rsid w:val="467C6146"/>
    <w:rsid w:val="471A73A9"/>
    <w:rsid w:val="473F1D7C"/>
    <w:rsid w:val="47583F97"/>
    <w:rsid w:val="47A361AE"/>
    <w:rsid w:val="487B78EB"/>
    <w:rsid w:val="488A37E1"/>
    <w:rsid w:val="48A905A4"/>
    <w:rsid w:val="48A91728"/>
    <w:rsid w:val="48C66535"/>
    <w:rsid w:val="490B55D4"/>
    <w:rsid w:val="49115557"/>
    <w:rsid w:val="49C41179"/>
    <w:rsid w:val="49D92519"/>
    <w:rsid w:val="49EB7B56"/>
    <w:rsid w:val="49F45D1E"/>
    <w:rsid w:val="4A5C0AFE"/>
    <w:rsid w:val="4A663F0F"/>
    <w:rsid w:val="4B2D35EC"/>
    <w:rsid w:val="4B541BD0"/>
    <w:rsid w:val="4B6173B9"/>
    <w:rsid w:val="4B875B74"/>
    <w:rsid w:val="4BA34D98"/>
    <w:rsid w:val="4BF1634C"/>
    <w:rsid w:val="4C3B3017"/>
    <w:rsid w:val="4C7240D0"/>
    <w:rsid w:val="4CB06DD7"/>
    <w:rsid w:val="4CD456D3"/>
    <w:rsid w:val="4D4C6D24"/>
    <w:rsid w:val="4D8412CA"/>
    <w:rsid w:val="4D9B7BA5"/>
    <w:rsid w:val="4DC26F73"/>
    <w:rsid w:val="4DD17574"/>
    <w:rsid w:val="4E571C5E"/>
    <w:rsid w:val="4EBC7D13"/>
    <w:rsid w:val="4EC033FE"/>
    <w:rsid w:val="4EC81323"/>
    <w:rsid w:val="4F0040A4"/>
    <w:rsid w:val="4F1555C1"/>
    <w:rsid w:val="4F156EDC"/>
    <w:rsid w:val="4F2A2745"/>
    <w:rsid w:val="4F6F1F1D"/>
    <w:rsid w:val="4FE67FE2"/>
    <w:rsid w:val="4FEB04D1"/>
    <w:rsid w:val="505A32A9"/>
    <w:rsid w:val="508C72AA"/>
    <w:rsid w:val="50B213CE"/>
    <w:rsid w:val="50F33BA4"/>
    <w:rsid w:val="518A3E2C"/>
    <w:rsid w:val="51B12745"/>
    <w:rsid w:val="51B6770D"/>
    <w:rsid w:val="51C125FC"/>
    <w:rsid w:val="5203382D"/>
    <w:rsid w:val="524B7498"/>
    <w:rsid w:val="525613B6"/>
    <w:rsid w:val="52741FD4"/>
    <w:rsid w:val="531970A4"/>
    <w:rsid w:val="53565EC7"/>
    <w:rsid w:val="53962AE8"/>
    <w:rsid w:val="53A7451A"/>
    <w:rsid w:val="54982DA4"/>
    <w:rsid w:val="549F6D9D"/>
    <w:rsid w:val="54BC628D"/>
    <w:rsid w:val="54D10184"/>
    <w:rsid w:val="54ED444E"/>
    <w:rsid w:val="54F621D1"/>
    <w:rsid w:val="559451F6"/>
    <w:rsid w:val="55DD106F"/>
    <w:rsid w:val="563F226F"/>
    <w:rsid w:val="56951575"/>
    <w:rsid w:val="569E0124"/>
    <w:rsid w:val="56B23ED5"/>
    <w:rsid w:val="56BC1D14"/>
    <w:rsid w:val="572F438D"/>
    <w:rsid w:val="57306699"/>
    <w:rsid w:val="57923690"/>
    <w:rsid w:val="57C2639A"/>
    <w:rsid w:val="5834289E"/>
    <w:rsid w:val="58704C02"/>
    <w:rsid w:val="58E277F5"/>
    <w:rsid w:val="5A262AF2"/>
    <w:rsid w:val="5A761891"/>
    <w:rsid w:val="5A807902"/>
    <w:rsid w:val="5AC74DF8"/>
    <w:rsid w:val="5B235531"/>
    <w:rsid w:val="5B51560B"/>
    <w:rsid w:val="5BB300C0"/>
    <w:rsid w:val="5BE427E9"/>
    <w:rsid w:val="5C47689A"/>
    <w:rsid w:val="5C7E30BB"/>
    <w:rsid w:val="5C7E5810"/>
    <w:rsid w:val="5C897582"/>
    <w:rsid w:val="5C8B76A2"/>
    <w:rsid w:val="5CA54D24"/>
    <w:rsid w:val="5D144D82"/>
    <w:rsid w:val="5D5B41FF"/>
    <w:rsid w:val="5DBF01BE"/>
    <w:rsid w:val="5DE0696A"/>
    <w:rsid w:val="5DEA664B"/>
    <w:rsid w:val="5E117222"/>
    <w:rsid w:val="5E4775F9"/>
    <w:rsid w:val="5E5674C7"/>
    <w:rsid w:val="5E9D755E"/>
    <w:rsid w:val="5EA17159"/>
    <w:rsid w:val="5F166FCB"/>
    <w:rsid w:val="5F8748DA"/>
    <w:rsid w:val="5F93061C"/>
    <w:rsid w:val="5FAA04E8"/>
    <w:rsid w:val="5FD85D12"/>
    <w:rsid w:val="5FDE1234"/>
    <w:rsid w:val="5FDE4B10"/>
    <w:rsid w:val="5FF025E4"/>
    <w:rsid w:val="5FF605AC"/>
    <w:rsid w:val="60144D8D"/>
    <w:rsid w:val="602F6597"/>
    <w:rsid w:val="604F497A"/>
    <w:rsid w:val="606036A1"/>
    <w:rsid w:val="60931B35"/>
    <w:rsid w:val="609A6799"/>
    <w:rsid w:val="61D90EB0"/>
    <w:rsid w:val="625C5CC2"/>
    <w:rsid w:val="62713F31"/>
    <w:rsid w:val="62996FF1"/>
    <w:rsid w:val="62A82FCC"/>
    <w:rsid w:val="62F621DF"/>
    <w:rsid w:val="63604C33"/>
    <w:rsid w:val="63653CAD"/>
    <w:rsid w:val="63D10147"/>
    <w:rsid w:val="63F7532D"/>
    <w:rsid w:val="64183B7B"/>
    <w:rsid w:val="64512ACB"/>
    <w:rsid w:val="647B1A55"/>
    <w:rsid w:val="64A66C7E"/>
    <w:rsid w:val="65206DF6"/>
    <w:rsid w:val="652C7549"/>
    <w:rsid w:val="654079E2"/>
    <w:rsid w:val="65561E5B"/>
    <w:rsid w:val="6573295C"/>
    <w:rsid w:val="65AC2438"/>
    <w:rsid w:val="66293AB1"/>
    <w:rsid w:val="667761EE"/>
    <w:rsid w:val="669D6869"/>
    <w:rsid w:val="66EB7B2A"/>
    <w:rsid w:val="67201A8D"/>
    <w:rsid w:val="673E0C66"/>
    <w:rsid w:val="67593538"/>
    <w:rsid w:val="67CC6582"/>
    <w:rsid w:val="67CD6853"/>
    <w:rsid w:val="68320F9A"/>
    <w:rsid w:val="6846773F"/>
    <w:rsid w:val="68DF05EF"/>
    <w:rsid w:val="68E12D15"/>
    <w:rsid w:val="694E32B1"/>
    <w:rsid w:val="69607598"/>
    <w:rsid w:val="69643755"/>
    <w:rsid w:val="699650D5"/>
    <w:rsid w:val="69A715B1"/>
    <w:rsid w:val="69AF27B9"/>
    <w:rsid w:val="69DC26B1"/>
    <w:rsid w:val="6A366774"/>
    <w:rsid w:val="6A520693"/>
    <w:rsid w:val="6A6C0BC3"/>
    <w:rsid w:val="6ABF49BB"/>
    <w:rsid w:val="6B1E43FB"/>
    <w:rsid w:val="6B8E6129"/>
    <w:rsid w:val="6BD81E4D"/>
    <w:rsid w:val="6C0338FE"/>
    <w:rsid w:val="6C316F80"/>
    <w:rsid w:val="6C6D4A58"/>
    <w:rsid w:val="6CAA0FDD"/>
    <w:rsid w:val="6CB05297"/>
    <w:rsid w:val="6D154D66"/>
    <w:rsid w:val="6D5444AE"/>
    <w:rsid w:val="6D905053"/>
    <w:rsid w:val="6D9E194A"/>
    <w:rsid w:val="6DB9234E"/>
    <w:rsid w:val="6DC63EEA"/>
    <w:rsid w:val="6E0948CB"/>
    <w:rsid w:val="6E3341EC"/>
    <w:rsid w:val="6E542593"/>
    <w:rsid w:val="6E8F6925"/>
    <w:rsid w:val="6ECD3B4B"/>
    <w:rsid w:val="6F1A0749"/>
    <w:rsid w:val="6F451F64"/>
    <w:rsid w:val="6F556684"/>
    <w:rsid w:val="6F6E5295"/>
    <w:rsid w:val="70134ABB"/>
    <w:rsid w:val="70297555"/>
    <w:rsid w:val="70377E36"/>
    <w:rsid w:val="705C5862"/>
    <w:rsid w:val="70861C0E"/>
    <w:rsid w:val="70B3479D"/>
    <w:rsid w:val="70E50F8E"/>
    <w:rsid w:val="70F75741"/>
    <w:rsid w:val="712029B9"/>
    <w:rsid w:val="712C5BB2"/>
    <w:rsid w:val="71710D3D"/>
    <w:rsid w:val="7174432C"/>
    <w:rsid w:val="717E02C8"/>
    <w:rsid w:val="72094B9E"/>
    <w:rsid w:val="727A5D97"/>
    <w:rsid w:val="728C5ACB"/>
    <w:rsid w:val="7298621E"/>
    <w:rsid w:val="729E7174"/>
    <w:rsid w:val="72B76A57"/>
    <w:rsid w:val="72B94E61"/>
    <w:rsid w:val="72CE5ACF"/>
    <w:rsid w:val="73354627"/>
    <w:rsid w:val="73FC2AB3"/>
    <w:rsid w:val="74154E03"/>
    <w:rsid w:val="7499671F"/>
    <w:rsid w:val="74C01E69"/>
    <w:rsid w:val="74D64461"/>
    <w:rsid w:val="750034AD"/>
    <w:rsid w:val="755C628B"/>
    <w:rsid w:val="755E58D5"/>
    <w:rsid w:val="75A60C51"/>
    <w:rsid w:val="76036494"/>
    <w:rsid w:val="761360D7"/>
    <w:rsid w:val="7647594D"/>
    <w:rsid w:val="765C4908"/>
    <w:rsid w:val="76973095"/>
    <w:rsid w:val="76992E80"/>
    <w:rsid w:val="76DE455C"/>
    <w:rsid w:val="779E7A28"/>
    <w:rsid w:val="77B72D5D"/>
    <w:rsid w:val="77CB0ED0"/>
    <w:rsid w:val="77F03ED5"/>
    <w:rsid w:val="788123CC"/>
    <w:rsid w:val="78A44248"/>
    <w:rsid w:val="78C95383"/>
    <w:rsid w:val="78D31B37"/>
    <w:rsid w:val="794D4C08"/>
    <w:rsid w:val="794E57F6"/>
    <w:rsid w:val="7A232386"/>
    <w:rsid w:val="7A472BA5"/>
    <w:rsid w:val="7A4E2A78"/>
    <w:rsid w:val="7A5B64AE"/>
    <w:rsid w:val="7A63380E"/>
    <w:rsid w:val="7A6A6440"/>
    <w:rsid w:val="7A7866E1"/>
    <w:rsid w:val="7A9A058E"/>
    <w:rsid w:val="7AB27306"/>
    <w:rsid w:val="7AD50F5F"/>
    <w:rsid w:val="7B68601A"/>
    <w:rsid w:val="7B8D2DCC"/>
    <w:rsid w:val="7B997A06"/>
    <w:rsid w:val="7C2A2861"/>
    <w:rsid w:val="7C4C159F"/>
    <w:rsid w:val="7C615E04"/>
    <w:rsid w:val="7C857813"/>
    <w:rsid w:val="7CA773FF"/>
    <w:rsid w:val="7CF5799B"/>
    <w:rsid w:val="7DAF1184"/>
    <w:rsid w:val="7DE25B31"/>
    <w:rsid w:val="7E1F77F3"/>
    <w:rsid w:val="7E6F5FE6"/>
    <w:rsid w:val="7E9D2BEE"/>
    <w:rsid w:val="7EB01012"/>
    <w:rsid w:val="7F02088F"/>
    <w:rsid w:val="7F136E79"/>
    <w:rsid w:val="7F361298"/>
    <w:rsid w:val="7F6B4E3B"/>
    <w:rsid w:val="7FAC4A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3"/>
    <w:qFormat/>
    <w:uiPriority w:val="0"/>
    <w:pPr>
      <w:keepNext/>
      <w:numPr>
        <w:ilvl w:val="0"/>
        <w:numId w:val="1"/>
      </w:numPr>
      <w:jc w:val="center"/>
      <w:outlineLvl w:val="0"/>
    </w:pPr>
    <w:rPr>
      <w:rFonts w:eastAsia="黑体"/>
      <w:b/>
      <w:sz w:val="32"/>
      <w:szCs w:val="20"/>
    </w:rPr>
  </w:style>
  <w:style w:type="paragraph" w:styleId="3">
    <w:name w:val="heading 2"/>
    <w:basedOn w:val="1"/>
    <w:next w:val="1"/>
    <w:qFormat/>
    <w:uiPriority w:val="0"/>
    <w:pPr>
      <w:keepNext/>
      <w:keepLines/>
      <w:spacing w:line="360" w:lineRule="auto"/>
      <w:outlineLvl w:val="1"/>
    </w:pPr>
    <w:rPr>
      <w:rFonts w:ascii="Arial" w:hAnsi="Arial"/>
      <w:b/>
      <w:bCs/>
      <w:sz w:val="24"/>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paragraph" w:styleId="5">
    <w:name w:val="heading 4"/>
    <w:basedOn w:val="1"/>
    <w:next w:val="1"/>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6">
    <w:name w:val="Normal Indent"/>
    <w:basedOn w:val="1"/>
    <w:next w:val="1"/>
    <w:qFormat/>
    <w:uiPriority w:val="0"/>
    <w:pPr>
      <w:adjustRightInd w:val="0"/>
      <w:spacing w:line="312" w:lineRule="atLeast"/>
      <w:ind w:firstLine="420"/>
      <w:textAlignment w:val="baseline"/>
    </w:pPr>
    <w:rPr>
      <w:rFonts w:ascii="仿宋_GB2312"/>
      <w:b/>
      <w:kern w:val="0"/>
      <w:szCs w:val="32"/>
    </w:rPr>
  </w:style>
  <w:style w:type="paragraph" w:styleId="7">
    <w:name w:val="Body Text"/>
    <w:basedOn w:val="1"/>
    <w:next w:val="1"/>
    <w:qFormat/>
    <w:uiPriority w:val="0"/>
    <w:pPr>
      <w:spacing w:after="120"/>
    </w:pPr>
  </w:style>
  <w:style w:type="paragraph" w:styleId="8">
    <w:name w:val="Body Text Indent"/>
    <w:basedOn w:val="1"/>
    <w:qFormat/>
    <w:uiPriority w:val="0"/>
    <w:pPr>
      <w:ind w:left="480" w:hanging="480" w:hangingChars="200"/>
    </w:pPr>
    <w:rPr>
      <w:sz w:val="24"/>
    </w:rPr>
  </w:style>
  <w:style w:type="paragraph" w:styleId="9">
    <w:name w:val="Block Text"/>
    <w:basedOn w:val="1"/>
    <w:qFormat/>
    <w:uiPriority w:val="0"/>
    <w:pPr>
      <w:spacing w:line="520" w:lineRule="exact"/>
      <w:ind w:left="540" w:leftChars="257" w:right="-514"/>
    </w:pPr>
    <w:rPr>
      <w:rFonts w:ascii="宋体" w:hAnsi="宋体"/>
      <w:sz w:val="24"/>
    </w:rPr>
  </w:style>
  <w:style w:type="paragraph" w:styleId="10">
    <w:name w:val="Plain Text"/>
    <w:basedOn w:val="1"/>
    <w:qFormat/>
    <w:uiPriority w:val="0"/>
    <w:pPr>
      <w:widowControl/>
      <w:overflowPunct w:val="0"/>
      <w:autoSpaceDE w:val="0"/>
      <w:autoSpaceDN w:val="0"/>
      <w:adjustRightInd w:val="0"/>
      <w:jc w:val="left"/>
      <w:textAlignment w:val="baseline"/>
    </w:pPr>
    <w:rPr>
      <w:rFonts w:ascii="宋体" w:hAnsi="Courier New"/>
      <w:kern w:val="0"/>
      <w:szCs w:val="21"/>
    </w:rPr>
  </w:style>
  <w:style w:type="paragraph" w:styleId="11">
    <w:name w:val="Date"/>
    <w:basedOn w:val="1"/>
    <w:next w:val="1"/>
    <w:qFormat/>
    <w:uiPriority w:val="0"/>
    <w:pPr>
      <w:ind w:left="100" w:leftChars="2500"/>
    </w:pPr>
  </w:style>
  <w:style w:type="paragraph" w:styleId="12">
    <w:name w:val="footer"/>
    <w:basedOn w:val="1"/>
    <w:qFormat/>
    <w:uiPriority w:val="99"/>
    <w:pPr>
      <w:tabs>
        <w:tab w:val="center" w:pos="4153"/>
        <w:tab w:val="right" w:pos="8306"/>
      </w:tabs>
      <w:snapToGrid w:val="0"/>
      <w:jc w:val="left"/>
    </w:pPr>
    <w:rPr>
      <w:sz w:val="18"/>
      <w:szCs w:val="18"/>
    </w:rPr>
  </w:style>
  <w:style w:type="paragraph" w:styleId="13">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39"/>
    <w:rPr>
      <w:szCs w:val="20"/>
    </w:rPr>
  </w:style>
  <w:style w:type="paragraph" w:styleId="15">
    <w:name w:val="Normal (Web)"/>
    <w:basedOn w:val="1"/>
    <w:qFormat/>
    <w:uiPriority w:val="99"/>
    <w:pPr>
      <w:widowControl/>
      <w:spacing w:before="100" w:beforeAutospacing="1" w:after="100" w:afterAutospacing="1"/>
      <w:jc w:val="left"/>
    </w:pPr>
    <w:rPr>
      <w:rFonts w:ascii="宋体" w:hAnsi="宋体" w:cs="宋体"/>
      <w:kern w:val="0"/>
      <w:sz w:val="24"/>
    </w:rPr>
  </w:style>
  <w:style w:type="table" w:styleId="17">
    <w:name w:val="Table Grid"/>
    <w:basedOn w:val="16"/>
    <w:qFormat/>
    <w:uiPriority w:val="9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basedOn w:val="18"/>
    <w:qFormat/>
    <w:uiPriority w:val="22"/>
    <w:rPr>
      <w:b/>
      <w:bCs/>
    </w:rPr>
  </w:style>
  <w:style w:type="paragraph" w:customStyle="1" w:styleId="20">
    <w:name w:val="Default"/>
    <w:next w:val="21"/>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1">
    <w:name w:val="目录 71"/>
    <w:next w:val="1"/>
    <w:qFormat/>
    <w:uiPriority w:val="0"/>
    <w:pPr>
      <w:wordWrap w:val="0"/>
      <w:ind w:left="2550"/>
      <w:jc w:val="both"/>
    </w:pPr>
    <w:rPr>
      <w:rFonts w:ascii="Times New Roman" w:hAnsi="Times New Roman" w:eastAsia="宋体" w:cs="Times New Roman"/>
      <w:sz w:val="21"/>
      <w:szCs w:val="22"/>
      <w:lang w:val="en-US" w:eastAsia="zh-CN" w:bidi="ar-SA"/>
    </w:rPr>
  </w:style>
  <w:style w:type="paragraph" w:customStyle="1" w:styleId="22">
    <w:name w:val="AONormal"/>
    <w:qFormat/>
    <w:uiPriority w:val="0"/>
    <w:pPr>
      <w:autoSpaceDE w:val="0"/>
      <w:autoSpaceDN w:val="0"/>
      <w:adjustRightInd w:val="0"/>
      <w:spacing w:line="400" w:lineRule="exact"/>
      <w:ind w:firstLine="440" w:firstLineChars="200"/>
    </w:pPr>
    <w:rPr>
      <w:rFonts w:ascii="华文楷体" w:hAnsi="华文楷体" w:eastAsia="华文楷体" w:cs="华文楷体"/>
      <w:sz w:val="22"/>
      <w:szCs w:val="21"/>
      <w:lang w:val="en-US" w:eastAsia="zh-CN" w:bidi="ar-SA"/>
    </w:rPr>
  </w:style>
  <w:style w:type="character" w:customStyle="1" w:styleId="23">
    <w:name w:val="标题 1 字符"/>
    <w:link w:val="2"/>
    <w:qFormat/>
    <w:uiPriority w:val="0"/>
    <w:rPr>
      <w:rFonts w:eastAsia="黑体"/>
      <w:b/>
      <w:sz w:val="32"/>
      <w:szCs w:val="20"/>
    </w:rPr>
  </w:style>
  <w:style w:type="paragraph" w:styleId="24">
    <w:name w:val="List Paragraph"/>
    <w:basedOn w:val="1"/>
    <w:qFormat/>
    <w:uiPriority w:val="0"/>
    <w:pPr>
      <w:ind w:firstLine="420" w:firstLineChars="200"/>
    </w:pPr>
    <w:rPr>
      <w:rFonts w:ascii="Calibri" w:hAnsi="Calibri"/>
      <w:szCs w:val="22"/>
    </w:rPr>
  </w:style>
  <w:style w:type="paragraph" w:customStyle="1" w:styleId="25">
    <w:name w:val="保留正文"/>
    <w:basedOn w:val="7"/>
    <w:qFormat/>
    <w:uiPriority w:val="0"/>
  </w:style>
  <w:style w:type="table" w:customStyle="1" w:styleId="26">
    <w:name w:val="Table Normal"/>
    <w:unhideWhenUsed/>
    <w:qFormat/>
    <w:uiPriority w:val="0"/>
    <w:tblPr>
      <w:tblCellMar>
        <w:top w:w="0" w:type="dxa"/>
        <w:left w:w="0" w:type="dxa"/>
        <w:bottom w:w="0" w:type="dxa"/>
        <w:right w:w="0" w:type="dxa"/>
      </w:tblCellMar>
    </w:tblPr>
  </w:style>
  <w:style w:type="paragraph" w:customStyle="1" w:styleId="27">
    <w:name w:val="Table Text"/>
    <w:basedOn w:val="1"/>
    <w:semiHidden/>
    <w:qFormat/>
    <w:uiPriority w:val="0"/>
    <w:rPr>
      <w:rFonts w:ascii="宋体" w:hAnsi="宋体" w:cs="宋体"/>
      <w:szCs w:val="21"/>
      <w:lang w:eastAsia="en-US"/>
    </w:rPr>
  </w:style>
  <w:style w:type="paragraph" w:customStyle="1" w:styleId="28">
    <w:name w:val="__正文"/>
    <w:autoRedefine/>
    <w:qFormat/>
    <w:uiPriority w:val="0"/>
    <w:pPr>
      <w:spacing w:line="360" w:lineRule="auto"/>
      <w:ind w:firstLine="200" w:firstLineChars="200"/>
    </w:pPr>
    <w:rPr>
      <w:rFonts w:eastAsia="微软雅黑" w:asciiTheme="minorHAnsi" w:hAnsiTheme="minorHAnsi" w:cstheme="minorBidi"/>
      <w:kern w:val="2"/>
      <w:sz w:val="21"/>
      <w:szCs w:val="21"/>
      <w:lang w:val="en-US" w:eastAsia="zh-CN" w:bidi="ar-SA"/>
    </w:rPr>
  </w:style>
  <w:style w:type="paragraph" w:customStyle="1" w:styleId="29">
    <w:name w:val="方案正文"/>
    <w:basedOn w:val="1"/>
    <w:qFormat/>
    <w:uiPriority w:val="0"/>
    <w:pPr>
      <w:spacing w:before="156" w:line="360" w:lineRule="auto"/>
      <w:ind w:firstLine="359" w:firstLineChars="171"/>
      <w:jc w:val="left"/>
    </w:pPr>
    <w:rPr>
      <w:rFonts w:ascii="Arial" w:hAnsi="Arial" w:cs="宋体"/>
      <w:sz w:val="24"/>
      <w:szCs w:val="21"/>
    </w:rPr>
  </w:style>
  <w:style w:type="paragraph" w:customStyle="1" w:styleId="30">
    <w:name w:val="列出段落1"/>
    <w:basedOn w:val="1"/>
    <w:qFormat/>
    <w:uiPriority w:val="0"/>
    <w:pPr>
      <w:ind w:firstLine="420" w:firstLineChars="200"/>
    </w:pPr>
    <w:rPr>
      <w:szCs w:val="21"/>
    </w:rPr>
  </w:style>
  <w:style w:type="character" w:customStyle="1" w:styleId="31">
    <w:name w:val="font21"/>
    <w:basedOn w:val="18"/>
    <w:autoRedefine/>
    <w:qFormat/>
    <w:uiPriority w:val="0"/>
    <w:rPr>
      <w:rFonts w:hint="eastAsia" w:ascii="宋体" w:hAnsi="宋体" w:eastAsia="宋体" w:cs="宋体"/>
      <w:b/>
      <w:bCs/>
      <w:color w:val="000000"/>
      <w:sz w:val="21"/>
      <w:szCs w:val="21"/>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18</Pages>
  <Words>8333</Words>
  <Characters>8811</Characters>
  <Lines>130</Lines>
  <Paragraphs>36</Paragraphs>
  <TotalTime>3</TotalTime>
  <ScaleCrop>false</ScaleCrop>
  <LinksUpToDate>false</LinksUpToDate>
  <CharactersWithSpaces>10094</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2024-08-15T03:00:00Z</dcterms:created>
  <dc:creator>丶梦里寻她千百度ミ</dc:creator>
  <cp:lastModifiedBy>朱冯</cp:lastModifiedBy>
  <dcterms:modified xsi:type="dcterms:W3CDTF">2024-10-07T07:14:55Z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3E787D55AF044DE9BD8CC3BC89B61AC8_13</vt:lpwstr>
  </property>
  <property fmtid="{D5CDD505-2E9C-101B-9397-08002B2CF9AE}" pid="4" name="commondata">
    <vt:lpwstr>eyJoZGlkIjoiMjdiOGY2Yjk4NjAzM2M5OTU2Y2MxNTk1YmNlMjFjYWQifQ==</vt:lpwstr>
  </property>
</Properties>
</file>