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FE231">
      <w:pPr>
        <w:rPr>
          <w:rFonts w:ascii="新宋体" w:hAnsi="新宋体" w:eastAsia="新宋体" w:cs="新宋体"/>
          <w:b/>
          <w:bCs/>
          <w:spacing w:val="30"/>
          <w:sz w:val="56"/>
          <w:szCs w:val="56"/>
        </w:rPr>
      </w:pPr>
    </w:p>
    <w:p w14:paraId="22703E11">
      <w:pPr>
        <w:jc w:val="center"/>
        <w:rPr>
          <w:rFonts w:ascii="新宋体" w:hAnsi="新宋体" w:eastAsia="新宋体"/>
          <w:b/>
          <w:bCs/>
          <w:spacing w:val="140"/>
          <w:sz w:val="72"/>
        </w:rPr>
      </w:pPr>
      <w:r>
        <w:rPr>
          <w:rFonts w:hint="eastAsia" w:ascii="新宋体" w:hAnsi="新宋体" w:eastAsia="新宋体" w:cs="新宋体"/>
          <w:b/>
          <w:bCs/>
          <w:spacing w:val="30"/>
          <w:sz w:val="56"/>
          <w:szCs w:val="56"/>
        </w:rPr>
        <w:t>温 州 市 第 七 人 民 医 院</w:t>
      </w:r>
    </w:p>
    <w:p w14:paraId="2962A730">
      <w:pPr>
        <w:adjustRightInd w:val="0"/>
        <w:snapToGrid w:val="0"/>
        <w:spacing w:line="480" w:lineRule="auto"/>
        <w:ind w:right="361"/>
        <w:rPr>
          <w:rFonts w:ascii="新宋体" w:hAnsi="新宋体" w:eastAsia="新宋体"/>
          <w:b/>
          <w:bCs/>
          <w:sz w:val="84"/>
          <w:szCs w:val="84"/>
        </w:rPr>
      </w:pPr>
    </w:p>
    <w:p w14:paraId="41BFF21B">
      <w:pPr>
        <w:adjustRightInd w:val="0"/>
        <w:snapToGrid w:val="0"/>
        <w:spacing w:line="480" w:lineRule="auto"/>
        <w:ind w:right="361"/>
        <w:jc w:val="center"/>
        <w:rPr>
          <w:rFonts w:ascii="新宋体" w:hAnsi="新宋体" w:eastAsia="新宋体"/>
          <w:sz w:val="84"/>
          <w:szCs w:val="84"/>
        </w:rPr>
      </w:pPr>
      <w:r>
        <w:rPr>
          <w:rFonts w:hint="eastAsia" w:ascii="新宋体" w:hAnsi="新宋体" w:eastAsia="新宋体"/>
          <w:b/>
          <w:bCs/>
          <w:sz w:val="84"/>
          <w:szCs w:val="84"/>
        </w:rPr>
        <w:t>比 选 文 件</w:t>
      </w:r>
    </w:p>
    <w:p w14:paraId="0DDFD44C">
      <w:pPr>
        <w:ind w:firstLine="1140" w:firstLineChars="300"/>
        <w:rPr>
          <w:rFonts w:ascii="新宋体" w:hAnsi="新宋体" w:eastAsia="新宋体"/>
          <w:spacing w:val="40"/>
          <w:sz w:val="30"/>
          <w:szCs w:val="30"/>
        </w:rPr>
      </w:pPr>
    </w:p>
    <w:p w14:paraId="14353D7C">
      <w:pPr>
        <w:ind w:firstLine="1140" w:firstLineChars="300"/>
        <w:rPr>
          <w:rFonts w:ascii="新宋体" w:hAnsi="新宋体" w:eastAsia="新宋体"/>
          <w:spacing w:val="40"/>
          <w:sz w:val="30"/>
          <w:szCs w:val="30"/>
        </w:rPr>
      </w:pPr>
    </w:p>
    <w:p w14:paraId="17DB3382">
      <w:pPr>
        <w:ind w:firstLine="1140" w:firstLineChars="300"/>
        <w:rPr>
          <w:rFonts w:ascii="新宋体" w:hAnsi="新宋体" w:eastAsia="新宋体"/>
          <w:spacing w:val="40"/>
          <w:sz w:val="30"/>
          <w:szCs w:val="30"/>
        </w:rPr>
      </w:pPr>
    </w:p>
    <w:p w14:paraId="436D8F7B">
      <w:pPr>
        <w:adjustRightInd w:val="0"/>
        <w:snapToGrid w:val="0"/>
        <w:spacing w:line="720" w:lineRule="auto"/>
        <w:ind w:firstLine="1944" w:firstLineChars="605"/>
        <w:rPr>
          <w:rFonts w:ascii="宋体" w:hAnsi="宋体" w:cs="宋体"/>
          <w:b/>
          <w:bCs/>
          <w:spacing w:val="40"/>
          <w:sz w:val="32"/>
          <w:szCs w:val="32"/>
          <w:highlight w:val="yellow"/>
        </w:rPr>
      </w:pPr>
      <w:r>
        <w:rPr>
          <w:rFonts w:hint="eastAsia" w:ascii="宋体" w:hAnsi="宋体" w:cs="宋体"/>
          <w:b/>
          <w:bCs/>
          <w:color w:val="000000"/>
          <w:kern w:val="0"/>
          <w:sz w:val="32"/>
          <w:szCs w:val="32"/>
        </w:rPr>
        <w:t>项目名称：</w:t>
      </w:r>
      <w:r>
        <w:rPr>
          <w:rFonts w:hint="eastAsia" w:ascii="宋体" w:hAnsi="宋体" w:cs="宋体"/>
          <w:b/>
          <w:bCs/>
          <w:color w:val="000000"/>
          <w:kern w:val="0"/>
          <w:sz w:val="32"/>
          <w:szCs w:val="32"/>
          <w:lang w:val="en-US" w:eastAsia="zh-CN"/>
        </w:rPr>
        <w:t>2023年财务报表审计服务采购等</w:t>
      </w:r>
      <w:r>
        <w:rPr>
          <w:rFonts w:hint="eastAsia" w:ascii="宋体" w:hAnsi="宋体" w:cs="宋体"/>
          <w:b/>
          <w:bCs/>
          <w:color w:val="000000"/>
          <w:kern w:val="0"/>
          <w:sz w:val="32"/>
          <w:szCs w:val="32"/>
        </w:rPr>
        <w:t>项目</w:t>
      </w:r>
    </w:p>
    <w:p w14:paraId="089AD347">
      <w:pPr>
        <w:adjustRightInd w:val="0"/>
        <w:snapToGrid w:val="0"/>
        <w:spacing w:line="720" w:lineRule="auto"/>
        <w:ind w:firstLine="2026" w:firstLineChars="505"/>
        <w:rPr>
          <w:rFonts w:ascii="宋体" w:hAnsi="宋体" w:cs="宋体"/>
          <w:b/>
          <w:bCs/>
          <w:sz w:val="32"/>
          <w:szCs w:val="32"/>
        </w:rPr>
      </w:pPr>
      <w:r>
        <w:rPr>
          <w:rFonts w:hint="eastAsia" w:ascii="宋体" w:hAnsi="宋体" w:cs="宋体"/>
          <w:b/>
          <w:bCs/>
          <w:spacing w:val="40"/>
          <w:sz w:val="32"/>
          <w:szCs w:val="32"/>
        </w:rPr>
        <w:t>采购方式：</w:t>
      </w:r>
      <w:r>
        <w:rPr>
          <w:rFonts w:hint="eastAsia" w:ascii="宋体" w:hAnsi="宋体" w:cs="宋体"/>
          <w:b/>
          <w:bCs/>
          <w:color w:val="000000"/>
          <w:kern w:val="0"/>
          <w:sz w:val="32"/>
          <w:szCs w:val="32"/>
        </w:rPr>
        <w:t>公开比选</w:t>
      </w:r>
    </w:p>
    <w:p w14:paraId="3EFEB105">
      <w:pPr>
        <w:adjustRightInd w:val="0"/>
        <w:snapToGrid w:val="0"/>
        <w:spacing w:line="720" w:lineRule="auto"/>
        <w:ind w:firstLine="2026" w:firstLineChars="505"/>
        <w:rPr>
          <w:rFonts w:ascii="宋体" w:hAnsi="宋体" w:cs="宋体"/>
          <w:b/>
          <w:bCs/>
          <w:spacing w:val="30"/>
          <w:sz w:val="32"/>
          <w:szCs w:val="32"/>
        </w:rPr>
      </w:pPr>
      <w:r>
        <w:rPr>
          <w:rFonts w:hint="eastAsia" w:ascii="宋体" w:hAnsi="宋体" w:cs="宋体"/>
          <w:b/>
          <w:bCs/>
          <w:spacing w:val="40"/>
          <w:sz w:val="32"/>
          <w:szCs w:val="32"/>
        </w:rPr>
        <w:t>招 标 人：</w:t>
      </w:r>
      <w:r>
        <w:rPr>
          <w:rFonts w:hint="eastAsia" w:ascii="宋体" w:hAnsi="宋体" w:cs="宋体"/>
          <w:b/>
          <w:bCs/>
          <w:spacing w:val="30"/>
          <w:sz w:val="32"/>
          <w:szCs w:val="32"/>
        </w:rPr>
        <w:t>温州市第七人民医院</w:t>
      </w:r>
    </w:p>
    <w:p w14:paraId="3C9D0A33">
      <w:pPr>
        <w:adjustRightInd w:val="0"/>
        <w:snapToGrid w:val="0"/>
        <w:spacing w:line="720" w:lineRule="auto"/>
        <w:ind w:firstLine="2026" w:firstLineChars="505"/>
        <w:rPr>
          <w:rFonts w:ascii="新宋体" w:hAnsi="新宋体" w:eastAsia="新宋体"/>
          <w:b/>
          <w:bCs/>
          <w:spacing w:val="40"/>
          <w:sz w:val="32"/>
          <w:szCs w:val="28"/>
        </w:rPr>
      </w:pPr>
      <w:r>
        <w:rPr>
          <w:rFonts w:hint="eastAsia" w:ascii="宋体" w:hAnsi="宋体" w:cs="宋体"/>
          <w:b/>
          <w:bCs/>
          <w:spacing w:val="40"/>
          <w:sz w:val="32"/>
          <w:szCs w:val="32"/>
        </w:rPr>
        <w:t>采购日期：</w:t>
      </w:r>
      <w:r>
        <w:rPr>
          <w:rFonts w:hint="eastAsia" w:ascii="新宋体" w:hAnsi="新宋体" w:eastAsia="新宋体"/>
          <w:b/>
          <w:bCs/>
          <w:spacing w:val="40"/>
          <w:sz w:val="32"/>
          <w:szCs w:val="28"/>
        </w:rPr>
        <w:t>二〇二四年</w:t>
      </w:r>
      <w:r>
        <w:rPr>
          <w:rFonts w:hint="eastAsia" w:ascii="新宋体" w:hAnsi="新宋体" w:eastAsia="新宋体"/>
          <w:b/>
          <w:bCs/>
          <w:spacing w:val="40"/>
          <w:sz w:val="32"/>
          <w:szCs w:val="28"/>
          <w:lang w:eastAsia="zh-CN"/>
        </w:rPr>
        <w:t>十</w:t>
      </w:r>
      <w:r>
        <w:rPr>
          <w:rFonts w:hint="eastAsia" w:ascii="新宋体" w:hAnsi="新宋体" w:eastAsia="新宋体"/>
          <w:b/>
          <w:bCs/>
          <w:spacing w:val="40"/>
          <w:sz w:val="32"/>
          <w:szCs w:val="28"/>
        </w:rPr>
        <w:t>月</w:t>
      </w:r>
    </w:p>
    <w:p w14:paraId="7CDE835C">
      <w:pPr>
        <w:adjustRightInd w:val="0"/>
        <w:snapToGrid w:val="0"/>
        <w:spacing w:line="720" w:lineRule="auto"/>
        <w:ind w:firstLine="1140" w:firstLineChars="300"/>
        <w:rPr>
          <w:rFonts w:ascii="宋体" w:hAnsi="宋体" w:cs="宋体"/>
          <w:spacing w:val="30"/>
          <w:sz w:val="32"/>
          <w:szCs w:val="32"/>
        </w:rPr>
      </w:pPr>
    </w:p>
    <w:p w14:paraId="767D0D88">
      <w:pPr>
        <w:adjustRightInd w:val="0"/>
        <w:snapToGrid w:val="0"/>
        <w:spacing w:line="720" w:lineRule="auto"/>
        <w:jc w:val="center"/>
        <w:rPr>
          <w:rFonts w:ascii="新宋体" w:hAnsi="新宋体" w:eastAsia="新宋体"/>
          <w:spacing w:val="40"/>
          <w:sz w:val="28"/>
        </w:rPr>
      </w:pPr>
      <w:r>
        <w:rPr>
          <w:rFonts w:hint="eastAsia" w:ascii="新宋体" w:hAnsi="新宋体" w:eastAsia="新宋体"/>
          <w:spacing w:val="30"/>
          <w:sz w:val="30"/>
        </w:rPr>
        <w:t xml:space="preserve"> </w:t>
      </w:r>
    </w:p>
    <w:p w14:paraId="1060F096">
      <w:pPr>
        <w:pStyle w:val="4"/>
        <w:keepLines w:val="0"/>
        <w:pageBreakBefore w:val="0"/>
        <w:numPr>
          <w:ilvl w:val="0"/>
          <w:numId w:val="0"/>
        </w:numPr>
        <w:kinsoku/>
        <w:overflowPunct/>
        <w:topLinePunct w:val="0"/>
        <w:autoSpaceDE/>
        <w:autoSpaceDN/>
        <w:bidi w:val="0"/>
        <w:spacing w:line="400" w:lineRule="exact"/>
        <w:rPr>
          <w:rFonts w:ascii="宋体" w:hAnsi="宋体" w:eastAsia="宋体" w:cs="宋体"/>
          <w:b w:val="0"/>
          <w:bCs/>
          <w:color w:val="000000"/>
          <w:sz w:val="36"/>
          <w:szCs w:val="21"/>
        </w:rPr>
      </w:pPr>
      <w:r>
        <w:rPr>
          <w:rFonts w:hint="eastAsia" w:ascii="宋体" w:hAnsi="宋体" w:eastAsia="宋体" w:cs="宋体"/>
          <w:b w:val="0"/>
          <w:bCs/>
          <w:color w:val="000000"/>
          <w:sz w:val="36"/>
          <w:szCs w:val="21"/>
          <w:lang w:eastAsia="zh-CN"/>
        </w:rPr>
        <w:t>公开比选</w:t>
      </w:r>
      <w:r>
        <w:rPr>
          <w:rFonts w:hint="eastAsia" w:ascii="宋体" w:hAnsi="宋体" w:eastAsia="宋体" w:cs="宋体"/>
          <w:b w:val="0"/>
          <w:bCs/>
          <w:color w:val="000000"/>
          <w:sz w:val="36"/>
          <w:szCs w:val="21"/>
        </w:rPr>
        <w:t>公告</w:t>
      </w:r>
    </w:p>
    <w:p w14:paraId="070F94F7">
      <w:pPr>
        <w:pStyle w:val="16"/>
        <w:keepLines w:val="0"/>
        <w:pageBreakBefore w:val="0"/>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color w:val="000000"/>
        </w:rPr>
      </w:pPr>
    </w:p>
    <w:p w14:paraId="32C32D49">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lang w:val="en-US" w:eastAsia="zh-CN"/>
        </w:rPr>
      </w:pPr>
      <w:r>
        <w:rPr>
          <w:rFonts w:hint="eastAsia"/>
          <w:lang w:val="en-US" w:eastAsia="zh-CN"/>
        </w:rPr>
        <w:t>因温州市第七人民医院工作需要，现对温州市第七人民医院关于2023年财务报表审计服务采购等项目进行公开比选，我们诚恳地邀请有资质的单位参加投标，并请按比选文件的要求认真准备按时前来投标。</w:t>
      </w:r>
    </w:p>
    <w:p w14:paraId="649BD77A">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2" w:firstLineChars="200"/>
        <w:rPr>
          <w:b/>
          <w:bCs/>
          <w:color w:val="000000"/>
        </w:rPr>
      </w:pPr>
      <w:r>
        <w:rPr>
          <w:rFonts w:hint="eastAsia"/>
          <w:b/>
          <w:bCs/>
          <w:color w:val="000000"/>
        </w:rPr>
        <w:t>一、项目基本情况</w:t>
      </w:r>
    </w:p>
    <w:p w14:paraId="50515CE5">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color w:val="000000"/>
        </w:rPr>
      </w:pPr>
      <w:r>
        <w:rPr>
          <w:rFonts w:hint="eastAsia"/>
          <w:color w:val="000000"/>
        </w:rPr>
        <w:t>项目名称：</w:t>
      </w:r>
      <w:r>
        <w:rPr>
          <w:rFonts w:hint="eastAsia"/>
          <w:lang w:val="en-US" w:eastAsia="zh-CN"/>
        </w:rPr>
        <w:t>2023年财务报表审计服务采购等项目（具体内容详采购要求）</w:t>
      </w:r>
      <w:r>
        <w:rPr>
          <w:rFonts w:hint="eastAsia"/>
          <w:color w:val="000000"/>
        </w:rPr>
        <w:t xml:space="preserve">    </w:t>
      </w:r>
    </w:p>
    <w:p w14:paraId="65A33B94">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rPr>
        <w:t>预算金额：</w:t>
      </w:r>
      <w:r>
        <w:rPr>
          <w:rFonts w:hint="eastAsia" w:asciiTheme="majorEastAsia" w:hAnsiTheme="majorEastAsia" w:eastAsiaTheme="majorEastAsia" w:cstheme="majorEastAsia"/>
          <w:lang w:val="en-US" w:eastAsia="zh-CN"/>
        </w:rPr>
        <w:t>50000</w:t>
      </w:r>
      <w:r>
        <w:rPr>
          <w:rFonts w:hint="eastAsia" w:asciiTheme="majorEastAsia" w:hAnsiTheme="majorEastAsia" w:eastAsiaTheme="majorEastAsia" w:cstheme="majorEastAsia"/>
        </w:rPr>
        <w:t xml:space="preserve">元  </w:t>
      </w:r>
    </w:p>
    <w:p w14:paraId="14F1316F">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asciiTheme="majorEastAsia" w:hAnsiTheme="majorEastAsia" w:eastAsiaTheme="majorEastAsia" w:cstheme="majorEastAsia"/>
          <w:lang w:eastAsia="zh-CN"/>
        </w:rPr>
      </w:pPr>
      <w:r>
        <w:rPr>
          <w:rFonts w:hint="eastAsia" w:asciiTheme="majorEastAsia" w:hAnsiTheme="majorEastAsia" w:eastAsiaTheme="majorEastAsia" w:cstheme="majorEastAsia"/>
          <w:lang w:eastAsia="zh-CN"/>
        </w:rPr>
        <w:t>资金来源：自筹资金</w:t>
      </w:r>
    </w:p>
    <w:p w14:paraId="1C34F0D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lang w:val="en-US" w:eastAsia="zh-CN"/>
        </w:rPr>
      </w:pPr>
      <w:r>
        <w:rPr>
          <w:rFonts w:hint="eastAsia"/>
        </w:rPr>
        <w:t>服务期限：</w:t>
      </w:r>
      <w:r>
        <w:rPr>
          <w:rFonts w:hint="eastAsia"/>
          <w:lang w:val="en-US" w:eastAsia="zh-CN"/>
        </w:rPr>
        <w:t>合同签订起至服务结束止</w:t>
      </w:r>
    </w:p>
    <w:p w14:paraId="064025D6">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rFonts w:hint="eastAsia"/>
          <w:lang w:val="en-US" w:eastAsia="zh-CN"/>
        </w:rPr>
      </w:pPr>
      <w:r>
        <w:rPr>
          <w:rFonts w:hint="eastAsia"/>
          <w:lang w:val="en-US" w:eastAsia="zh-CN"/>
        </w:rPr>
        <w:t>项目地点：温州市第七人民医院潘桥院区</w:t>
      </w:r>
    </w:p>
    <w:p w14:paraId="53D37985">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jc w:val="both"/>
        <w:rPr>
          <w:color w:val="000000"/>
        </w:rPr>
      </w:pPr>
      <w:r>
        <w:rPr>
          <w:rFonts w:hint="eastAsia"/>
          <w:color w:val="000000"/>
        </w:rPr>
        <w:t>比选内容：详细内容见比选内容及要求</w:t>
      </w:r>
    </w:p>
    <w:p w14:paraId="4D1119F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2" w:firstLineChars="200"/>
        <w:rPr>
          <w:rStyle w:val="20"/>
          <w:color w:val="000000"/>
          <w:shd w:val="clear" w:color="auto" w:fill="FFFFFF"/>
        </w:rPr>
      </w:pPr>
      <w:r>
        <w:rPr>
          <w:rStyle w:val="20"/>
          <w:rFonts w:hint="eastAsia"/>
          <w:color w:val="000000"/>
          <w:shd w:val="clear" w:color="auto" w:fill="FFFFFF"/>
        </w:rPr>
        <w:t>投标人报价不得超过最高限价金额，否则当无效标处理。</w:t>
      </w:r>
    </w:p>
    <w:p w14:paraId="56F0CBAE">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2" w:firstLineChars="200"/>
        <w:rPr>
          <w:color w:val="000000"/>
        </w:rPr>
      </w:pPr>
      <w:r>
        <w:rPr>
          <w:rFonts w:hint="eastAsia"/>
          <w:b/>
          <w:bCs/>
          <w:color w:val="000000"/>
        </w:rPr>
        <w:t>二、</w:t>
      </w:r>
      <w:r>
        <w:rPr>
          <w:rFonts w:hint="eastAsia"/>
          <w:color w:val="000000"/>
        </w:rPr>
        <w:t>申请人资格要求：</w:t>
      </w:r>
    </w:p>
    <w:p w14:paraId="7D27DF8E">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rFonts w:hint="eastAsia" w:ascii="宋体" w:hAnsi="宋体" w:eastAsia="宋体" w:cs="宋体"/>
          <w:color w:val="auto"/>
          <w:shd w:val="clear" w:color="auto" w:fill="FFFFFF"/>
          <w:lang w:eastAsia="zh-CN"/>
        </w:rPr>
      </w:pPr>
      <w:r>
        <w:rPr>
          <w:rFonts w:hint="eastAsia" w:ascii="宋体" w:hAnsi="宋体" w:eastAsia="宋体" w:cs="宋体"/>
          <w:color w:val="auto"/>
          <w:shd w:val="clear" w:color="auto" w:fill="FFFFFF"/>
          <w:lang w:eastAsia="zh-CN"/>
        </w:rPr>
        <w:t>1.满足《中华人民共和国政府采购法》第二十二条规定；未被“信用中国”（www.creditchina.gov.cn)列入失信被执行人、重大税收违法案件当事人名单、政府采购严重违法失信行为记录名单。</w:t>
      </w:r>
    </w:p>
    <w:p w14:paraId="11F9CD5B">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rFonts w:hint="eastAsia" w:ascii="宋体" w:hAnsi="宋体" w:eastAsia="宋体" w:cs="宋体"/>
          <w:color w:val="auto"/>
          <w:shd w:val="clear" w:color="auto" w:fill="FFFFFF"/>
          <w:lang w:eastAsia="zh-CN"/>
        </w:rPr>
      </w:pPr>
      <w:r>
        <w:rPr>
          <w:rFonts w:hint="eastAsia" w:ascii="宋体" w:hAnsi="宋体" w:eastAsia="宋体" w:cs="宋体"/>
          <w:color w:val="auto"/>
          <w:shd w:val="clear" w:color="auto" w:fill="FFFFFF"/>
          <w:lang w:eastAsia="zh-CN"/>
        </w:rPr>
        <w:t>2.落实政府采购政策需满足的资格要求：无。 </w:t>
      </w:r>
    </w:p>
    <w:p w14:paraId="103042F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auto"/>
          <w:sz w:val="24"/>
          <w:szCs w:val="24"/>
        </w:rPr>
      </w:pPr>
      <w:r>
        <w:rPr>
          <w:rFonts w:hint="eastAsia" w:ascii="宋体" w:hAnsi="宋体" w:eastAsia="宋体" w:cs="宋体"/>
          <w:color w:val="auto"/>
          <w:shd w:val="clear" w:color="auto" w:fill="FFFFFF"/>
          <w:lang w:eastAsia="zh-CN"/>
        </w:rPr>
        <w:t>3.本项目的特定资格要求：须为经工商注册（登记为企业法人、合伙企业等）的有法定资格的会计师事务所，且具有财政部门审批发放的《会计师事务所执业证书》。</w:t>
      </w:r>
      <w:r>
        <w:rPr>
          <w:rFonts w:hint="eastAsia" w:ascii="仿宋" w:hAnsi="仿宋" w:eastAsia="仿宋" w:cs="仿宋"/>
          <w:i w:val="0"/>
          <w:iCs w:val="0"/>
          <w:caps w:val="0"/>
          <w:color w:val="auto"/>
          <w:spacing w:val="0"/>
          <w:sz w:val="24"/>
          <w:szCs w:val="24"/>
        </w:rPr>
        <w:t> </w:t>
      </w:r>
    </w:p>
    <w:p w14:paraId="0F330E9F">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themeColor="text1"/>
          <w:shd w:val="clear" w:color="auto" w:fill="FFFFFF"/>
          <w14:textFill>
            <w14:solidFill>
              <w14:schemeClr w14:val="tx1"/>
            </w14:solidFill>
          </w14:textFill>
        </w:rPr>
      </w:pPr>
      <w:r>
        <w:rPr>
          <w:rFonts w:hint="eastAsia"/>
          <w:color w:val="000000" w:themeColor="text1"/>
          <w:shd w:val="clear" w:color="auto" w:fill="FFFFFF"/>
          <w14:textFill>
            <w14:solidFill>
              <w14:schemeClr w14:val="tx1"/>
            </w14:solidFill>
          </w14:textFill>
        </w:rPr>
        <w:t>三</w:t>
      </w:r>
      <w:r>
        <w:rPr>
          <w:color w:val="000000" w:themeColor="text1"/>
          <w:shd w:val="clear" w:color="auto" w:fill="FFFFFF"/>
          <w14:textFill>
            <w14:solidFill>
              <w14:schemeClr w14:val="tx1"/>
            </w14:solidFill>
          </w14:textFill>
        </w:rPr>
        <w:t>．报名时间、地点及注意事项：</w:t>
      </w:r>
    </w:p>
    <w:p w14:paraId="0307423A">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themeColor="text1"/>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1．报名时间：2024年</w:t>
      </w:r>
      <w:r>
        <w:rPr>
          <w:rFonts w:hint="eastAsia"/>
          <w:color w:val="000000" w:themeColor="text1"/>
          <w:shd w:val="clear" w:color="auto" w:fill="FFFFFF"/>
          <w:lang w:val="en-US" w:eastAsia="zh-CN"/>
          <w14:textFill>
            <w14:solidFill>
              <w14:schemeClr w14:val="tx1"/>
            </w14:solidFill>
          </w14:textFill>
        </w:rPr>
        <w:t>9</w:t>
      </w:r>
      <w:r>
        <w:rPr>
          <w:color w:val="000000" w:themeColor="text1"/>
          <w:shd w:val="clear" w:color="auto" w:fill="FFFFFF"/>
          <w14:textFill>
            <w14:solidFill>
              <w14:schemeClr w14:val="tx1"/>
            </w14:solidFill>
          </w14:textFill>
        </w:rPr>
        <w:t>月</w:t>
      </w:r>
      <w:r>
        <w:rPr>
          <w:rFonts w:hint="eastAsia"/>
          <w:color w:val="000000" w:themeColor="text1"/>
          <w:shd w:val="clear" w:color="auto" w:fill="FFFFFF"/>
          <w:lang w:val="en-US" w:eastAsia="zh-CN"/>
          <w14:textFill>
            <w14:solidFill>
              <w14:schemeClr w14:val="tx1"/>
            </w14:solidFill>
          </w14:textFill>
        </w:rPr>
        <w:t>30</w:t>
      </w:r>
      <w:r>
        <w:rPr>
          <w:color w:val="000000" w:themeColor="text1"/>
          <w:shd w:val="clear" w:color="auto" w:fill="FFFFFF"/>
          <w14:textFill>
            <w14:solidFill>
              <w14:schemeClr w14:val="tx1"/>
            </w14:solidFill>
          </w14:textFill>
        </w:rPr>
        <w:t>日至2024年</w:t>
      </w:r>
      <w:r>
        <w:rPr>
          <w:rFonts w:hint="eastAsia"/>
          <w:color w:val="000000" w:themeColor="text1"/>
          <w:shd w:val="clear" w:color="auto" w:fill="FFFFFF"/>
          <w:lang w:val="en-US" w:eastAsia="zh-CN"/>
          <w14:textFill>
            <w14:solidFill>
              <w14:schemeClr w14:val="tx1"/>
            </w14:solidFill>
          </w14:textFill>
        </w:rPr>
        <w:t>10</w:t>
      </w:r>
      <w:r>
        <w:rPr>
          <w:color w:val="000000" w:themeColor="text1"/>
          <w:shd w:val="clear" w:color="auto" w:fill="FFFFFF"/>
          <w14:textFill>
            <w14:solidFill>
              <w14:schemeClr w14:val="tx1"/>
            </w14:solidFill>
          </w14:textFill>
        </w:rPr>
        <w:t>月</w:t>
      </w:r>
      <w:r>
        <w:rPr>
          <w:rFonts w:hint="eastAsia"/>
          <w:color w:val="000000" w:themeColor="text1"/>
          <w:shd w:val="clear" w:color="auto" w:fill="FFFFFF"/>
          <w:lang w:val="en-US" w:eastAsia="zh-CN"/>
          <w14:textFill>
            <w14:solidFill>
              <w14:schemeClr w14:val="tx1"/>
            </w14:solidFill>
          </w14:textFill>
        </w:rPr>
        <w:t>9</w:t>
      </w:r>
      <w:r>
        <w:rPr>
          <w:color w:val="000000" w:themeColor="text1"/>
          <w:shd w:val="clear" w:color="auto" w:fill="FFFFFF"/>
          <w14:textFill>
            <w14:solidFill>
              <w14:schemeClr w14:val="tx1"/>
            </w14:solidFill>
          </w14:textFill>
        </w:rPr>
        <w:t>日</w:t>
      </w:r>
      <w:r>
        <w:rPr>
          <w:rFonts w:hint="eastAsia"/>
          <w:color w:val="000000" w:themeColor="text1"/>
          <w:shd w:val="clear" w:color="auto" w:fill="FFFFFF"/>
          <w:lang w:val="en-US" w:eastAsia="zh-CN"/>
          <w14:textFill>
            <w14:solidFill>
              <w14:schemeClr w14:val="tx1"/>
            </w14:solidFill>
          </w14:textFill>
        </w:rPr>
        <w:t>14</w:t>
      </w:r>
      <w:r>
        <w:rPr>
          <w:color w:val="000000" w:themeColor="text1"/>
          <w:shd w:val="clear" w:color="auto" w:fill="FFFFFF"/>
          <w14:textFill>
            <w14:solidFill>
              <w14:schemeClr w14:val="tx1"/>
            </w14:solidFill>
          </w14:textFill>
        </w:rPr>
        <w:t>:</w:t>
      </w:r>
      <w:r>
        <w:rPr>
          <w:rFonts w:hint="eastAsia"/>
          <w:color w:val="000000" w:themeColor="text1"/>
          <w:shd w:val="clear" w:color="auto" w:fill="FFFFFF"/>
          <w:lang w:val="en-US" w:eastAsia="zh-CN"/>
          <w14:textFill>
            <w14:solidFill>
              <w14:schemeClr w14:val="tx1"/>
            </w14:solidFill>
          </w14:textFill>
        </w:rPr>
        <w:t>0</w:t>
      </w:r>
      <w:r>
        <w:rPr>
          <w:color w:val="000000" w:themeColor="text1"/>
          <w:shd w:val="clear" w:color="auto" w:fill="FFFFFF"/>
          <w14:textFill>
            <w14:solidFill>
              <w14:schemeClr w14:val="tx1"/>
            </w14:solidFill>
          </w14:textFill>
        </w:rPr>
        <w:t>0时（上午：8:10-11:40；下午：1:00-4:30</w:t>
      </w:r>
      <w:r>
        <w:rPr>
          <w:rFonts w:hint="eastAsia"/>
          <w:color w:val="000000" w:themeColor="text1"/>
          <w:shd w:val="clear" w:color="auto" w:fill="FFFFFF"/>
          <w:lang w:eastAsia="zh-CN"/>
          <w14:textFill>
            <w14:solidFill>
              <w14:schemeClr w14:val="tx1"/>
            </w14:solidFill>
          </w14:textFill>
        </w:rPr>
        <w:t>；节假日、</w:t>
      </w:r>
      <w:r>
        <w:rPr>
          <w:color w:val="000000" w:themeColor="text1"/>
          <w:shd w:val="clear" w:color="auto" w:fill="FFFFFF"/>
          <w14:textFill>
            <w14:solidFill>
              <w14:schemeClr w14:val="tx1"/>
            </w14:solidFill>
          </w14:textFill>
        </w:rPr>
        <w:t>双休日不接收）。</w:t>
      </w:r>
    </w:p>
    <w:p w14:paraId="594D15CF">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shd w:val="clear" w:color="auto" w:fill="FFFFFF"/>
        </w:rPr>
      </w:pPr>
      <w:r>
        <w:rPr>
          <w:color w:val="000000"/>
          <w:shd w:val="clear" w:color="auto" w:fill="FFFFFF"/>
        </w:rPr>
        <w:t>比选采购文件在线获取，不提供纸质版。</w:t>
      </w:r>
    </w:p>
    <w:p w14:paraId="66AEE854">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shd w:val="clear" w:color="auto" w:fill="FFFFFF"/>
        </w:rPr>
      </w:pPr>
      <w:r>
        <w:rPr>
          <w:color w:val="000000"/>
          <w:shd w:val="clear" w:color="auto" w:fill="FFFFFF"/>
        </w:rPr>
        <w:t>2．联系人：</w:t>
      </w:r>
      <w:r>
        <w:rPr>
          <w:rFonts w:hint="eastAsia"/>
          <w:color w:val="000000"/>
          <w:shd w:val="clear" w:color="auto" w:fill="FFFFFF"/>
          <w:lang w:eastAsia="zh-CN"/>
        </w:rPr>
        <w:t>季</w:t>
      </w:r>
      <w:r>
        <w:rPr>
          <w:rFonts w:hint="eastAsia"/>
          <w:color w:val="000000"/>
          <w:shd w:val="clear" w:color="auto" w:fill="FFFFFF"/>
        </w:rPr>
        <w:t>老师</w:t>
      </w:r>
      <w:r>
        <w:rPr>
          <w:color w:val="000000"/>
          <w:shd w:val="clear" w:color="auto" w:fill="FFFFFF"/>
        </w:rPr>
        <w:t>      </w:t>
      </w:r>
    </w:p>
    <w:p w14:paraId="508382DF">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shd w:val="clear" w:color="auto" w:fill="FFFFFF"/>
        </w:rPr>
      </w:pPr>
      <w:r>
        <w:rPr>
          <w:color w:val="000000"/>
          <w:shd w:val="clear" w:color="auto" w:fill="FFFFFF"/>
        </w:rPr>
        <w:t>联系电话：0577-89870153</w:t>
      </w:r>
    </w:p>
    <w:p w14:paraId="1DF934EB">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themeColor="text1"/>
          <w14:textFill>
            <w14:solidFill>
              <w14:schemeClr w14:val="tx1"/>
            </w14:solidFill>
          </w14:textFill>
        </w:rPr>
      </w:pPr>
      <w:r>
        <w:rPr>
          <w:rFonts w:hint="eastAsia"/>
          <w:color w:val="000000"/>
        </w:rPr>
        <w:t>四、投标文件递交截止时间：</w:t>
      </w:r>
      <w:r>
        <w:rPr>
          <w:rFonts w:hint="eastAsia"/>
          <w:color w:val="000000" w:themeColor="text1"/>
          <w14:textFill>
            <w14:solidFill>
              <w14:schemeClr w14:val="tx1"/>
            </w14:solidFill>
          </w14:textFill>
        </w:rPr>
        <w:t>2024年</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日</w:t>
      </w:r>
      <w:r>
        <w:rPr>
          <w:rFonts w:hint="eastAsia"/>
          <w:color w:val="000000" w:themeColor="text1"/>
          <w:shd w:val="clear" w:color="auto" w:fill="FFFFFF"/>
          <w:lang w:val="en-US" w:eastAsia="zh-CN"/>
          <w14:textFill>
            <w14:solidFill>
              <w14:schemeClr w14:val="tx1"/>
            </w14:solidFill>
          </w14:textFill>
        </w:rPr>
        <w:t>14</w:t>
      </w:r>
      <w:r>
        <w:rPr>
          <w:color w:val="000000" w:themeColor="text1"/>
          <w:shd w:val="clear" w:color="auto" w:fill="FFFFFF"/>
          <w14:textFill>
            <w14:solidFill>
              <w14:schemeClr w14:val="tx1"/>
            </w14:solidFill>
          </w14:textFill>
        </w:rPr>
        <w:t>:</w:t>
      </w:r>
      <w:r>
        <w:rPr>
          <w:rFonts w:hint="eastAsia"/>
          <w:color w:val="000000" w:themeColor="text1"/>
          <w:shd w:val="clear" w:color="auto" w:fill="FFFFFF"/>
          <w:lang w:val="en-US" w:eastAsia="zh-CN"/>
          <w14:textFill>
            <w14:solidFill>
              <w14:schemeClr w14:val="tx1"/>
            </w14:solidFill>
          </w14:textFill>
        </w:rPr>
        <w:t>0</w:t>
      </w:r>
      <w:r>
        <w:rPr>
          <w:color w:val="000000" w:themeColor="text1"/>
          <w:shd w:val="clear" w:color="auto" w:fill="FFFFFF"/>
          <w14:textFill>
            <w14:solidFill>
              <w14:schemeClr w14:val="tx1"/>
            </w14:solidFill>
          </w14:textFill>
        </w:rPr>
        <w:t>0</w:t>
      </w:r>
      <w:r>
        <w:rPr>
          <w:rFonts w:hint="eastAsia"/>
          <w:color w:val="000000" w:themeColor="text1"/>
          <w14:textFill>
            <w14:solidFill>
              <w14:schemeClr w14:val="tx1"/>
            </w14:solidFill>
          </w14:textFill>
        </w:rPr>
        <w:t>分整；</w:t>
      </w:r>
    </w:p>
    <w:p w14:paraId="658A007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textAlignment w:val="bottom"/>
        <w:rPr>
          <w:color w:val="000000" w:themeColor="text1"/>
          <w14:textFill>
            <w14:solidFill>
              <w14:schemeClr w14:val="tx1"/>
            </w14:solidFill>
          </w14:textFill>
        </w:rPr>
      </w:pPr>
      <w:r>
        <w:rPr>
          <w:rFonts w:hint="eastAsia"/>
          <w:color w:val="000000" w:themeColor="text1"/>
          <w14:textFill>
            <w14:solidFill>
              <w14:schemeClr w14:val="tx1"/>
            </w14:solidFill>
          </w14:textFill>
        </w:rPr>
        <w:t>  递交地点：温州市第七人民医院潘桥院区学士前路158号</w:t>
      </w:r>
    </w:p>
    <w:p w14:paraId="425DBF7B">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五、开标时间：2024年</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日</w:t>
      </w:r>
      <w:r>
        <w:rPr>
          <w:rFonts w:hint="eastAsia"/>
          <w:color w:val="000000" w:themeColor="text1"/>
          <w:shd w:val="clear" w:color="auto" w:fill="FFFFFF"/>
          <w:lang w:val="en-US" w:eastAsia="zh-CN"/>
          <w14:textFill>
            <w14:solidFill>
              <w14:schemeClr w14:val="tx1"/>
            </w14:solidFill>
          </w14:textFill>
        </w:rPr>
        <w:t>14</w:t>
      </w:r>
      <w:r>
        <w:rPr>
          <w:color w:val="000000" w:themeColor="text1"/>
          <w:shd w:val="clear" w:color="auto" w:fill="FFFFFF"/>
          <w14:textFill>
            <w14:solidFill>
              <w14:schemeClr w14:val="tx1"/>
            </w14:solidFill>
          </w14:textFill>
        </w:rPr>
        <w:t>:</w:t>
      </w:r>
      <w:r>
        <w:rPr>
          <w:rFonts w:hint="eastAsia"/>
          <w:color w:val="000000" w:themeColor="text1"/>
          <w:shd w:val="clear" w:color="auto" w:fill="FFFFFF"/>
          <w:lang w:val="en-US" w:eastAsia="zh-CN"/>
          <w14:textFill>
            <w14:solidFill>
              <w14:schemeClr w14:val="tx1"/>
            </w14:solidFill>
          </w14:textFill>
        </w:rPr>
        <w:t>0</w:t>
      </w:r>
      <w:r>
        <w:rPr>
          <w:color w:val="000000" w:themeColor="text1"/>
          <w:shd w:val="clear" w:color="auto" w:fill="FFFFFF"/>
          <w14:textFill>
            <w14:solidFill>
              <w14:schemeClr w14:val="tx1"/>
            </w14:solidFill>
          </w14:textFill>
        </w:rPr>
        <w:t>0</w:t>
      </w:r>
      <w:r>
        <w:rPr>
          <w:rFonts w:hint="eastAsia"/>
          <w:color w:val="000000" w:themeColor="text1"/>
          <w14:textFill>
            <w14:solidFill>
              <w14:schemeClr w14:val="tx1"/>
            </w14:solidFill>
          </w14:textFill>
        </w:rPr>
        <w:t>分整；</w:t>
      </w:r>
    </w:p>
    <w:p w14:paraId="5F6EE5FB">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rPr>
      </w:pPr>
      <w:r>
        <w:rPr>
          <w:rFonts w:hint="eastAsia"/>
          <w:color w:val="000000"/>
        </w:rPr>
        <w:t>开标地点：温州市第七人民医院潘桥院区学士前路158号门诊楼4楼三号会议室</w:t>
      </w:r>
    </w:p>
    <w:p w14:paraId="5230F8F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rPr>
      </w:pPr>
      <w:r>
        <w:rPr>
          <w:rFonts w:hint="eastAsia"/>
          <w:color w:val="000000"/>
        </w:rPr>
        <w:t>六、招标人：温州市第七人民医院</w:t>
      </w:r>
    </w:p>
    <w:p w14:paraId="3B356368">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rPr>
      </w:pPr>
      <w:r>
        <w:rPr>
          <w:rFonts w:hint="eastAsia"/>
          <w:color w:val="000000"/>
        </w:rPr>
        <w:t>联系人： </w:t>
      </w:r>
      <w:r>
        <w:rPr>
          <w:rFonts w:hint="eastAsia"/>
          <w:color w:val="000000"/>
          <w:shd w:val="clear" w:color="auto" w:fill="FFFFFF"/>
          <w:lang w:eastAsia="zh-CN"/>
        </w:rPr>
        <w:t>季</w:t>
      </w:r>
      <w:r>
        <w:rPr>
          <w:rFonts w:hint="eastAsia"/>
          <w:color w:val="000000"/>
          <w:shd w:val="clear" w:color="auto" w:fill="FFFFFF"/>
        </w:rPr>
        <w:t>老师</w:t>
      </w:r>
      <w:r>
        <w:rPr>
          <w:color w:val="000000"/>
          <w:shd w:val="clear" w:color="auto" w:fill="FFFFFF"/>
        </w:rPr>
        <w:t> </w:t>
      </w:r>
    </w:p>
    <w:p w14:paraId="1F39D3B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rPr>
      </w:pPr>
      <w:r>
        <w:rPr>
          <w:rFonts w:hint="eastAsia"/>
          <w:color w:val="000000"/>
        </w:rPr>
        <w:t>电话：  0577-89870153</w:t>
      </w:r>
    </w:p>
    <w:p w14:paraId="4B9276A7">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exact"/>
        <w:ind w:firstLine="480" w:firstLineChars="200"/>
        <w:rPr>
          <w:color w:val="000000"/>
        </w:rPr>
      </w:pPr>
      <w:r>
        <w:rPr>
          <w:rFonts w:hint="eastAsia"/>
          <w:color w:val="000000"/>
        </w:rPr>
        <w:t>监督电话：0577-56575113 </w:t>
      </w:r>
    </w:p>
    <w:p w14:paraId="12FD12C8">
      <w:pPr>
        <w:pStyle w:val="16"/>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360" w:lineRule="exact"/>
        <w:ind w:firstLine="480" w:firstLineChars="200"/>
        <w:jc w:val="right"/>
        <w:rPr>
          <w:color w:val="000000"/>
        </w:rPr>
      </w:pPr>
      <w:r>
        <w:rPr>
          <w:rFonts w:hint="eastAsia"/>
          <w:color w:val="000000"/>
        </w:rPr>
        <w:t xml:space="preserve">                                                                  温州市第七人民医院  </w:t>
      </w:r>
    </w:p>
    <w:p w14:paraId="6D38C8E2">
      <w:pPr>
        <w:pStyle w:val="16"/>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360" w:lineRule="exact"/>
        <w:ind w:firstLine="480" w:firstLineChars="200"/>
        <w:jc w:val="right"/>
        <w:rPr>
          <w:rFonts w:ascii="新宋体" w:hAnsi="新宋体" w:eastAsia="新宋体"/>
          <w:b/>
          <w:bCs/>
          <w:sz w:val="32"/>
          <w:szCs w:val="32"/>
        </w:rPr>
      </w:pPr>
      <w:r>
        <w:rPr>
          <w:rFonts w:hint="eastAsia"/>
          <w:color w:val="000000"/>
        </w:rPr>
        <w:t>                         </w:t>
      </w:r>
      <w:r>
        <w:rPr>
          <w:rFonts w:hint="eastAsia"/>
          <w:color w:val="000000" w:themeColor="text1"/>
          <w14:textFill>
            <w14:solidFill>
              <w14:schemeClr w14:val="tx1"/>
            </w14:solidFill>
          </w14:textFill>
        </w:rPr>
        <w:t xml:space="preserve">  2024年</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30</w:t>
      </w:r>
      <w:r>
        <w:rPr>
          <w:rFonts w:hint="eastAsia"/>
          <w:color w:val="000000" w:themeColor="text1"/>
          <w14:textFill>
            <w14:solidFill>
              <w14:schemeClr w14:val="tx1"/>
            </w14:solidFill>
          </w14:textFill>
        </w:rPr>
        <w:t xml:space="preserve">日 </w:t>
      </w:r>
      <w:r>
        <w:rPr>
          <w:rFonts w:hint="eastAsia"/>
          <w:color w:val="000000"/>
        </w:rPr>
        <w:t xml:space="preserve"> </w:t>
      </w:r>
      <w:r>
        <w:rPr>
          <w:rFonts w:hint="eastAsia"/>
          <w:color w:val="000000"/>
          <w:sz w:val="23"/>
          <w:szCs w:val="23"/>
        </w:rPr>
        <w:t xml:space="preserve"> </w:t>
      </w:r>
    </w:p>
    <w:p w14:paraId="1DCDA073">
      <w:pPr>
        <w:pStyle w:val="16"/>
        <w:keepLines w:val="0"/>
        <w:pageBreakBefore w:val="0"/>
        <w:shd w:val="clear" w:color="auto" w:fill="FFFFFF"/>
        <w:kinsoku/>
        <w:overflowPunct/>
        <w:topLinePunct w:val="0"/>
        <w:bidi w:val="0"/>
        <w:spacing w:line="400" w:lineRule="exact"/>
        <w:jc w:val="center"/>
        <w:rPr>
          <w:rFonts w:hint="eastAsia" w:ascii="新宋体" w:hAnsi="新宋体" w:eastAsia="新宋体"/>
          <w:b/>
          <w:bCs/>
          <w:sz w:val="32"/>
          <w:szCs w:val="32"/>
          <w:lang w:eastAsia="zh-CN"/>
        </w:rPr>
      </w:pPr>
    </w:p>
    <w:p w14:paraId="15681DC3">
      <w:pPr>
        <w:pStyle w:val="16"/>
        <w:keepLines w:val="0"/>
        <w:pageBreakBefore w:val="0"/>
        <w:shd w:val="clear" w:color="auto" w:fill="FFFFFF"/>
        <w:kinsoku/>
        <w:overflowPunct/>
        <w:topLinePunct w:val="0"/>
        <w:bidi w:val="0"/>
        <w:spacing w:line="400" w:lineRule="exact"/>
        <w:jc w:val="center"/>
        <w:rPr>
          <w:rFonts w:ascii="新宋体" w:hAnsi="新宋体" w:eastAsia="新宋体"/>
          <w:color w:val="5A5A5A"/>
          <w:sz w:val="23"/>
          <w:szCs w:val="23"/>
        </w:rPr>
      </w:pPr>
      <w:r>
        <w:rPr>
          <w:rFonts w:hint="eastAsia" w:ascii="新宋体" w:hAnsi="新宋体" w:eastAsia="新宋体"/>
          <w:b/>
          <w:bCs/>
          <w:sz w:val="32"/>
          <w:szCs w:val="32"/>
          <w:lang w:eastAsia="zh-CN"/>
        </w:rPr>
        <w:t>比选内容</w:t>
      </w:r>
      <w:r>
        <w:rPr>
          <w:rFonts w:hint="eastAsia" w:ascii="新宋体" w:hAnsi="新宋体" w:eastAsia="新宋体"/>
          <w:b/>
          <w:bCs/>
          <w:sz w:val="32"/>
          <w:szCs w:val="32"/>
        </w:rPr>
        <w:t>及要求</w:t>
      </w:r>
    </w:p>
    <w:p w14:paraId="30314AA6">
      <w:pPr>
        <w:keepLines w:val="0"/>
        <w:pageBreakBefore w:val="0"/>
        <w:numPr>
          <w:ilvl w:val="0"/>
          <w:numId w:val="2"/>
        </w:numPr>
        <w:kinsoku/>
        <w:overflowPunct/>
        <w:topLinePunct w:val="0"/>
        <w:bidi w:val="0"/>
        <w:spacing w:line="400" w:lineRule="exact"/>
        <w:rPr>
          <w:rFonts w:ascii="宋体" w:hAnsi="宋体"/>
          <w:sz w:val="24"/>
        </w:rPr>
      </w:pPr>
      <w:r>
        <w:rPr>
          <w:rFonts w:hint="eastAsia"/>
          <w:b/>
          <w:bCs/>
          <w:sz w:val="24"/>
          <w:lang w:eastAsia="zh-CN"/>
        </w:rPr>
        <w:t>比选</w:t>
      </w:r>
      <w:r>
        <w:rPr>
          <w:rFonts w:hint="eastAsia"/>
          <w:b/>
          <w:bCs/>
          <w:sz w:val="24"/>
        </w:rPr>
        <w:t>内容</w:t>
      </w:r>
    </w:p>
    <w:p w14:paraId="09A0FBD2">
      <w:pPr>
        <w:keepLines w:val="0"/>
        <w:pageBreakBefore w:val="0"/>
        <w:kinsoku/>
        <w:overflowPunct/>
        <w:topLinePunct w:val="0"/>
        <w:bidi w:val="0"/>
        <w:spacing w:line="400" w:lineRule="exact"/>
        <w:rPr>
          <w:rFonts w:ascii="宋体" w:hAnsi="宋体"/>
          <w:sz w:val="24"/>
        </w:rPr>
      </w:pPr>
      <w:r>
        <w:rPr>
          <w:rFonts w:hint="eastAsia" w:ascii="宋体" w:hAnsi="宋体"/>
          <w:sz w:val="24"/>
        </w:rPr>
        <w:t>（一）招标单位：温州市第七人民医院</w:t>
      </w:r>
    </w:p>
    <w:p w14:paraId="2D4ADCB7">
      <w:pPr>
        <w:keepLines w:val="0"/>
        <w:pageBreakBefore w:val="0"/>
        <w:kinsoku/>
        <w:overflowPunct/>
        <w:topLinePunct w:val="0"/>
        <w:bidi w:val="0"/>
        <w:spacing w:line="400" w:lineRule="exact"/>
        <w:rPr>
          <w:rFonts w:hint="eastAsia"/>
          <w:color w:val="000000"/>
        </w:rPr>
      </w:pPr>
      <w:r>
        <w:rPr>
          <w:rFonts w:hint="eastAsia" w:ascii="宋体" w:hAnsi="宋体"/>
          <w:sz w:val="24"/>
        </w:rPr>
        <w:t>（二）项目名称：</w:t>
      </w:r>
      <w:r>
        <w:rPr>
          <w:rFonts w:hint="eastAsia" w:ascii="宋体" w:hAnsi="宋体"/>
          <w:sz w:val="24"/>
          <w:lang w:val="en-US" w:eastAsia="zh-CN"/>
        </w:rPr>
        <w:t>2023年财务报表审计服务采购等项目</w:t>
      </w:r>
    </w:p>
    <w:p w14:paraId="3090A02C">
      <w:pPr>
        <w:keepLines w:val="0"/>
        <w:pageBreakBefore w:val="0"/>
        <w:kinsoku/>
        <w:overflowPunct/>
        <w:topLinePunct w:val="0"/>
        <w:bidi w:val="0"/>
        <w:spacing w:line="400" w:lineRule="exact"/>
        <w:rPr>
          <w:rFonts w:hint="eastAsia" w:ascii="宋体" w:hAnsi="宋体"/>
          <w:sz w:val="24"/>
          <w:lang w:val="en-US" w:eastAsia="zh-CN"/>
        </w:rPr>
      </w:pPr>
      <w:r>
        <w:rPr>
          <w:rFonts w:hint="eastAsia" w:ascii="宋体" w:hAnsi="宋体"/>
          <w:sz w:val="24"/>
        </w:rPr>
        <w:t>（三）预算金额</w:t>
      </w:r>
      <w:r>
        <w:rPr>
          <w:rFonts w:hint="eastAsia" w:ascii="宋体" w:hAnsi="宋体"/>
          <w:sz w:val="24"/>
          <w:lang w:val="en-US" w:eastAsia="zh-CN"/>
        </w:rPr>
        <w:t>：50000元</w:t>
      </w:r>
    </w:p>
    <w:p w14:paraId="42F795EC">
      <w:pPr>
        <w:keepLines w:val="0"/>
        <w:pageBreakBefore w:val="0"/>
        <w:kinsoku/>
        <w:overflowPunct/>
        <w:topLinePunct w:val="0"/>
        <w:bidi w:val="0"/>
        <w:spacing w:line="400" w:lineRule="exact"/>
        <w:rPr>
          <w:rFonts w:hint="eastAsia" w:ascii="宋体" w:hAnsi="宋体"/>
          <w:sz w:val="24"/>
          <w:lang w:val="en-US" w:eastAsia="zh-CN"/>
        </w:rPr>
      </w:pPr>
      <w:r>
        <w:rPr>
          <w:rFonts w:hint="eastAsia" w:ascii="宋体" w:hAnsi="宋体"/>
          <w:sz w:val="24"/>
          <w:lang w:val="en-US" w:eastAsia="zh-CN"/>
        </w:rPr>
        <w:t>（四）服务期限：</w:t>
      </w:r>
      <w:r>
        <w:rPr>
          <w:rFonts w:hint="eastAsia"/>
          <w:lang w:val="en-US" w:eastAsia="zh-CN"/>
        </w:rPr>
        <w:t>合同签订起至服务结束止</w:t>
      </w:r>
    </w:p>
    <w:p w14:paraId="5EFD802F">
      <w:pPr>
        <w:keepLines w:val="0"/>
        <w:pageBreakBefore w:val="0"/>
        <w:kinsoku/>
        <w:overflowPunct/>
        <w:topLinePunct w:val="0"/>
        <w:bidi w:val="0"/>
        <w:spacing w:line="400" w:lineRule="exact"/>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二、采购要求</w:t>
      </w:r>
    </w:p>
    <w:p w14:paraId="00F9F908">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eastAsia="宋体" w:cs="Times New Roman"/>
          <w:color w:val="000000" w:themeColor="text1"/>
          <w:sz w:val="24"/>
          <w:lang w:val="en-US" w:eastAsia="zh-CN"/>
          <w14:textFill>
            <w14:solidFill>
              <w14:schemeClr w14:val="tx1"/>
            </w14:solidFill>
          </w14:textFill>
        </w:rPr>
      </w:pPr>
      <w:r>
        <w:rPr>
          <w:rFonts w:hint="eastAsia" w:ascii="宋体" w:hAnsi="宋体"/>
          <w:sz w:val="24"/>
        </w:rPr>
        <w:t>（一</w:t>
      </w:r>
      <w:r>
        <w:rPr>
          <w:rFonts w:hint="eastAsia" w:ascii="宋体" w:hAnsi="宋体" w:cs="Times New Roman"/>
          <w:sz w:val="24"/>
          <w:lang w:val="en-US" w:eastAsia="zh-CN"/>
        </w:rPr>
        <w:t>）本项目为</w:t>
      </w:r>
      <w:r>
        <w:rPr>
          <w:rFonts w:hint="eastAsia" w:ascii="宋体" w:hAnsi="宋体" w:cs="Times New Roman"/>
          <w:color w:val="000000" w:themeColor="text1"/>
          <w:sz w:val="24"/>
          <w:lang w:val="en-US" w:eastAsia="zh-CN"/>
          <w14:textFill>
            <w14:solidFill>
              <w14:schemeClr w14:val="tx1"/>
            </w14:solidFill>
          </w14:textFill>
        </w:rPr>
        <w:t>温州市第七人民医院2023年财务报表审计服务采购等项目，具体包括于2023</w:t>
      </w:r>
      <w:r>
        <w:rPr>
          <w:rFonts w:hint="eastAsia" w:ascii="宋体" w:hAnsi="宋体" w:eastAsia="宋体" w:cs="Times New Roman"/>
          <w:color w:val="000000" w:themeColor="text1"/>
          <w:sz w:val="24"/>
          <w:lang w:val="en-US" w:eastAsia="zh-CN"/>
          <w14:textFill>
            <w14:solidFill>
              <w14:schemeClr w14:val="tx1"/>
            </w14:solidFill>
          </w14:textFill>
        </w:rPr>
        <w:t>年内部控制评价、风险评估及财务报表（资产负债表</w:t>
      </w:r>
      <w:r>
        <w:rPr>
          <w:rFonts w:hint="eastAsia" w:ascii="宋体" w:hAnsi="宋体" w:cs="Times New Roman"/>
          <w:color w:val="000000" w:themeColor="text1"/>
          <w:sz w:val="24"/>
          <w:lang w:val="en-US" w:eastAsia="zh-CN"/>
          <w14:textFill>
            <w14:solidFill>
              <w14:schemeClr w14:val="tx1"/>
            </w14:solidFill>
          </w14:textFill>
        </w:rPr>
        <w:t>、</w:t>
      </w:r>
      <w:r>
        <w:rPr>
          <w:rFonts w:hint="eastAsia" w:ascii="宋体" w:hAnsi="宋体" w:cs="Times New Roman"/>
          <w:color w:val="000000" w:themeColor="text1"/>
          <w:sz w:val="24"/>
          <w:highlight w:val="none"/>
          <w:lang w:val="en-US" w:eastAsia="zh-CN"/>
          <w14:textFill>
            <w14:solidFill>
              <w14:schemeClr w14:val="tx1"/>
            </w14:solidFill>
          </w14:textFill>
        </w:rPr>
        <w:t>收入费用表、</w:t>
      </w:r>
      <w:r>
        <w:rPr>
          <w:rFonts w:hint="eastAsia" w:ascii="宋体" w:hAnsi="宋体" w:eastAsia="宋体" w:cs="Times New Roman"/>
          <w:color w:val="000000" w:themeColor="text1"/>
          <w:sz w:val="24"/>
          <w:lang w:val="en-US" w:eastAsia="zh-CN"/>
          <w14:textFill>
            <w14:solidFill>
              <w14:schemeClr w14:val="tx1"/>
            </w14:solidFill>
          </w14:textFill>
        </w:rPr>
        <w:t>现金流量表、所有者权益变动表，以及财务报表附注）审计服务，包括但不限于对温州市第七人民医院</w:t>
      </w:r>
      <w:r>
        <w:rPr>
          <w:rFonts w:hint="eastAsia" w:ascii="宋体" w:hAnsi="宋体" w:cs="Times New Roman"/>
          <w:color w:val="000000" w:themeColor="text1"/>
          <w:sz w:val="24"/>
          <w:lang w:val="en-US" w:eastAsia="zh-CN"/>
          <w14:textFill>
            <w14:solidFill>
              <w14:schemeClr w14:val="tx1"/>
            </w14:solidFill>
          </w14:textFill>
        </w:rPr>
        <w:t>2023年</w:t>
      </w:r>
      <w:r>
        <w:rPr>
          <w:rFonts w:hint="eastAsia" w:ascii="宋体" w:hAnsi="宋体" w:eastAsia="宋体" w:cs="Times New Roman"/>
          <w:color w:val="000000" w:themeColor="text1"/>
          <w:sz w:val="24"/>
          <w:lang w:val="en-US" w:eastAsia="zh-CN"/>
          <w14:textFill>
            <w14:solidFill>
              <w14:schemeClr w14:val="tx1"/>
            </w14:solidFill>
          </w14:textFill>
        </w:rPr>
        <w:t>财务报表是否在所有重大方面按照国家统一的会计制度规定编制、是否公允反映医院的财务状况、经营成果和现金流量等发表审计意见；按照《中国注册会计师审计准则》有关规定出具年度财务报表审计报告，出具</w:t>
      </w:r>
      <w:r>
        <w:rPr>
          <w:rFonts w:hint="eastAsia" w:ascii="宋体" w:hAnsi="宋体" w:cs="Times New Roman"/>
          <w:color w:val="000000" w:themeColor="text1"/>
          <w:sz w:val="24"/>
          <w:lang w:val="en-US" w:eastAsia="zh-CN"/>
          <w14:textFill>
            <w14:solidFill>
              <w14:schemeClr w14:val="tx1"/>
            </w14:solidFill>
          </w14:textFill>
        </w:rPr>
        <w:t>2023</w:t>
      </w:r>
      <w:r>
        <w:rPr>
          <w:rFonts w:hint="eastAsia" w:ascii="宋体" w:hAnsi="宋体" w:eastAsia="宋体" w:cs="Times New Roman"/>
          <w:color w:val="000000" w:themeColor="text1"/>
          <w:sz w:val="24"/>
          <w:lang w:val="en-US" w:eastAsia="zh-CN"/>
          <w14:textFill>
            <w14:solidFill>
              <w14:schemeClr w14:val="tx1"/>
            </w14:solidFill>
          </w14:textFill>
        </w:rPr>
        <w:t>年内部控制评价、风险评估相应成果报告。</w:t>
      </w:r>
    </w:p>
    <w:p w14:paraId="69096806">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（二）审计完成时间和报告内容</w:t>
      </w:r>
    </w:p>
    <w:p w14:paraId="3FC6077D">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1、按照约定时间完成各项审计工作，出具符合中国注册会计师审计准则规定和采购人要求的审计报告。</w:t>
      </w:r>
    </w:p>
    <w:p w14:paraId="051ACF5C">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2、中标单位必须于</w:t>
      </w:r>
      <w:r>
        <w:rPr>
          <w:rFonts w:hint="eastAsia" w:ascii="宋体" w:hAnsi="宋体" w:cs="Times New Roman"/>
          <w:color w:val="000000" w:themeColor="text1"/>
          <w:sz w:val="24"/>
          <w:lang w:val="en-US" w:eastAsia="zh-CN"/>
          <w14:textFill>
            <w14:solidFill>
              <w14:schemeClr w14:val="tx1"/>
            </w14:solidFill>
          </w14:textFill>
        </w:rPr>
        <w:t>2024</w:t>
      </w:r>
      <w:r>
        <w:rPr>
          <w:rFonts w:hint="eastAsia" w:ascii="宋体" w:hAnsi="宋体" w:eastAsia="宋体" w:cs="Times New Roman"/>
          <w:color w:val="000000" w:themeColor="text1"/>
          <w:sz w:val="24"/>
          <w:lang w:val="en-US" w:eastAsia="zh-CN"/>
          <w14:textFill>
            <w14:solidFill>
              <w14:schemeClr w14:val="tx1"/>
            </w14:solidFill>
          </w14:textFill>
        </w:rPr>
        <w:t>年</w:t>
      </w:r>
      <w:r>
        <w:rPr>
          <w:rFonts w:hint="eastAsia" w:ascii="宋体" w:hAnsi="宋体" w:cs="Times New Roman"/>
          <w:color w:val="000000" w:themeColor="text1"/>
          <w:sz w:val="24"/>
          <w:lang w:val="en-US" w:eastAsia="zh-CN"/>
          <w14:textFill>
            <w14:solidFill>
              <w14:schemeClr w14:val="tx1"/>
            </w14:solidFill>
          </w14:textFill>
        </w:rPr>
        <w:t>11</w:t>
      </w:r>
      <w:r>
        <w:rPr>
          <w:rFonts w:hint="eastAsia" w:ascii="宋体" w:hAnsi="宋体" w:eastAsia="宋体" w:cs="Times New Roman"/>
          <w:color w:val="000000" w:themeColor="text1"/>
          <w:sz w:val="24"/>
          <w:lang w:val="en-US" w:eastAsia="zh-CN"/>
          <w14:textFill>
            <w14:solidFill>
              <w14:schemeClr w14:val="tx1"/>
            </w14:solidFill>
          </w14:textFill>
        </w:rPr>
        <w:t>月</w:t>
      </w:r>
      <w:r>
        <w:rPr>
          <w:rFonts w:hint="eastAsia" w:ascii="宋体" w:hAnsi="宋体" w:cs="Times New Roman"/>
          <w:color w:val="000000" w:themeColor="text1"/>
          <w:sz w:val="24"/>
          <w:lang w:val="en-US" w:eastAsia="zh-CN"/>
          <w14:textFill>
            <w14:solidFill>
              <w14:schemeClr w14:val="tx1"/>
            </w14:solidFill>
          </w14:textFill>
        </w:rPr>
        <w:t>30</w:t>
      </w:r>
      <w:r>
        <w:rPr>
          <w:rFonts w:hint="eastAsia" w:ascii="宋体" w:hAnsi="宋体" w:eastAsia="宋体" w:cs="Times New Roman"/>
          <w:color w:val="000000" w:themeColor="text1"/>
          <w:sz w:val="24"/>
          <w:lang w:val="en-US" w:eastAsia="zh-CN"/>
          <w14:textFill>
            <w14:solidFill>
              <w14:schemeClr w14:val="tx1"/>
            </w14:solidFill>
          </w14:textFill>
        </w:rPr>
        <w:t>日</w:t>
      </w:r>
      <w:r>
        <w:rPr>
          <w:rFonts w:hint="eastAsia" w:ascii="宋体" w:hAnsi="宋体" w:eastAsia="宋体" w:cs="Times New Roman"/>
          <w:sz w:val="24"/>
          <w:lang w:val="en-US" w:eastAsia="zh-CN"/>
        </w:rPr>
        <w:t>前完成各项审计工作，并提交符合采购人要求的真实、准确的各项审计报告数据、统计报表、决算报表数据，</w:t>
      </w:r>
      <w:r>
        <w:rPr>
          <w:rFonts w:hint="eastAsia" w:ascii="宋体" w:hAnsi="宋体" w:eastAsia="宋体" w:cs="Times New Roman"/>
          <w:color w:val="000000" w:themeColor="text1"/>
          <w:sz w:val="24"/>
          <w:lang w:val="en-US" w:eastAsia="zh-CN"/>
          <w14:textFill>
            <w14:solidFill>
              <w14:schemeClr w14:val="tx1"/>
            </w14:solidFill>
          </w14:textFill>
        </w:rPr>
        <w:t>于</w:t>
      </w:r>
      <w:r>
        <w:rPr>
          <w:rFonts w:hint="eastAsia" w:ascii="宋体" w:hAnsi="宋体" w:cs="Times New Roman"/>
          <w:color w:val="000000" w:themeColor="text1"/>
          <w:sz w:val="24"/>
          <w:lang w:val="en-US" w:eastAsia="zh-CN"/>
          <w14:textFill>
            <w14:solidFill>
              <w14:schemeClr w14:val="tx1"/>
            </w14:solidFill>
          </w14:textFill>
        </w:rPr>
        <w:t>2024</w:t>
      </w:r>
      <w:r>
        <w:rPr>
          <w:rFonts w:hint="eastAsia" w:ascii="宋体" w:hAnsi="宋体" w:eastAsia="宋体" w:cs="Times New Roman"/>
          <w:color w:val="000000" w:themeColor="text1"/>
          <w:sz w:val="24"/>
          <w:lang w:val="en-US" w:eastAsia="zh-CN"/>
          <w14:textFill>
            <w14:solidFill>
              <w14:schemeClr w14:val="tx1"/>
            </w14:solidFill>
          </w14:textFill>
        </w:rPr>
        <w:t>年</w:t>
      </w:r>
      <w:r>
        <w:rPr>
          <w:rFonts w:hint="eastAsia" w:ascii="宋体" w:hAnsi="宋体" w:cs="Times New Roman"/>
          <w:color w:val="000000" w:themeColor="text1"/>
          <w:sz w:val="24"/>
          <w:lang w:val="en-US" w:eastAsia="zh-CN"/>
          <w14:textFill>
            <w14:solidFill>
              <w14:schemeClr w14:val="tx1"/>
            </w14:solidFill>
          </w14:textFill>
        </w:rPr>
        <w:t>12</w:t>
      </w:r>
      <w:r>
        <w:rPr>
          <w:rFonts w:hint="eastAsia" w:ascii="宋体" w:hAnsi="宋体" w:eastAsia="宋体" w:cs="Times New Roman"/>
          <w:color w:val="000000" w:themeColor="text1"/>
          <w:sz w:val="24"/>
          <w:lang w:val="en-US" w:eastAsia="zh-CN"/>
          <w14:textFill>
            <w14:solidFill>
              <w14:schemeClr w14:val="tx1"/>
            </w14:solidFill>
          </w14:textFill>
        </w:rPr>
        <w:t>月</w:t>
      </w:r>
      <w:r>
        <w:rPr>
          <w:rFonts w:hint="eastAsia" w:ascii="宋体" w:hAnsi="宋体" w:cs="Times New Roman"/>
          <w:color w:val="000000" w:themeColor="text1"/>
          <w:sz w:val="24"/>
          <w:lang w:val="en-US" w:eastAsia="zh-CN"/>
          <w14:textFill>
            <w14:solidFill>
              <w14:schemeClr w14:val="tx1"/>
            </w14:solidFill>
          </w14:textFill>
        </w:rPr>
        <w:t>6</w:t>
      </w:r>
      <w:r>
        <w:rPr>
          <w:rFonts w:hint="eastAsia" w:ascii="宋体" w:hAnsi="宋体" w:eastAsia="宋体" w:cs="Times New Roman"/>
          <w:color w:val="000000" w:themeColor="text1"/>
          <w:sz w:val="24"/>
          <w:lang w:val="en-US" w:eastAsia="zh-CN"/>
          <w14:textFill>
            <w14:solidFill>
              <w14:schemeClr w14:val="tx1"/>
            </w14:solidFill>
          </w14:textFill>
        </w:rPr>
        <w:t>日</w:t>
      </w:r>
      <w:r>
        <w:rPr>
          <w:rFonts w:hint="eastAsia" w:ascii="宋体" w:hAnsi="宋体" w:eastAsia="宋体" w:cs="Times New Roman"/>
          <w:sz w:val="24"/>
          <w:lang w:val="en-US" w:eastAsia="zh-CN"/>
        </w:rPr>
        <w:t>前提交符合法律规定和采购人规定的格式、信息完整、真实、准确相应审计报告(具体时间以采购人通知为准)。</w:t>
      </w:r>
    </w:p>
    <w:p w14:paraId="6FF38811">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Theme="majorEastAsia" w:hAnsiTheme="majorEastAsia" w:eastAsiaTheme="majorEastAsia" w:cstheme="majorEastAsia"/>
          <w:bCs/>
          <w:sz w:val="24"/>
          <w:szCs w:val="24"/>
        </w:rPr>
        <w:t>★</w:t>
      </w:r>
      <w:r>
        <w:rPr>
          <w:rFonts w:hint="eastAsia" w:ascii="宋体" w:hAnsi="宋体" w:eastAsia="宋体" w:cs="Times New Roman"/>
          <w:sz w:val="24"/>
          <w:lang w:val="en-US" w:eastAsia="zh-CN"/>
        </w:rPr>
        <w:t>（三）比选文件有效期：90日历天（自投标截止日起计算）</w:t>
      </w:r>
    </w:p>
    <w:p w14:paraId="0B296345">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（四）响应文件的签署及规定</w:t>
      </w:r>
    </w:p>
    <w:p w14:paraId="6478DAB6">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1、每套文件均须清楚的标明“正本”、“副本”。若正本和副本有差异，以正本为准。</w:t>
      </w:r>
    </w:p>
    <w:p w14:paraId="27DBE5B5">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2、遴选响应文件的正本需打印或用不褪色墨水书写，文件的副本可采用正本的复印件。</w:t>
      </w:r>
    </w:p>
    <w:p w14:paraId="54B299C5">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3、任何行间插字、涂改和增删，必须由各</w:t>
      </w:r>
      <w:r>
        <w:rPr>
          <w:rFonts w:hint="eastAsia" w:ascii="宋体" w:hAnsi="宋体" w:cs="Times New Roman"/>
          <w:sz w:val="24"/>
          <w:lang w:val="en-US" w:eastAsia="zh-CN"/>
        </w:rPr>
        <w:t>供应商</w:t>
      </w:r>
      <w:r>
        <w:rPr>
          <w:rFonts w:hint="eastAsia" w:ascii="宋体" w:hAnsi="宋体" w:eastAsia="宋体" w:cs="Times New Roman"/>
          <w:sz w:val="24"/>
          <w:lang w:val="en-US" w:eastAsia="zh-CN"/>
        </w:rPr>
        <w:t>代表在旁边签字才有效。</w:t>
      </w:r>
    </w:p>
    <w:p w14:paraId="2160805F">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4、电报、电话、传真形式的遴选响应文件概不接受。</w:t>
      </w:r>
    </w:p>
    <w:p w14:paraId="427E945B">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  （五）商务报价要求</w:t>
      </w:r>
    </w:p>
    <w:p w14:paraId="6149E4E7">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kern w:val="2"/>
          <w:sz w:val="24"/>
          <w:szCs w:val="24"/>
          <w:lang w:val="en-US" w:eastAsia="zh-CN" w:bidi="ar-SA"/>
        </w:rPr>
        <w:t>1</w:t>
      </w:r>
      <w:r>
        <w:rPr>
          <w:rFonts w:hint="eastAsia" w:ascii="宋体" w:hAnsi="宋体" w:eastAsia="宋体" w:cs="Times New Roman"/>
          <w:sz w:val="24"/>
          <w:lang w:val="en-US" w:eastAsia="zh-CN"/>
        </w:rPr>
        <w:t>.投标人商务报价超过本项目预算金额的将作为无效投标。</w:t>
      </w:r>
    </w:p>
    <w:p w14:paraId="736CAAA6">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2.供应商响应报价格式应按本文件中附件四格式填写。</w:t>
      </w:r>
    </w:p>
    <w:p w14:paraId="5FEE961E">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color w:val="auto"/>
          <w:sz w:val="24"/>
          <w:lang w:val="en-US" w:eastAsia="zh-CN"/>
        </w:rPr>
      </w:pPr>
      <w:r>
        <w:rPr>
          <w:rFonts w:hint="eastAsia" w:ascii="宋体" w:hAnsi="宋体" w:eastAsia="宋体" w:cs="Times New Roman"/>
          <w:sz w:val="24"/>
          <w:lang w:val="en-US" w:eastAsia="zh-CN"/>
        </w:rPr>
        <w:t>3.本次项目以人民币报价，评审时以人民币价格为准。供应商应在各自技术和商务占优势的</w:t>
      </w:r>
      <w:r>
        <w:rPr>
          <w:rFonts w:hint="eastAsia" w:ascii="宋体" w:hAnsi="宋体" w:eastAsia="宋体" w:cs="Times New Roman"/>
          <w:color w:val="auto"/>
          <w:sz w:val="24"/>
          <w:lang w:val="en-US" w:eastAsia="zh-CN"/>
        </w:rPr>
        <w:t>基础上并充分考虑本项目的重要性，提供对采购人最优惠的报价。</w:t>
      </w:r>
    </w:p>
    <w:p w14:paraId="007F082A">
      <w:pPr>
        <w:keepNext w:val="0"/>
        <w:keepLines w:val="0"/>
        <w:pageBreakBefore w:val="0"/>
        <w:widowControl/>
        <w:suppressLineNumbers w:val="0"/>
        <w:kinsoku/>
        <w:overflowPunct/>
        <w:topLinePunct w:val="0"/>
        <w:bidi w:val="0"/>
        <w:spacing w:line="400" w:lineRule="exact"/>
        <w:jc w:val="left"/>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4.投标报价应包含以下费用：（1）人员成本费用；（2）机具、材料费用；（3）企业管理费用及其他费用；（4）利润；（5）税金、风险等其他一切费用。</w:t>
      </w:r>
    </w:p>
    <w:p w14:paraId="47A65CAD">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投标报价为完成本项目其他一切费用，投标供应商不得再要求追加任何费用。</w:t>
      </w:r>
    </w:p>
    <w:p w14:paraId="2B4DCAAA">
      <w:pPr>
        <w:keepNext w:val="0"/>
        <w:keepLines w:val="0"/>
        <w:pageBreakBefore w:val="0"/>
        <w:widowControl/>
        <w:suppressLineNumbers w:val="0"/>
        <w:kinsoku/>
        <w:overflowPunct/>
        <w:topLinePunct w:val="0"/>
        <w:bidi w:val="0"/>
        <w:spacing w:line="400" w:lineRule="exact"/>
        <w:jc w:val="left"/>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▲供应商在投标报价中应充分考虑所有可能发生的费用，否则采购人将视投标总价中已包括所有费用。</w:t>
      </w:r>
    </w:p>
    <w:p w14:paraId="650E0C15">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cs="Times New Roman"/>
          <w:sz w:val="24"/>
          <w:lang w:val="en-US" w:eastAsia="zh-CN"/>
        </w:rPr>
      </w:pPr>
      <w:r>
        <w:rPr>
          <w:rFonts w:hint="eastAsia" w:ascii="宋体" w:hAnsi="宋体" w:cs="Times New Roman"/>
          <w:sz w:val="24"/>
          <w:lang w:val="en-US" w:eastAsia="zh-CN"/>
        </w:rPr>
        <w:t>（六）其他要求</w:t>
      </w:r>
    </w:p>
    <w:p w14:paraId="5D43AE32">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1.供应商必须根据自己的技术和商务优势对此项目的全部内容进行投标，不得只投其中一部分内容，只对部分内容进行报价的供应商将按无效投标处理。</w:t>
      </w:r>
    </w:p>
    <w:p w14:paraId="7AE81A60">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供应商法定代表人或负责人或实际控制人是同一人，法定代表人或负责人或实际控制人是夫妻关系，法定代表人或负责人或实际控制人是直系血亲关系，法定代表人或负责人或实际控制人存在三代以内旁系血亲关系，法定代表人或负责人或实际控制人存在近姻亲关系，单位负责人为同一人或者存在直接控股、管理关系的不同供应商不得同时参加本次政府采购活动，否则所有关联供应商均按无效供应商处理。</w:t>
      </w:r>
    </w:p>
    <w:p w14:paraId="7320421A">
      <w:pPr>
        <w:keepNext w:val="0"/>
        <w:keepLines w:val="0"/>
        <w:pageBreakBefore w:val="0"/>
        <w:widowControl/>
        <w:suppressLineNumbers w:val="0"/>
        <w:kinsoku/>
        <w:overflowPunct/>
        <w:topLinePunct w:val="0"/>
        <w:bidi w:val="0"/>
        <w:spacing w:line="400" w:lineRule="exact"/>
        <w:ind w:firstLine="240" w:firstLineChars="1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（七）授予合同</w:t>
      </w:r>
    </w:p>
    <w:p w14:paraId="76404C33">
      <w:pPr>
        <w:keepNext w:val="0"/>
        <w:keepLines w:val="0"/>
        <w:pageBreakBefore w:val="0"/>
        <w:widowControl/>
        <w:suppressLineNumbers w:val="0"/>
        <w:kinsoku/>
        <w:overflowPunct/>
        <w:topLinePunct w:val="0"/>
        <w:bidi w:val="0"/>
        <w:spacing w:line="400" w:lineRule="exact"/>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1.评标结果：评审小组根据评分标准，评出中标的</w:t>
      </w:r>
      <w:r>
        <w:rPr>
          <w:rFonts w:hint="eastAsia" w:ascii="宋体" w:hAnsi="宋体" w:cs="Times New Roman"/>
          <w:sz w:val="24"/>
          <w:lang w:val="en-US" w:eastAsia="zh-CN"/>
        </w:rPr>
        <w:t>供应商</w:t>
      </w:r>
      <w:bookmarkStart w:id="6" w:name="_GoBack"/>
      <w:bookmarkEnd w:id="6"/>
      <w:r>
        <w:rPr>
          <w:rFonts w:hint="eastAsia" w:ascii="宋体" w:hAnsi="宋体" w:eastAsia="宋体" w:cs="Times New Roman"/>
          <w:sz w:val="24"/>
          <w:lang w:val="en-US" w:eastAsia="zh-CN"/>
        </w:rPr>
        <w:t>。</w:t>
      </w:r>
    </w:p>
    <w:p w14:paraId="67A6E668">
      <w:pPr>
        <w:keepNext w:val="0"/>
        <w:keepLines w:val="0"/>
        <w:pageBreakBefore w:val="0"/>
        <w:widowControl/>
        <w:suppressLineNumbers w:val="0"/>
        <w:kinsoku/>
        <w:overflowPunct/>
        <w:topLinePunct w:val="0"/>
        <w:bidi w:val="0"/>
        <w:spacing w:line="400" w:lineRule="exact"/>
        <w:jc w:val="left"/>
        <w:rPr>
          <w:rFonts w:hint="eastAsia"/>
          <w:lang w:val="en-US" w:eastAsia="zh-CN"/>
        </w:rPr>
      </w:pPr>
      <w:r>
        <w:rPr>
          <w:rFonts w:hint="eastAsia" w:ascii="宋体" w:hAnsi="宋体" w:eastAsia="宋体" w:cs="Times New Roman"/>
          <w:sz w:val="24"/>
          <w:lang w:val="en-US" w:eastAsia="zh-CN"/>
        </w:rPr>
        <w:t>2.中标通知和合同授予：医院将以书面形式发出《中标通知书》。《中标通知书》将作为签订合同的依据。</w:t>
      </w:r>
    </w:p>
    <w:p w14:paraId="2519DC25">
      <w:pPr>
        <w:keepLines w:val="0"/>
        <w:pageBreakBefore w:val="0"/>
        <w:kinsoku/>
        <w:overflowPunct/>
        <w:topLinePunct w:val="0"/>
        <w:bidi w:val="0"/>
        <w:spacing w:line="400" w:lineRule="exact"/>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三、投标文件组成</w:t>
      </w:r>
    </w:p>
    <w:p w14:paraId="2BF97337">
      <w:pPr>
        <w:keepLines w:val="0"/>
        <w:pageBreakBefore w:val="0"/>
        <w:kinsoku/>
        <w:overflowPunct/>
        <w:topLinePunct w:val="0"/>
        <w:bidi w:val="0"/>
        <w:spacing w:line="400" w:lineRule="exact"/>
        <w:ind w:firstLine="480" w:firstLineChars="200"/>
        <w:rPr>
          <w:rStyle w:val="20"/>
          <w:rFonts w:asciiTheme="majorEastAsia" w:hAnsiTheme="majorEastAsia" w:eastAsiaTheme="majorEastAsia" w:cstheme="majorEastAsia"/>
          <w:b w:val="0"/>
          <w:bCs w:val="0"/>
          <w:color w:val="000000" w:themeColor="text1"/>
          <w:sz w:val="24"/>
          <w:shd w:val="clear" w:color="auto" w:fill="FFFFFF"/>
          <w14:textFill>
            <w14:solidFill>
              <w14:schemeClr w14:val="tx1"/>
            </w14:solidFill>
          </w14:textFill>
        </w:rPr>
      </w:pPr>
      <w:r>
        <w:rPr>
          <w:rStyle w:val="20"/>
          <w:rFonts w:hint="eastAsia" w:asciiTheme="majorEastAsia" w:hAnsiTheme="majorEastAsia" w:eastAsiaTheme="majorEastAsia" w:cstheme="majorEastAsia"/>
          <w:b w:val="0"/>
          <w:bCs w:val="0"/>
          <w:color w:val="333333"/>
          <w:sz w:val="24"/>
          <w:shd w:val="clear" w:color="auto" w:fill="FFFFFF"/>
        </w:rPr>
        <w:t>（1）技</w:t>
      </w:r>
      <w:r>
        <w:rPr>
          <w:rStyle w:val="20"/>
          <w:rFonts w:hint="eastAsia" w:asciiTheme="majorEastAsia" w:hAnsiTheme="majorEastAsia" w:eastAsiaTheme="majorEastAsia" w:cstheme="majorEastAsia"/>
          <w:b w:val="0"/>
          <w:bCs w:val="0"/>
          <w:color w:val="000000" w:themeColor="text1"/>
          <w:sz w:val="24"/>
          <w:shd w:val="clear" w:color="auto" w:fill="FFFFFF"/>
          <w14:textFill>
            <w14:solidFill>
              <w14:schemeClr w14:val="tx1"/>
            </w14:solidFill>
          </w14:textFill>
        </w:rPr>
        <w:t>术</w:t>
      </w:r>
      <w:r>
        <w:rPr>
          <w:rStyle w:val="20"/>
          <w:rFonts w:hint="eastAsia" w:asciiTheme="majorEastAsia" w:hAnsiTheme="majorEastAsia" w:eastAsiaTheme="majorEastAsia" w:cstheme="majorEastAsia"/>
          <w:b w:val="0"/>
          <w:bCs w:val="0"/>
          <w:color w:val="000000" w:themeColor="text1"/>
          <w:sz w:val="24"/>
          <w:shd w:val="clear" w:color="auto" w:fill="FFFFFF"/>
          <w:lang w:eastAsia="zh-CN"/>
          <w14:textFill>
            <w14:solidFill>
              <w14:schemeClr w14:val="tx1"/>
            </w14:solidFill>
          </w14:textFill>
        </w:rPr>
        <w:t>资信</w:t>
      </w:r>
      <w:r>
        <w:rPr>
          <w:rStyle w:val="20"/>
          <w:rFonts w:hint="eastAsia" w:asciiTheme="majorEastAsia" w:hAnsiTheme="majorEastAsia" w:eastAsiaTheme="majorEastAsia" w:cstheme="majorEastAsia"/>
          <w:b w:val="0"/>
          <w:bCs w:val="0"/>
          <w:color w:val="000000" w:themeColor="text1"/>
          <w:sz w:val="24"/>
          <w:shd w:val="clear" w:color="auto" w:fill="FFFFFF"/>
          <w14:textFill>
            <w14:solidFill>
              <w14:schemeClr w14:val="tx1"/>
            </w14:solidFill>
          </w14:textFill>
        </w:rPr>
        <w:t>标</w:t>
      </w:r>
    </w:p>
    <w:tbl>
      <w:tblPr>
        <w:tblStyle w:val="17"/>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71E2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14:paraId="79123D05">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序号</w:t>
            </w:r>
          </w:p>
        </w:tc>
        <w:tc>
          <w:tcPr>
            <w:tcW w:w="7193" w:type="dxa"/>
            <w:vAlign w:val="center"/>
          </w:tcPr>
          <w:p w14:paraId="762621AA">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内容</w:t>
            </w:r>
          </w:p>
        </w:tc>
        <w:tc>
          <w:tcPr>
            <w:tcW w:w="1717" w:type="dxa"/>
            <w:vAlign w:val="center"/>
          </w:tcPr>
          <w:p w14:paraId="1A062517">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备注</w:t>
            </w:r>
          </w:p>
        </w:tc>
      </w:tr>
      <w:tr w14:paraId="29AEA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27E9A47">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1</w:t>
            </w:r>
          </w:p>
        </w:tc>
        <w:tc>
          <w:tcPr>
            <w:tcW w:w="7193" w:type="dxa"/>
            <w:vAlign w:val="center"/>
          </w:tcPr>
          <w:p w14:paraId="4A31C125">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投标函</w:t>
            </w:r>
          </w:p>
        </w:tc>
        <w:tc>
          <w:tcPr>
            <w:tcW w:w="1717" w:type="dxa"/>
            <w:vAlign w:val="center"/>
          </w:tcPr>
          <w:p w14:paraId="411BFDB7">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附件一</w:t>
            </w:r>
          </w:p>
        </w:tc>
      </w:tr>
      <w:tr w14:paraId="7E2B2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708DDB5C">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2</w:t>
            </w:r>
          </w:p>
        </w:tc>
        <w:tc>
          <w:tcPr>
            <w:tcW w:w="7193" w:type="dxa"/>
            <w:vAlign w:val="center"/>
          </w:tcPr>
          <w:p w14:paraId="157F2AA9">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资格证明文件</w:t>
            </w:r>
          </w:p>
        </w:tc>
        <w:tc>
          <w:tcPr>
            <w:tcW w:w="1717" w:type="dxa"/>
            <w:vAlign w:val="center"/>
          </w:tcPr>
          <w:p w14:paraId="7DBD2225">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r w14:paraId="1016F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6DC1938">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2.1</w:t>
            </w:r>
          </w:p>
        </w:tc>
        <w:tc>
          <w:tcPr>
            <w:tcW w:w="7193" w:type="dxa"/>
            <w:vAlign w:val="center"/>
          </w:tcPr>
          <w:p w14:paraId="2FDD63F5">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color w:val="000000" w:themeColor="text1"/>
                <w:sz w:val="24"/>
                <w:lang w:val="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法定代表人授权书</w:t>
            </w:r>
          </w:p>
        </w:tc>
        <w:tc>
          <w:tcPr>
            <w:tcW w:w="1717" w:type="dxa"/>
            <w:vAlign w:val="center"/>
          </w:tcPr>
          <w:p w14:paraId="785F63EF">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附件二</w:t>
            </w:r>
          </w:p>
        </w:tc>
      </w:tr>
      <w:tr w14:paraId="69FE5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257C12A">
            <w:pPr>
              <w:keepLines w:val="0"/>
              <w:pageBreakBefore w:val="0"/>
              <w:kinsoku/>
              <w:overflowPunct/>
              <w:topLinePunct w:val="0"/>
              <w:bidi w:val="0"/>
              <w:adjustRightInd w:val="0"/>
              <w:snapToGrid w:val="0"/>
              <w:spacing w:line="400" w:lineRule="exact"/>
              <w:jc w:val="center"/>
              <w:rPr>
                <w:rFonts w:hint="eastAsia" w:asciiTheme="majorEastAsia" w:hAnsiTheme="majorEastAsia" w:eastAsiaTheme="majorEastAsia" w:cstheme="majorEastAsia"/>
                <w:bCs/>
                <w:color w:val="000000" w:themeColor="text1"/>
                <w:sz w:val="24"/>
                <w:lang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2.</w:t>
            </w:r>
            <w:r>
              <w:rPr>
                <w:rFonts w:hint="eastAsia" w:asciiTheme="majorEastAsia" w:hAnsiTheme="majorEastAsia" w:eastAsiaTheme="majorEastAsia" w:cstheme="majorEastAsia"/>
                <w:bCs/>
                <w:color w:val="000000" w:themeColor="text1"/>
                <w:sz w:val="24"/>
                <w:lang w:val="en-US" w:eastAsia="zh-CN"/>
                <w14:textFill>
                  <w14:solidFill>
                    <w14:schemeClr w14:val="tx1"/>
                  </w14:solidFill>
                </w14:textFill>
              </w:rPr>
              <w:t>2</w:t>
            </w:r>
          </w:p>
        </w:tc>
        <w:tc>
          <w:tcPr>
            <w:tcW w:w="7193" w:type="dxa"/>
            <w:vAlign w:val="center"/>
          </w:tcPr>
          <w:p w14:paraId="03347284">
            <w:pPr>
              <w:keepLines w:val="0"/>
              <w:pageBreakBefore w:val="0"/>
              <w:kinsoku/>
              <w:overflowPunct/>
              <w:topLinePunct w:val="0"/>
              <w:bidi w:val="0"/>
              <w:adjustRightInd w:val="0"/>
              <w:snapToGrid w:val="0"/>
              <w:spacing w:line="400" w:lineRule="exact"/>
              <w:rPr>
                <w:rFonts w:hint="eastAsia" w:asciiTheme="majorEastAsia" w:hAnsiTheme="majorEastAsia" w:eastAsiaTheme="majorEastAsia" w:cstheme="majorEastAsia"/>
                <w:bCs/>
                <w:color w:val="000000" w:themeColor="text1"/>
                <w:sz w:val="24"/>
                <w:lang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lang w:eastAsia="zh-CN"/>
                <w14:textFill>
                  <w14:solidFill>
                    <w14:schemeClr w14:val="tx1"/>
                  </w14:solidFill>
                </w14:textFill>
              </w:rPr>
              <w:t>本项目须为经工商注册（登记为企业法人、合伙企业等）的有法定资格的会计师事务所，投标人须提供具有财政部门审批发放的《会计师事务所执业证书》以及其他供应商认为有必要的资质证明文件。</w:t>
            </w:r>
          </w:p>
        </w:tc>
        <w:tc>
          <w:tcPr>
            <w:tcW w:w="1717" w:type="dxa"/>
            <w:vAlign w:val="center"/>
          </w:tcPr>
          <w:p w14:paraId="48FD7AC3">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r w14:paraId="25D33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7228674">
            <w:pPr>
              <w:keepLines w:val="0"/>
              <w:pageBreakBefore w:val="0"/>
              <w:kinsoku/>
              <w:overflowPunct/>
              <w:topLinePunct w:val="0"/>
              <w:bidi w:val="0"/>
              <w:adjustRightInd w:val="0"/>
              <w:snapToGrid w:val="0"/>
              <w:spacing w:line="400" w:lineRule="exact"/>
              <w:jc w:val="center"/>
              <w:rPr>
                <w:rFonts w:hint="eastAsia" w:asciiTheme="majorEastAsia" w:hAnsiTheme="majorEastAsia" w:eastAsiaTheme="majorEastAsia" w:cstheme="majorEastAsia"/>
                <w:bCs/>
                <w:color w:val="000000" w:themeColor="text1"/>
                <w:sz w:val="24"/>
                <w:lang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2.</w:t>
            </w:r>
            <w:r>
              <w:rPr>
                <w:rFonts w:hint="eastAsia" w:asciiTheme="majorEastAsia" w:hAnsiTheme="majorEastAsia" w:eastAsiaTheme="majorEastAsia" w:cstheme="majorEastAsia"/>
                <w:bCs/>
                <w:color w:val="000000" w:themeColor="text1"/>
                <w:sz w:val="24"/>
                <w:lang w:val="en-US" w:eastAsia="zh-CN"/>
                <w14:textFill>
                  <w14:solidFill>
                    <w14:schemeClr w14:val="tx1"/>
                  </w14:solidFill>
                </w14:textFill>
              </w:rPr>
              <w:t>3</w:t>
            </w:r>
          </w:p>
        </w:tc>
        <w:tc>
          <w:tcPr>
            <w:tcW w:w="7193" w:type="dxa"/>
            <w:vAlign w:val="center"/>
          </w:tcPr>
          <w:p w14:paraId="17187741">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vAlign w:val="center"/>
          </w:tcPr>
          <w:p w14:paraId="61EA1186">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r w14:paraId="3F51D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A327F28">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3</w:t>
            </w:r>
          </w:p>
        </w:tc>
        <w:tc>
          <w:tcPr>
            <w:tcW w:w="7193" w:type="dxa"/>
            <w:vAlign w:val="center"/>
          </w:tcPr>
          <w:p w14:paraId="730094AB">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采购要求响应表</w:t>
            </w:r>
          </w:p>
        </w:tc>
        <w:tc>
          <w:tcPr>
            <w:tcW w:w="1717" w:type="dxa"/>
            <w:vAlign w:val="center"/>
          </w:tcPr>
          <w:p w14:paraId="1DFB3066">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附件三</w:t>
            </w:r>
          </w:p>
        </w:tc>
      </w:tr>
      <w:tr w14:paraId="1D999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918" w:type="dxa"/>
            <w:vAlign w:val="center"/>
          </w:tcPr>
          <w:p w14:paraId="1F2DED1A">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5</w:t>
            </w:r>
          </w:p>
        </w:tc>
        <w:tc>
          <w:tcPr>
            <w:tcW w:w="7193" w:type="dxa"/>
            <w:vAlign w:val="center"/>
          </w:tcPr>
          <w:p w14:paraId="5077932E">
            <w:pPr>
              <w:keepLines w:val="0"/>
              <w:pageBreakBefore w:val="0"/>
              <w:kinsoku/>
              <w:overflowPunct/>
              <w:topLinePunct w:val="0"/>
              <w:bidi w:val="0"/>
              <w:adjustRightInd w:val="0"/>
              <w:snapToGrid w:val="0"/>
              <w:spacing w:line="400" w:lineRule="exact"/>
              <w:jc w:val="left"/>
              <w:rPr>
                <w:rFonts w:hint="eastAsia" w:asciiTheme="majorEastAsia" w:hAnsiTheme="majorEastAsia" w:eastAsiaTheme="majorEastAsia" w:cstheme="majorEastAsia"/>
                <w:bCs/>
                <w:color w:val="000000" w:themeColor="text1"/>
                <w:sz w:val="24"/>
                <w:lang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14:textFill>
                  <w14:solidFill>
                    <w14:schemeClr w14:val="tx1"/>
                  </w14:solidFill>
                </w14:textFill>
              </w:rPr>
              <w:t>技术标</w:t>
            </w:r>
            <w:r>
              <w:rPr>
                <w:rFonts w:hint="eastAsia" w:asciiTheme="majorEastAsia" w:hAnsiTheme="majorEastAsia" w:eastAsiaTheme="majorEastAsia" w:cstheme="majorEastAsia"/>
                <w:bCs/>
                <w:color w:val="000000" w:themeColor="text1"/>
                <w:sz w:val="24"/>
                <w:lang w:eastAsia="zh-CN"/>
                <w14:textFill>
                  <w14:solidFill>
                    <w14:schemeClr w14:val="tx1"/>
                  </w14:solidFill>
                </w14:textFill>
              </w:rPr>
              <w:t>评分细则要求的各项内容</w:t>
            </w:r>
          </w:p>
        </w:tc>
        <w:tc>
          <w:tcPr>
            <w:tcW w:w="1717" w:type="dxa"/>
            <w:vAlign w:val="center"/>
          </w:tcPr>
          <w:p w14:paraId="53612E8B">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color w:val="000000" w:themeColor="text1"/>
                <w:sz w:val="24"/>
                <w14:textFill>
                  <w14:solidFill>
                    <w14:schemeClr w14:val="tx1"/>
                  </w14:solidFill>
                </w14:textFill>
              </w:rPr>
            </w:pPr>
          </w:p>
        </w:tc>
      </w:tr>
    </w:tbl>
    <w:p w14:paraId="016B8626">
      <w:pPr>
        <w:keepLines w:val="0"/>
        <w:pageBreakBefore w:val="0"/>
        <w:kinsoku/>
        <w:overflowPunct/>
        <w:topLinePunct w:val="0"/>
        <w:bidi w:val="0"/>
        <w:adjustRightInd w:val="0"/>
        <w:snapToGrid w:val="0"/>
        <w:spacing w:line="400" w:lineRule="exact"/>
        <w:rPr>
          <w:rStyle w:val="20"/>
          <w:rFonts w:asciiTheme="majorEastAsia" w:hAnsiTheme="majorEastAsia" w:eastAsiaTheme="majorEastAsia" w:cstheme="majorEastAsia"/>
          <w:b w:val="0"/>
          <w:bCs w:val="0"/>
          <w:color w:val="333333"/>
          <w:sz w:val="24"/>
          <w:shd w:val="clear" w:color="auto" w:fill="FFFFFF"/>
        </w:rPr>
      </w:pPr>
    </w:p>
    <w:p w14:paraId="635F2A23">
      <w:pPr>
        <w:keepLines w:val="0"/>
        <w:pageBreakBefore w:val="0"/>
        <w:kinsoku/>
        <w:overflowPunct/>
        <w:topLinePunct w:val="0"/>
        <w:bidi w:val="0"/>
        <w:adjustRightInd w:val="0"/>
        <w:snapToGrid w:val="0"/>
        <w:spacing w:line="400" w:lineRule="exact"/>
        <w:rPr>
          <w:rStyle w:val="20"/>
          <w:rFonts w:asciiTheme="majorEastAsia" w:hAnsiTheme="majorEastAsia" w:eastAsiaTheme="majorEastAsia" w:cstheme="majorEastAsia"/>
          <w:b w:val="0"/>
          <w:bCs w:val="0"/>
          <w:color w:val="333333"/>
          <w:sz w:val="24"/>
          <w:shd w:val="clear" w:color="auto" w:fill="FFFFFF"/>
        </w:rPr>
      </w:pPr>
      <w:r>
        <w:rPr>
          <w:rStyle w:val="20"/>
          <w:rFonts w:hint="eastAsia" w:asciiTheme="majorEastAsia" w:hAnsiTheme="majorEastAsia" w:eastAsiaTheme="majorEastAsia" w:cstheme="majorEastAsia"/>
          <w:b w:val="0"/>
          <w:bCs w:val="0"/>
          <w:color w:val="333333"/>
          <w:sz w:val="24"/>
          <w:shd w:val="clear" w:color="auto" w:fill="FFFFFF"/>
        </w:rPr>
        <w:t>（2）商务标</w:t>
      </w:r>
    </w:p>
    <w:tbl>
      <w:tblPr>
        <w:tblStyle w:val="17"/>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1A6CF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21F4927E">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序号</w:t>
            </w:r>
          </w:p>
        </w:tc>
        <w:tc>
          <w:tcPr>
            <w:tcW w:w="7194" w:type="dxa"/>
            <w:vAlign w:val="center"/>
          </w:tcPr>
          <w:p w14:paraId="1ED6060A">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内容</w:t>
            </w:r>
          </w:p>
        </w:tc>
        <w:tc>
          <w:tcPr>
            <w:tcW w:w="1729" w:type="dxa"/>
            <w:vAlign w:val="center"/>
          </w:tcPr>
          <w:p w14:paraId="1C28069B">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备注</w:t>
            </w:r>
          </w:p>
        </w:tc>
      </w:tr>
      <w:tr w14:paraId="574E2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5F316D78">
            <w:pPr>
              <w:keepLines w:val="0"/>
              <w:pageBreakBefore w:val="0"/>
              <w:kinsoku/>
              <w:overflowPunct/>
              <w:topLinePunct w:val="0"/>
              <w:bidi w:val="0"/>
              <w:adjustRightInd w:val="0"/>
              <w:snapToGrid w:val="0"/>
              <w:spacing w:line="40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1</w:t>
            </w:r>
          </w:p>
        </w:tc>
        <w:tc>
          <w:tcPr>
            <w:tcW w:w="7194" w:type="dxa"/>
            <w:vAlign w:val="center"/>
          </w:tcPr>
          <w:p w14:paraId="1995514E">
            <w:pPr>
              <w:keepLines w:val="0"/>
              <w:pageBreakBefore w:val="0"/>
              <w:kinsoku/>
              <w:overflowPunct/>
              <w:topLinePunct w:val="0"/>
              <w:bidi w:val="0"/>
              <w:adjustRightInd w:val="0"/>
              <w:snapToGrid w:val="0"/>
              <w:spacing w:line="400" w:lineRule="exact"/>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投标报价一览表</w:t>
            </w:r>
          </w:p>
        </w:tc>
        <w:tc>
          <w:tcPr>
            <w:tcW w:w="1729" w:type="dxa"/>
            <w:vAlign w:val="center"/>
          </w:tcPr>
          <w:p w14:paraId="71BF130E">
            <w:pPr>
              <w:keepLines w:val="0"/>
              <w:pageBreakBefore w:val="0"/>
              <w:kinsoku/>
              <w:overflowPunct/>
              <w:topLinePunct w:val="0"/>
              <w:bidi w:val="0"/>
              <w:adjustRightInd w:val="0"/>
              <w:snapToGrid w:val="0"/>
              <w:spacing w:line="400" w:lineRule="exact"/>
              <w:jc w:val="center"/>
              <w:rPr>
                <w:rFonts w:hint="eastAsia" w:asciiTheme="majorEastAsia" w:hAnsiTheme="majorEastAsia" w:eastAsiaTheme="majorEastAsia" w:cstheme="majorEastAsia"/>
                <w:bCs/>
                <w:sz w:val="24"/>
                <w:lang w:eastAsia="zh-CN"/>
              </w:rPr>
            </w:pPr>
            <w:r>
              <w:rPr>
                <w:rFonts w:hint="eastAsia" w:asciiTheme="majorEastAsia" w:hAnsiTheme="majorEastAsia" w:eastAsiaTheme="majorEastAsia" w:cstheme="majorEastAsia"/>
                <w:bCs/>
                <w:sz w:val="24"/>
              </w:rPr>
              <w:t>附件</w:t>
            </w:r>
            <w:r>
              <w:rPr>
                <w:rFonts w:hint="eastAsia" w:asciiTheme="majorEastAsia" w:hAnsiTheme="majorEastAsia" w:eastAsiaTheme="majorEastAsia" w:cstheme="majorEastAsia"/>
                <w:bCs/>
                <w:sz w:val="24"/>
                <w:lang w:eastAsia="zh-CN"/>
              </w:rPr>
              <w:t>四</w:t>
            </w:r>
          </w:p>
        </w:tc>
      </w:tr>
    </w:tbl>
    <w:p w14:paraId="5BECF6BD">
      <w:pPr>
        <w:keepLines w:val="0"/>
        <w:pageBreakBefore w:val="0"/>
        <w:kinsoku/>
        <w:overflowPunct/>
        <w:topLinePunct w:val="0"/>
        <w:bidi w:val="0"/>
        <w:spacing w:line="400" w:lineRule="exact"/>
        <w:ind w:firstLine="720" w:firstLineChars="300"/>
        <w:rPr>
          <w:rFonts w:ascii="宋体" w:hAnsi="宋体" w:cs="宋体"/>
          <w:sz w:val="24"/>
        </w:rPr>
      </w:pPr>
    </w:p>
    <w:p w14:paraId="3151265E">
      <w:pPr>
        <w:keepLines w:val="0"/>
        <w:pageBreakBefore w:val="0"/>
        <w:kinsoku/>
        <w:overflowPunct/>
        <w:topLinePunct w:val="0"/>
        <w:bidi w:val="0"/>
        <w:spacing w:line="400" w:lineRule="exact"/>
        <w:ind w:firstLine="720" w:firstLineChars="3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投标人应根据比选文件所提供的格式，内容按顺序装订成册，</w:t>
      </w:r>
      <w:r>
        <w:rPr>
          <w:rFonts w:hint="eastAsia" w:asciiTheme="majorEastAsia" w:hAnsiTheme="majorEastAsia" w:eastAsiaTheme="majorEastAsia" w:cstheme="majorEastAsia"/>
          <w:b/>
          <w:bCs/>
          <w:sz w:val="24"/>
        </w:rPr>
        <w:t>分别装于技术标和商务标内（密封包装）。投标人应提供技术标、商务标各一式四份的投标文件。</w:t>
      </w:r>
      <w:r>
        <w:rPr>
          <w:rFonts w:hint="eastAsia" w:asciiTheme="majorEastAsia" w:hAnsiTheme="majorEastAsia" w:eastAsiaTheme="majorEastAsia" w:cstheme="majorEastAsia"/>
          <w:sz w:val="24"/>
        </w:rPr>
        <w:t>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3A7CCB84">
      <w:pPr>
        <w:keepLines w:val="0"/>
        <w:pageBreakBefore w:val="0"/>
        <w:kinsoku/>
        <w:overflowPunct/>
        <w:topLinePunct w:val="0"/>
        <w:bidi w:val="0"/>
        <w:spacing w:line="400" w:lineRule="exact"/>
        <w:rPr>
          <w:rFonts w:ascii="新宋体" w:hAnsi="新宋体" w:eastAsia="新宋体" w:cs="宋体"/>
          <w:b/>
          <w:bCs/>
          <w:kern w:val="0"/>
          <w:sz w:val="32"/>
          <w:szCs w:val="32"/>
        </w:rPr>
      </w:pPr>
      <w:r>
        <w:rPr>
          <w:rFonts w:hint="eastAsia" w:ascii="新宋体" w:hAnsi="新宋体" w:eastAsia="新宋体" w:cs="宋体"/>
          <w:b/>
          <w:bCs/>
          <w:kern w:val="0"/>
          <w:sz w:val="32"/>
          <w:szCs w:val="32"/>
        </w:rPr>
        <w:br w:type="page"/>
      </w:r>
    </w:p>
    <w:p w14:paraId="14363313">
      <w:pPr>
        <w:keepLines w:val="0"/>
        <w:pageBreakBefore w:val="0"/>
        <w:kinsoku/>
        <w:overflowPunct/>
        <w:topLinePunct w:val="0"/>
        <w:bidi w:val="0"/>
        <w:spacing w:line="400" w:lineRule="exact"/>
        <w:jc w:val="center"/>
        <w:rPr>
          <w:rFonts w:ascii="新宋体" w:hAnsi="新宋体" w:eastAsia="新宋体" w:cs="宋体"/>
          <w:b/>
          <w:bCs/>
          <w:kern w:val="0"/>
          <w:sz w:val="32"/>
          <w:szCs w:val="32"/>
        </w:rPr>
      </w:pPr>
      <w:r>
        <w:rPr>
          <w:rFonts w:hint="eastAsia" w:ascii="新宋体" w:hAnsi="新宋体" w:eastAsia="新宋体" w:cs="宋体"/>
          <w:b/>
          <w:bCs/>
          <w:kern w:val="0"/>
          <w:sz w:val="32"/>
          <w:szCs w:val="32"/>
        </w:rPr>
        <w:t>评审原则及方法</w:t>
      </w:r>
    </w:p>
    <w:p w14:paraId="511DD322">
      <w:pPr>
        <w:pStyle w:val="16"/>
        <w:keepLines w:val="0"/>
        <w:pageBreakBefore w:val="0"/>
        <w:shd w:val="clear" w:color="auto" w:fill="FFFFFF"/>
        <w:kinsoku/>
        <w:overflowPunct/>
        <w:topLinePunct w:val="0"/>
        <w:bidi w:val="0"/>
        <w:spacing w:line="400" w:lineRule="exact"/>
        <w:ind w:firstLine="556"/>
        <w:rPr>
          <w:rFonts w:asciiTheme="majorEastAsia" w:hAnsiTheme="majorEastAsia" w:eastAsiaTheme="majorEastAsia" w:cstheme="majorEastAsia"/>
          <w:b/>
          <w:bCs/>
          <w:kern w:val="2"/>
        </w:rPr>
      </w:pPr>
      <w:r>
        <w:rPr>
          <w:rFonts w:hint="eastAsia" w:asciiTheme="majorEastAsia" w:hAnsiTheme="majorEastAsia" w:eastAsiaTheme="majorEastAsia" w:cstheme="majorEastAsia"/>
          <w:b/>
        </w:rPr>
        <w:t>参考《中华人民共和国政府采购法》、《政府采购货物和服务招标投标管理办法》、《中华人民共和国政府采购法实施条例》和《关于进一步规范政府采购活动的若干意见》等相关法规特制定以下评标办法。</w:t>
      </w:r>
    </w:p>
    <w:p w14:paraId="7A404233">
      <w:pPr>
        <w:keepLines w:val="0"/>
        <w:pageBreakBefore w:val="0"/>
        <w:kinsoku/>
        <w:overflowPunct/>
        <w:topLinePunct w:val="0"/>
        <w:bidi w:val="0"/>
        <w:spacing w:line="400" w:lineRule="exact"/>
        <w:ind w:firstLine="590" w:firstLineChars="245"/>
        <w:outlineLvl w:val="1"/>
        <w:rPr>
          <w:rFonts w:asciiTheme="majorEastAsia" w:hAnsiTheme="majorEastAsia" w:eastAsiaTheme="majorEastAsia" w:cstheme="majorEastAsia"/>
          <w:b/>
          <w:sz w:val="24"/>
        </w:rPr>
      </w:pPr>
      <w:bookmarkStart w:id="0" w:name="_Toc15153"/>
      <w:bookmarkStart w:id="1" w:name="_Toc67"/>
      <w:r>
        <w:rPr>
          <w:rFonts w:hint="eastAsia" w:asciiTheme="majorEastAsia" w:hAnsiTheme="majorEastAsia" w:eastAsiaTheme="majorEastAsia" w:cstheme="majorEastAsia"/>
          <w:b/>
          <w:sz w:val="24"/>
        </w:rPr>
        <w:t>一、评标程序</w:t>
      </w:r>
      <w:bookmarkEnd w:id="0"/>
      <w:bookmarkEnd w:id="1"/>
    </w:p>
    <w:p w14:paraId="17E333EC">
      <w:pPr>
        <w:keepLines w:val="0"/>
        <w:pageBreakBefore w:val="0"/>
        <w:kinsoku/>
        <w:overflowPunct/>
        <w:topLinePunct w:val="0"/>
        <w:bidi w:val="0"/>
        <w:spacing w:line="400" w:lineRule="exact"/>
        <w:ind w:firstLine="480" w:firstLineChars="200"/>
        <w:rPr>
          <w:rFonts w:asciiTheme="majorEastAsia" w:hAnsiTheme="majorEastAsia" w:eastAsiaTheme="majorEastAsia" w:cstheme="majorEastAsia"/>
          <w:sz w:val="24"/>
        </w:rPr>
      </w:pPr>
      <w:r>
        <w:rPr>
          <w:rFonts w:hint="eastAsia" w:asciiTheme="majorEastAsia" w:hAnsiTheme="majorEastAsia" w:eastAsiaTheme="majorEastAsia" w:cstheme="majorEastAsia"/>
          <w:bCs/>
          <w:sz w:val="24"/>
        </w:rPr>
        <w:t>评标委员按照比选文件中规定的评标方法和标准，对投标文件进行商务和技术评估，综合比较与评价</w:t>
      </w:r>
      <w:r>
        <w:rPr>
          <w:rFonts w:hint="eastAsia" w:asciiTheme="majorEastAsia" w:hAnsiTheme="majorEastAsia" w:eastAsiaTheme="majorEastAsia" w:cstheme="majorEastAsia"/>
          <w:sz w:val="24"/>
        </w:rPr>
        <w:t>，根据综合评审结果，提交评审报告。</w:t>
      </w:r>
    </w:p>
    <w:p w14:paraId="446BC002">
      <w:pPr>
        <w:keepLines w:val="0"/>
        <w:pageBreakBefore w:val="0"/>
        <w:kinsoku/>
        <w:overflowPunct/>
        <w:topLinePunct w:val="0"/>
        <w:bidi w:val="0"/>
        <w:spacing w:line="400" w:lineRule="exact"/>
        <w:ind w:firstLine="590" w:firstLineChars="245"/>
        <w:outlineLvl w:val="1"/>
        <w:rPr>
          <w:rFonts w:asciiTheme="majorEastAsia" w:hAnsiTheme="majorEastAsia" w:eastAsiaTheme="majorEastAsia" w:cstheme="majorEastAsia"/>
          <w:b/>
          <w:sz w:val="24"/>
        </w:rPr>
      </w:pPr>
      <w:bookmarkStart w:id="2" w:name="_Toc11306"/>
      <w:bookmarkStart w:id="3" w:name="_Toc24825"/>
      <w:r>
        <w:rPr>
          <w:rFonts w:hint="eastAsia" w:asciiTheme="majorEastAsia" w:hAnsiTheme="majorEastAsia" w:eastAsiaTheme="majorEastAsia" w:cstheme="majorEastAsia"/>
          <w:b/>
          <w:sz w:val="24"/>
        </w:rPr>
        <w:t>二、评标办法</w:t>
      </w:r>
      <w:bookmarkEnd w:id="2"/>
      <w:bookmarkEnd w:id="3"/>
    </w:p>
    <w:p w14:paraId="6F99AF93">
      <w:pPr>
        <w:keepLines w:val="0"/>
        <w:pageBreakBefore w:val="0"/>
        <w:kinsoku/>
        <w:overflowPunct/>
        <w:topLinePunct w:val="0"/>
        <w:bidi w:val="0"/>
        <w:spacing w:line="400" w:lineRule="exact"/>
        <w:ind w:firstLine="588"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sz w:val="24"/>
        </w:rPr>
        <w:t>本次采购采用百分制综合评分法，即投标人最大限度地满足比选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sz w:val="24"/>
        </w:rPr>
        <w:t>总分设定为100分：技术标</w:t>
      </w:r>
      <w:r>
        <w:rPr>
          <w:rFonts w:hint="eastAsia" w:asciiTheme="majorEastAsia" w:hAnsiTheme="majorEastAsia" w:eastAsiaTheme="majorEastAsia" w:cstheme="majorEastAsia"/>
          <w:b/>
          <w:sz w:val="24"/>
          <w:lang w:val="en-US" w:eastAsia="zh-CN"/>
        </w:rPr>
        <w:t>80</w:t>
      </w:r>
      <w:r>
        <w:rPr>
          <w:rFonts w:hint="eastAsia" w:asciiTheme="majorEastAsia" w:hAnsiTheme="majorEastAsia" w:eastAsiaTheme="majorEastAsia" w:cstheme="majorEastAsia"/>
          <w:b/>
          <w:sz w:val="24"/>
        </w:rPr>
        <w:t>分（权值</w:t>
      </w:r>
      <w:r>
        <w:rPr>
          <w:rFonts w:hint="eastAsia" w:asciiTheme="majorEastAsia" w:hAnsiTheme="majorEastAsia" w:eastAsiaTheme="majorEastAsia" w:cstheme="majorEastAsia"/>
          <w:b/>
          <w:sz w:val="24"/>
          <w:lang w:val="en-US" w:eastAsia="zh-CN"/>
        </w:rPr>
        <w:t>8</w:t>
      </w:r>
      <w:r>
        <w:rPr>
          <w:rFonts w:hint="eastAsia" w:asciiTheme="majorEastAsia" w:hAnsiTheme="majorEastAsia" w:eastAsiaTheme="majorEastAsia" w:cstheme="majorEastAsia"/>
          <w:b/>
          <w:sz w:val="24"/>
        </w:rPr>
        <w:t>0%），商务标（报价）</w:t>
      </w:r>
      <w:r>
        <w:rPr>
          <w:rFonts w:hint="eastAsia" w:asciiTheme="majorEastAsia" w:hAnsiTheme="majorEastAsia" w:eastAsiaTheme="majorEastAsia" w:cstheme="majorEastAsia"/>
          <w:b/>
          <w:sz w:val="24"/>
          <w:lang w:val="en-US" w:eastAsia="zh-CN"/>
        </w:rPr>
        <w:t>2</w:t>
      </w:r>
      <w:r>
        <w:rPr>
          <w:rFonts w:hint="eastAsia" w:asciiTheme="majorEastAsia" w:hAnsiTheme="majorEastAsia" w:eastAsiaTheme="majorEastAsia" w:cstheme="majorEastAsia"/>
          <w:b/>
          <w:sz w:val="24"/>
        </w:rPr>
        <w:t>0分（权值</w:t>
      </w:r>
      <w:r>
        <w:rPr>
          <w:rFonts w:hint="eastAsia" w:asciiTheme="majorEastAsia" w:hAnsiTheme="majorEastAsia" w:eastAsiaTheme="majorEastAsia" w:cstheme="majorEastAsia"/>
          <w:b/>
          <w:sz w:val="24"/>
          <w:lang w:val="en-US" w:eastAsia="zh-CN"/>
        </w:rPr>
        <w:t>2</w:t>
      </w:r>
      <w:r>
        <w:rPr>
          <w:rFonts w:hint="eastAsia" w:asciiTheme="majorEastAsia" w:hAnsiTheme="majorEastAsia" w:eastAsiaTheme="majorEastAsia" w:cstheme="majorEastAsia"/>
          <w:b/>
          <w:sz w:val="24"/>
        </w:rPr>
        <w:t>0%）。</w:t>
      </w:r>
    </w:p>
    <w:p w14:paraId="6112B0EA">
      <w:pPr>
        <w:keepLines w:val="0"/>
        <w:pageBreakBefore w:val="0"/>
        <w:kinsoku/>
        <w:overflowPunct/>
        <w:topLinePunct w:val="0"/>
        <w:bidi w:val="0"/>
        <w:spacing w:line="400" w:lineRule="exact"/>
        <w:ind w:firstLine="482" w:firstLineChars="200"/>
        <w:outlineLvl w:val="1"/>
        <w:rPr>
          <w:rFonts w:asciiTheme="majorEastAsia" w:hAnsiTheme="majorEastAsia" w:eastAsiaTheme="majorEastAsia" w:cstheme="majorEastAsia"/>
          <w:b/>
          <w:sz w:val="24"/>
        </w:rPr>
      </w:pPr>
      <w:bookmarkStart w:id="4" w:name="_Toc1535"/>
      <w:bookmarkStart w:id="5" w:name="_Toc11450"/>
      <w:r>
        <w:rPr>
          <w:rFonts w:hint="eastAsia" w:asciiTheme="majorEastAsia" w:hAnsiTheme="majorEastAsia" w:eastAsiaTheme="majorEastAsia" w:cstheme="majorEastAsia"/>
          <w:b/>
          <w:sz w:val="24"/>
        </w:rPr>
        <w:t>三、评分细则</w:t>
      </w:r>
      <w:bookmarkEnd w:id="4"/>
      <w:bookmarkEnd w:id="5"/>
    </w:p>
    <w:p w14:paraId="3C602231">
      <w:pPr>
        <w:keepLines w:val="0"/>
        <w:pageBreakBefore w:val="0"/>
        <w:kinsoku/>
        <w:overflowPunct/>
        <w:topLinePunct w:val="0"/>
        <w:bidi w:val="0"/>
        <w:spacing w:line="400" w:lineRule="exact"/>
        <w:ind w:firstLine="590"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1、技术分的评定：技术标</w:t>
      </w:r>
      <w:r>
        <w:rPr>
          <w:rFonts w:hint="eastAsia" w:asciiTheme="majorEastAsia" w:hAnsiTheme="majorEastAsia" w:eastAsiaTheme="majorEastAsia" w:cstheme="majorEastAsia"/>
          <w:b/>
          <w:sz w:val="24"/>
          <w:lang w:val="en-US" w:eastAsia="zh-CN"/>
        </w:rPr>
        <w:t>8</w:t>
      </w:r>
      <w:r>
        <w:rPr>
          <w:rFonts w:hint="eastAsia" w:asciiTheme="majorEastAsia" w:hAnsiTheme="majorEastAsia" w:eastAsiaTheme="majorEastAsia" w:cstheme="majorEastAsia"/>
          <w:b/>
          <w:sz w:val="24"/>
        </w:rPr>
        <w:t>0分（权值</w:t>
      </w:r>
      <w:r>
        <w:rPr>
          <w:rFonts w:hint="eastAsia" w:asciiTheme="majorEastAsia" w:hAnsiTheme="majorEastAsia" w:eastAsiaTheme="majorEastAsia" w:cstheme="majorEastAsia"/>
          <w:b/>
          <w:sz w:val="24"/>
          <w:lang w:val="en-US" w:eastAsia="zh-CN"/>
        </w:rPr>
        <w:t>8</w:t>
      </w:r>
      <w:r>
        <w:rPr>
          <w:rFonts w:hint="eastAsia" w:asciiTheme="majorEastAsia" w:hAnsiTheme="majorEastAsia" w:eastAsiaTheme="majorEastAsia" w:cstheme="majorEastAsia"/>
          <w:b/>
          <w:sz w:val="24"/>
        </w:rPr>
        <w:t>0%）</w:t>
      </w:r>
    </w:p>
    <w:p w14:paraId="02F52C83">
      <w:pPr>
        <w:keepLines w:val="0"/>
        <w:pageBreakBefore w:val="0"/>
        <w:kinsoku/>
        <w:overflowPunct/>
        <w:topLinePunct w:val="0"/>
        <w:bidi w:val="0"/>
        <w:spacing w:line="400" w:lineRule="exact"/>
        <w:ind w:firstLine="588" w:firstLineChars="245"/>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8"/>
        <w:tblW w:w="9725" w:type="dxa"/>
        <w:tblInd w:w="-1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1730"/>
        <w:gridCol w:w="1239"/>
        <w:gridCol w:w="1080"/>
        <w:gridCol w:w="4989"/>
      </w:tblGrid>
      <w:tr w14:paraId="14A6F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687" w:type="dxa"/>
            <w:noWrap w:val="0"/>
            <w:vAlign w:val="top"/>
          </w:tcPr>
          <w:p w14:paraId="7377A01B">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序号</w:t>
            </w:r>
          </w:p>
        </w:tc>
        <w:tc>
          <w:tcPr>
            <w:tcW w:w="2969" w:type="dxa"/>
            <w:gridSpan w:val="2"/>
            <w:noWrap w:val="0"/>
            <w:vAlign w:val="top"/>
          </w:tcPr>
          <w:p w14:paraId="5A07C597">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评分内容</w:t>
            </w:r>
          </w:p>
        </w:tc>
        <w:tc>
          <w:tcPr>
            <w:tcW w:w="1080" w:type="dxa"/>
            <w:noWrap w:val="0"/>
            <w:vAlign w:val="top"/>
          </w:tcPr>
          <w:p w14:paraId="0F37BA55">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分值</w:t>
            </w:r>
          </w:p>
        </w:tc>
        <w:tc>
          <w:tcPr>
            <w:tcW w:w="4989" w:type="dxa"/>
            <w:noWrap w:val="0"/>
            <w:vAlign w:val="top"/>
          </w:tcPr>
          <w:p w14:paraId="2338BD59">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评分细则</w:t>
            </w:r>
          </w:p>
        </w:tc>
      </w:tr>
      <w:tr w14:paraId="544F9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687" w:type="dxa"/>
            <w:noWrap w:val="0"/>
            <w:vAlign w:val="center"/>
          </w:tcPr>
          <w:p w14:paraId="0A06C98D">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1</w:t>
            </w:r>
          </w:p>
        </w:tc>
        <w:tc>
          <w:tcPr>
            <w:tcW w:w="2969" w:type="dxa"/>
            <w:gridSpan w:val="2"/>
            <w:noWrap w:val="0"/>
            <w:vAlign w:val="center"/>
          </w:tcPr>
          <w:p w14:paraId="1779DF10">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投标供应商综合实力</w:t>
            </w:r>
          </w:p>
          <w:p w14:paraId="2AE42167">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（7分）</w:t>
            </w:r>
          </w:p>
        </w:tc>
        <w:tc>
          <w:tcPr>
            <w:tcW w:w="1080" w:type="dxa"/>
            <w:noWrap w:val="0"/>
            <w:vAlign w:val="center"/>
          </w:tcPr>
          <w:p w14:paraId="55D298C8">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w:t>
            </w:r>
            <w:r>
              <w:rPr>
                <w:rFonts w:hint="eastAsia" w:cs="宋体"/>
                <w:highlight w:val="none"/>
                <w:vertAlign w:val="baseline"/>
                <w:lang w:val="en-US" w:eastAsia="zh-CN"/>
              </w:rPr>
              <w:t>7</w:t>
            </w:r>
            <w:r>
              <w:rPr>
                <w:rFonts w:hint="eastAsia" w:ascii="宋体" w:hAnsi="宋体" w:eastAsia="宋体" w:cs="宋体"/>
                <w:highlight w:val="none"/>
                <w:vertAlign w:val="baseline"/>
                <w:lang w:val="en-US" w:eastAsia="zh-CN"/>
              </w:rPr>
              <w:t>分</w:t>
            </w:r>
          </w:p>
        </w:tc>
        <w:tc>
          <w:tcPr>
            <w:tcW w:w="4989" w:type="dxa"/>
            <w:noWrap w:val="0"/>
            <w:vAlign w:val="center"/>
          </w:tcPr>
          <w:p w14:paraId="7574BC53">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根据投标供应商行业影响力、技术力量、履约能力等，进行评分。</w:t>
            </w:r>
          </w:p>
          <w:p w14:paraId="4D29331E">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投标供应商综合实力优秀并有利于项目开展的得</w:t>
            </w:r>
            <w:r>
              <w:rPr>
                <w:rFonts w:hint="eastAsia" w:cs="宋体"/>
                <w:highlight w:val="none"/>
                <w:vertAlign w:val="baseline"/>
                <w:lang w:val="en-US" w:eastAsia="zh-CN"/>
              </w:rPr>
              <w:t>7-4</w:t>
            </w:r>
            <w:r>
              <w:rPr>
                <w:rFonts w:hint="eastAsia" w:ascii="宋体" w:hAnsi="宋体" w:eastAsia="宋体" w:cs="宋体"/>
                <w:highlight w:val="none"/>
                <w:vertAlign w:val="baseline"/>
                <w:lang w:val="en-US" w:eastAsia="zh-CN"/>
              </w:rPr>
              <w:t>分；</w:t>
            </w:r>
          </w:p>
          <w:p w14:paraId="00C7ED56">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投标供应商综合实力良好得</w:t>
            </w:r>
            <w:r>
              <w:rPr>
                <w:rFonts w:hint="eastAsia" w:cs="宋体"/>
                <w:highlight w:val="none"/>
                <w:vertAlign w:val="baseline"/>
                <w:lang w:val="en-US" w:eastAsia="zh-CN"/>
              </w:rPr>
              <w:t>4-2</w:t>
            </w:r>
            <w:r>
              <w:rPr>
                <w:rFonts w:hint="eastAsia" w:ascii="宋体" w:hAnsi="宋体" w:eastAsia="宋体" w:cs="宋体"/>
                <w:highlight w:val="none"/>
                <w:vertAlign w:val="baseline"/>
                <w:lang w:val="en-US" w:eastAsia="zh-CN"/>
              </w:rPr>
              <w:t>分；</w:t>
            </w:r>
          </w:p>
          <w:p w14:paraId="5FFB7433">
            <w:pPr>
              <w:keepLines w:val="0"/>
              <w:pageBreakBefore w:val="0"/>
              <w:widowControl w:val="0"/>
              <w:kinsoku/>
              <w:overflowPunct/>
              <w:topLinePunct w:val="0"/>
              <w:bidi w:val="0"/>
              <w:spacing w:line="400" w:lineRule="exact"/>
              <w:jc w:val="both"/>
              <w:rPr>
                <w:rFonts w:hint="default"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投标供应商综合实力有欠缺得</w:t>
            </w:r>
            <w:r>
              <w:rPr>
                <w:rFonts w:hint="eastAsia" w:cs="宋体"/>
                <w:highlight w:val="none"/>
                <w:vertAlign w:val="baseline"/>
                <w:lang w:val="en-US" w:eastAsia="zh-CN"/>
              </w:rPr>
              <w:t>2</w:t>
            </w:r>
            <w:r>
              <w:rPr>
                <w:rFonts w:hint="eastAsia" w:ascii="宋体" w:hAnsi="宋体" w:eastAsia="宋体" w:cs="宋体"/>
                <w:highlight w:val="none"/>
                <w:vertAlign w:val="baseline"/>
                <w:lang w:val="en-US" w:eastAsia="zh-CN"/>
              </w:rPr>
              <w:t>-0分。</w:t>
            </w:r>
          </w:p>
        </w:tc>
      </w:tr>
      <w:tr w14:paraId="4C9ED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687" w:type="dxa"/>
            <w:vMerge w:val="restart"/>
            <w:noWrap w:val="0"/>
            <w:vAlign w:val="center"/>
          </w:tcPr>
          <w:p w14:paraId="793D17E8">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2</w:t>
            </w:r>
          </w:p>
        </w:tc>
        <w:tc>
          <w:tcPr>
            <w:tcW w:w="1730" w:type="dxa"/>
            <w:vMerge w:val="restart"/>
            <w:noWrap w:val="0"/>
            <w:vAlign w:val="center"/>
          </w:tcPr>
          <w:p w14:paraId="1D52633B">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审计工作方案（50分）</w:t>
            </w:r>
          </w:p>
        </w:tc>
        <w:tc>
          <w:tcPr>
            <w:tcW w:w="1239" w:type="dxa"/>
            <w:vMerge w:val="restart"/>
            <w:noWrap w:val="0"/>
            <w:vAlign w:val="center"/>
          </w:tcPr>
          <w:p w14:paraId="71FFEE9D">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对本项目的理解和总体思路</w:t>
            </w:r>
          </w:p>
        </w:tc>
        <w:tc>
          <w:tcPr>
            <w:tcW w:w="1080" w:type="dxa"/>
            <w:noWrap w:val="0"/>
            <w:vAlign w:val="center"/>
          </w:tcPr>
          <w:p w14:paraId="4A2437F2">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0-10分</w:t>
            </w:r>
          </w:p>
        </w:tc>
        <w:tc>
          <w:tcPr>
            <w:tcW w:w="4989" w:type="dxa"/>
            <w:noWrap w:val="0"/>
            <w:vAlign w:val="center"/>
          </w:tcPr>
          <w:p w14:paraId="7AF3B3E0">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供应商对本项目审计的解读，对项目行业背景、运营特点、业务流程的了解程度：对本项目解读透彻，项目行业背景、运营特点、业务流程非常了解的得10-6.1分；对本项目解读清晰，项目行业背景、运营特点、业务流程基本了解的得6-3.1分；对本项目解读模糊，项目行业背景、运营特点、业务流程不了解的得3-0分。</w:t>
            </w:r>
          </w:p>
        </w:tc>
      </w:tr>
      <w:tr w14:paraId="67EB9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87" w:type="dxa"/>
            <w:vMerge w:val="continue"/>
            <w:noWrap w:val="0"/>
            <w:vAlign w:val="center"/>
          </w:tcPr>
          <w:p w14:paraId="5719559C">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196D3CF8">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vMerge w:val="continue"/>
            <w:noWrap w:val="0"/>
            <w:vAlign w:val="center"/>
          </w:tcPr>
          <w:p w14:paraId="0E66840A">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080" w:type="dxa"/>
            <w:noWrap w:val="0"/>
            <w:vAlign w:val="center"/>
          </w:tcPr>
          <w:p w14:paraId="31A09AC3">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0-10分</w:t>
            </w:r>
          </w:p>
        </w:tc>
        <w:tc>
          <w:tcPr>
            <w:tcW w:w="4989" w:type="dxa"/>
            <w:noWrap w:val="0"/>
            <w:vAlign w:val="center"/>
          </w:tcPr>
          <w:p w14:paraId="1F971825">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供应商对本项目的总体审计思路是否清晰，特点、重点、难点等关键审计问题是否理解透彻、重点突出：</w:t>
            </w:r>
          </w:p>
          <w:p w14:paraId="4B8573DB">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理解透彻、重点突出的得10-6.1分，理解清楚，重点比较突出的得6-3.1分，理解模糊，重点不突出的得3-0分。</w:t>
            </w:r>
          </w:p>
        </w:tc>
      </w:tr>
      <w:tr w14:paraId="21133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687" w:type="dxa"/>
            <w:vMerge w:val="continue"/>
            <w:noWrap w:val="0"/>
            <w:vAlign w:val="center"/>
          </w:tcPr>
          <w:p w14:paraId="5128D836">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5589CB55">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noWrap w:val="0"/>
            <w:vAlign w:val="center"/>
          </w:tcPr>
          <w:p w14:paraId="1294DED2">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工作计划安排</w:t>
            </w:r>
          </w:p>
        </w:tc>
        <w:tc>
          <w:tcPr>
            <w:tcW w:w="1080" w:type="dxa"/>
            <w:noWrap w:val="0"/>
            <w:vAlign w:val="center"/>
          </w:tcPr>
          <w:p w14:paraId="1284C0CC">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0-10分</w:t>
            </w:r>
          </w:p>
        </w:tc>
        <w:tc>
          <w:tcPr>
            <w:tcW w:w="4989" w:type="dxa"/>
            <w:noWrap w:val="0"/>
            <w:vAlign w:val="center"/>
          </w:tcPr>
          <w:p w14:paraId="39976D9E">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在保证本项目审计质量前提下，供应商制定的工作计划安排是否科学、合理，是否优于采购文件审计实施时间要求：工作计划安排科学、合理，审计实施时间优于采购文件要求的得10-6.1分；工作计划安排科学、合理性一般，审计实施时间满足采购文件要求的得6-3.1分；工作计划安排科学、合理性较差，审计实施时间不能满足采购文件要求的得3-0分。</w:t>
            </w:r>
          </w:p>
        </w:tc>
      </w:tr>
      <w:tr w14:paraId="4900F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687" w:type="dxa"/>
            <w:vMerge w:val="continue"/>
            <w:noWrap w:val="0"/>
            <w:vAlign w:val="center"/>
          </w:tcPr>
          <w:p w14:paraId="6F2B0ACF">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1E7F99EC">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vMerge w:val="restart"/>
            <w:noWrap w:val="0"/>
            <w:vAlign w:val="center"/>
          </w:tcPr>
          <w:p w14:paraId="13075057">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审计质量控制</w:t>
            </w:r>
          </w:p>
        </w:tc>
        <w:tc>
          <w:tcPr>
            <w:tcW w:w="1080" w:type="dxa"/>
            <w:noWrap w:val="0"/>
            <w:vAlign w:val="center"/>
          </w:tcPr>
          <w:p w14:paraId="7CF52132">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0-10分</w:t>
            </w:r>
          </w:p>
        </w:tc>
        <w:tc>
          <w:tcPr>
            <w:tcW w:w="4989" w:type="dxa"/>
            <w:noWrap w:val="0"/>
            <w:vAlign w:val="center"/>
          </w:tcPr>
          <w:p w14:paraId="4CC61889">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会计事务所内部审计质量控制制度建设总体情况：审计质量控制制度建设完善的得10-6.1分，审计质量控制制度比较完善的得6-3.1分，审计质量控制制度不完善的得3-0分。</w:t>
            </w:r>
          </w:p>
        </w:tc>
      </w:tr>
      <w:tr w14:paraId="20905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687" w:type="dxa"/>
            <w:vMerge w:val="continue"/>
            <w:noWrap w:val="0"/>
            <w:vAlign w:val="center"/>
          </w:tcPr>
          <w:p w14:paraId="07C16428">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5CE56999">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vMerge w:val="continue"/>
            <w:noWrap w:val="0"/>
            <w:vAlign w:val="center"/>
          </w:tcPr>
          <w:p w14:paraId="0719FF24">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080" w:type="dxa"/>
            <w:noWrap w:val="0"/>
            <w:vAlign w:val="center"/>
          </w:tcPr>
          <w:p w14:paraId="012A1BD1">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0-10分</w:t>
            </w:r>
          </w:p>
        </w:tc>
        <w:tc>
          <w:tcPr>
            <w:tcW w:w="4989" w:type="dxa"/>
            <w:noWrap w:val="0"/>
            <w:vAlign w:val="center"/>
          </w:tcPr>
          <w:p w14:paraId="31AC3615">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针对本项目的具体质量控制措施：质量控制措施完整有效的得10-6.1分；质量控制措施比较完整有效的得6-3.1分；质量控制措施不完整有效的得3-0分。</w:t>
            </w:r>
          </w:p>
        </w:tc>
      </w:tr>
      <w:tr w14:paraId="42B17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687" w:type="dxa"/>
            <w:noWrap w:val="0"/>
            <w:vAlign w:val="center"/>
          </w:tcPr>
          <w:p w14:paraId="1EBE80BB">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3</w:t>
            </w:r>
          </w:p>
        </w:tc>
        <w:tc>
          <w:tcPr>
            <w:tcW w:w="2969" w:type="dxa"/>
            <w:gridSpan w:val="2"/>
            <w:noWrap w:val="0"/>
            <w:vAlign w:val="center"/>
          </w:tcPr>
          <w:p w14:paraId="0B3197B6">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同类项目审计业绩（5分）</w:t>
            </w:r>
          </w:p>
        </w:tc>
        <w:tc>
          <w:tcPr>
            <w:tcW w:w="1080" w:type="dxa"/>
            <w:noWrap w:val="0"/>
            <w:vAlign w:val="center"/>
          </w:tcPr>
          <w:p w14:paraId="1250F595">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0-5分</w:t>
            </w:r>
          </w:p>
        </w:tc>
        <w:tc>
          <w:tcPr>
            <w:tcW w:w="4989" w:type="dxa"/>
            <w:noWrap w:val="0"/>
            <w:vAlign w:val="center"/>
          </w:tcPr>
          <w:p w14:paraId="473D44C7">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投标供应商2020年1月以来从事过财务年度审计，每提供一个有效业绩得1分，最高得5分。</w:t>
            </w:r>
          </w:p>
          <w:p w14:paraId="36FBBC6F">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注：提供合同或协议复印件加盖单位公章。</w:t>
            </w:r>
          </w:p>
        </w:tc>
      </w:tr>
      <w:tr w14:paraId="6B218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trPr>
        <w:tc>
          <w:tcPr>
            <w:tcW w:w="687" w:type="dxa"/>
            <w:vMerge w:val="restart"/>
            <w:noWrap w:val="0"/>
            <w:vAlign w:val="center"/>
          </w:tcPr>
          <w:p w14:paraId="343B5193">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4</w:t>
            </w:r>
          </w:p>
        </w:tc>
        <w:tc>
          <w:tcPr>
            <w:tcW w:w="1730" w:type="dxa"/>
            <w:vMerge w:val="restart"/>
            <w:noWrap w:val="0"/>
            <w:vAlign w:val="center"/>
          </w:tcPr>
          <w:p w14:paraId="36019FF8">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人员配备情况（13分）</w:t>
            </w:r>
          </w:p>
        </w:tc>
        <w:tc>
          <w:tcPr>
            <w:tcW w:w="1239" w:type="dxa"/>
            <w:noWrap w:val="0"/>
            <w:vAlign w:val="center"/>
          </w:tcPr>
          <w:p w14:paraId="05DA923D">
            <w:pPr>
              <w:keepLines w:val="0"/>
              <w:pageBreakBefore w:val="0"/>
              <w:widowControl w:val="0"/>
              <w:tabs>
                <w:tab w:val="left" w:pos="492"/>
              </w:tabs>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项目负责人</w:t>
            </w:r>
          </w:p>
        </w:tc>
        <w:tc>
          <w:tcPr>
            <w:tcW w:w="1080" w:type="dxa"/>
            <w:noWrap w:val="0"/>
            <w:vAlign w:val="center"/>
          </w:tcPr>
          <w:p w14:paraId="528288EF">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0-5分</w:t>
            </w:r>
          </w:p>
        </w:tc>
        <w:tc>
          <w:tcPr>
            <w:tcW w:w="4989" w:type="dxa"/>
            <w:noWrap w:val="0"/>
            <w:vAlign w:val="center"/>
          </w:tcPr>
          <w:p w14:paraId="7B2CB4C3">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eastAsia="zh-CN"/>
              </w:rPr>
              <w:t>（</w:t>
            </w:r>
            <w:r>
              <w:rPr>
                <w:rFonts w:hint="eastAsia" w:ascii="宋体" w:hAnsi="宋体" w:eastAsia="宋体" w:cs="宋体"/>
                <w:highlight w:val="none"/>
                <w:vertAlign w:val="baseline"/>
                <w:lang w:val="en-US" w:eastAsia="zh-CN"/>
              </w:rPr>
              <w:t>1</w:t>
            </w:r>
            <w:r>
              <w:rPr>
                <w:rFonts w:hint="eastAsia" w:ascii="宋体" w:hAnsi="宋体" w:eastAsia="宋体" w:cs="宋体"/>
                <w:highlight w:val="none"/>
                <w:vertAlign w:val="baseline"/>
                <w:lang w:eastAsia="zh-CN"/>
              </w:rPr>
              <w:t>）</w:t>
            </w:r>
            <w:r>
              <w:rPr>
                <w:rFonts w:hint="eastAsia" w:ascii="宋体" w:hAnsi="宋体" w:eastAsia="宋体" w:cs="宋体"/>
                <w:highlight w:val="none"/>
                <w:vertAlign w:val="baseline"/>
                <w:lang w:val="en-US" w:eastAsia="zh-CN"/>
              </w:rPr>
              <w:t>具有注册会计师职业资格和高级会计师职称的每个证书得2.5分，最高得5分。未提供的，不得分。</w:t>
            </w:r>
          </w:p>
          <w:p w14:paraId="65036167">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注：提供学历证书、资格（职称）证书及近3个月内在投标单位的社保证明复印件加盖公章。</w:t>
            </w:r>
          </w:p>
        </w:tc>
      </w:tr>
      <w:tr w14:paraId="1C02D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687" w:type="dxa"/>
            <w:vMerge w:val="continue"/>
            <w:noWrap w:val="0"/>
            <w:vAlign w:val="center"/>
          </w:tcPr>
          <w:p w14:paraId="53A3659E">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7916FA16">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vMerge w:val="restart"/>
            <w:noWrap w:val="0"/>
            <w:vAlign w:val="center"/>
          </w:tcPr>
          <w:p w14:paraId="3CC3E416">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eastAsia="zh-CN"/>
              </w:rPr>
            </w:pPr>
            <w:r>
              <w:rPr>
                <w:rFonts w:hint="eastAsia" w:ascii="宋体" w:hAnsi="宋体" w:eastAsia="宋体" w:cs="宋体"/>
                <w:highlight w:val="none"/>
                <w:vertAlign w:val="baseline"/>
                <w:lang w:eastAsia="zh-CN"/>
              </w:rPr>
              <w:t>项目组成员</w:t>
            </w:r>
          </w:p>
        </w:tc>
        <w:tc>
          <w:tcPr>
            <w:tcW w:w="1080" w:type="dxa"/>
            <w:noWrap w:val="0"/>
            <w:vAlign w:val="center"/>
          </w:tcPr>
          <w:p w14:paraId="4953D810">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0-4分</w:t>
            </w:r>
          </w:p>
        </w:tc>
        <w:tc>
          <w:tcPr>
            <w:tcW w:w="4989" w:type="dxa"/>
            <w:noWrap w:val="0"/>
            <w:vAlign w:val="center"/>
          </w:tcPr>
          <w:p w14:paraId="626EEB73">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（1）拟派注册会计师（项目负责人除外）：具有注册会计师职业资格，每1人得2分，最多得4分；</w:t>
            </w:r>
          </w:p>
          <w:p w14:paraId="60431474">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注：提供学历证书、资格（职称）证书及近3个月内在投标单位的社保证明等相关资料复印件加盖公章。</w:t>
            </w:r>
          </w:p>
        </w:tc>
      </w:tr>
      <w:tr w14:paraId="1B8CB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687" w:type="dxa"/>
            <w:vMerge w:val="continue"/>
            <w:noWrap w:val="0"/>
            <w:vAlign w:val="center"/>
          </w:tcPr>
          <w:p w14:paraId="3BD03676">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730" w:type="dxa"/>
            <w:vMerge w:val="continue"/>
            <w:noWrap w:val="0"/>
            <w:vAlign w:val="center"/>
          </w:tcPr>
          <w:p w14:paraId="111C62B2">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239" w:type="dxa"/>
            <w:vMerge w:val="continue"/>
            <w:noWrap w:val="0"/>
            <w:vAlign w:val="center"/>
          </w:tcPr>
          <w:p w14:paraId="430A7FA4">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rPr>
            </w:pPr>
          </w:p>
        </w:tc>
        <w:tc>
          <w:tcPr>
            <w:tcW w:w="1080" w:type="dxa"/>
            <w:noWrap w:val="0"/>
            <w:vAlign w:val="center"/>
          </w:tcPr>
          <w:p w14:paraId="7DD085F9">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0-4分</w:t>
            </w:r>
          </w:p>
        </w:tc>
        <w:tc>
          <w:tcPr>
            <w:tcW w:w="4989" w:type="dxa"/>
            <w:noWrap w:val="0"/>
            <w:vAlign w:val="center"/>
          </w:tcPr>
          <w:p w14:paraId="344BCA1A">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拟派项目组人员数量配备的合理性，是否满足本项目采购需求等，进行评分。</w:t>
            </w:r>
          </w:p>
          <w:p w14:paraId="78940142">
            <w:pPr>
              <w:keepLines w:val="0"/>
              <w:pageBreakBefore w:val="0"/>
              <w:widowControl w:val="0"/>
              <w:kinsoku/>
              <w:overflowPunct/>
              <w:topLinePunct w:val="0"/>
              <w:bidi w:val="0"/>
              <w:spacing w:line="400" w:lineRule="exact"/>
              <w:jc w:val="both"/>
              <w:rPr>
                <w:rFonts w:hint="default"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人员配备完全符合采购人需求得4分；基本符合采购人需求的2分；有所欠缺得1分，未提供人员配备方案不得分。</w:t>
            </w:r>
          </w:p>
        </w:tc>
      </w:tr>
      <w:tr w14:paraId="1F0FB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687" w:type="dxa"/>
            <w:noWrap w:val="0"/>
            <w:vAlign w:val="center"/>
          </w:tcPr>
          <w:p w14:paraId="1D6B274D">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5</w:t>
            </w:r>
          </w:p>
        </w:tc>
        <w:tc>
          <w:tcPr>
            <w:tcW w:w="2969" w:type="dxa"/>
            <w:gridSpan w:val="2"/>
            <w:noWrap w:val="0"/>
            <w:vAlign w:val="center"/>
          </w:tcPr>
          <w:p w14:paraId="529C6A1E">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售后服务承诺（5分）</w:t>
            </w:r>
          </w:p>
        </w:tc>
        <w:tc>
          <w:tcPr>
            <w:tcW w:w="1080" w:type="dxa"/>
            <w:noWrap w:val="0"/>
            <w:vAlign w:val="center"/>
          </w:tcPr>
          <w:p w14:paraId="5FA89CE7">
            <w:pPr>
              <w:keepLines w:val="0"/>
              <w:pageBreakBefore w:val="0"/>
              <w:widowControl w:val="0"/>
              <w:kinsoku/>
              <w:overflowPunct/>
              <w:topLinePunct w:val="0"/>
              <w:bidi w:val="0"/>
              <w:spacing w:line="400" w:lineRule="exact"/>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0-5分</w:t>
            </w:r>
          </w:p>
        </w:tc>
        <w:tc>
          <w:tcPr>
            <w:tcW w:w="4989" w:type="dxa"/>
            <w:noWrap w:val="0"/>
            <w:vAlign w:val="center"/>
          </w:tcPr>
          <w:p w14:paraId="68CD2919">
            <w:pPr>
              <w:keepLines w:val="0"/>
              <w:pageBreakBefore w:val="0"/>
              <w:widowControl w:val="0"/>
              <w:kinsoku/>
              <w:overflowPunct/>
              <w:topLinePunct w:val="0"/>
              <w:bidi w:val="0"/>
              <w:spacing w:line="400" w:lineRule="exact"/>
              <w:jc w:val="both"/>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如采购人对审计结果提出问题，在接到采购人通知后，供应商的响应时间、售后处理人员、应急处理措施承诺等情况，进行评分。</w:t>
            </w:r>
          </w:p>
          <w:p w14:paraId="1E296E46">
            <w:pPr>
              <w:keepLines w:val="0"/>
              <w:pageBreakBefore w:val="0"/>
              <w:widowControl w:val="0"/>
              <w:kinsoku/>
              <w:overflowPunct/>
              <w:topLinePunct w:val="0"/>
              <w:bidi w:val="0"/>
              <w:spacing w:line="400" w:lineRule="exact"/>
              <w:jc w:val="both"/>
              <w:rPr>
                <w:rFonts w:hint="default"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售后人员专业能力强，应急处理措施科学、合理得5分；其次得3分；有所欠缺得1分；未提供方案不得分。</w:t>
            </w:r>
          </w:p>
        </w:tc>
      </w:tr>
    </w:tbl>
    <w:p w14:paraId="666C9FAA">
      <w:pPr>
        <w:keepLines w:val="0"/>
        <w:pageBreakBefore w:val="0"/>
        <w:kinsoku/>
        <w:overflowPunct/>
        <w:topLinePunct w:val="0"/>
        <w:bidi w:val="0"/>
        <w:spacing w:line="400" w:lineRule="exact"/>
        <w:rPr>
          <w:rFonts w:asciiTheme="majorEastAsia" w:hAnsiTheme="majorEastAsia" w:eastAsiaTheme="majorEastAsia" w:cstheme="majorEastAsia"/>
          <w:sz w:val="24"/>
        </w:rPr>
      </w:pPr>
    </w:p>
    <w:p w14:paraId="7B541AE6">
      <w:pPr>
        <w:keepLines w:val="0"/>
        <w:pageBreakBefore w:val="0"/>
        <w:kinsoku/>
        <w:overflowPunct/>
        <w:topLinePunct w:val="0"/>
        <w:bidi w:val="0"/>
        <w:spacing w:line="400" w:lineRule="exact"/>
        <w:ind w:firstLine="590" w:firstLineChars="245"/>
        <w:rPr>
          <w:rFonts w:hint="eastAsia" w:asciiTheme="majorEastAsia" w:hAnsiTheme="majorEastAsia" w:eastAsiaTheme="majorEastAsia" w:cstheme="majorEastAsia"/>
          <w:sz w:val="24"/>
          <w:lang w:eastAsia="zh-CN"/>
        </w:rPr>
      </w:pPr>
      <w:r>
        <w:rPr>
          <w:rFonts w:hint="eastAsia" w:asciiTheme="majorEastAsia" w:hAnsiTheme="majorEastAsia" w:eastAsiaTheme="majorEastAsia" w:cstheme="majorEastAsia"/>
          <w:b/>
          <w:sz w:val="24"/>
        </w:rPr>
        <w:t>2、商务评分</w:t>
      </w:r>
      <w:r>
        <w:rPr>
          <w:rFonts w:hint="eastAsia" w:asciiTheme="majorEastAsia" w:hAnsiTheme="majorEastAsia" w:eastAsiaTheme="majorEastAsia" w:cstheme="majorEastAsia"/>
          <w:b/>
          <w:sz w:val="24"/>
          <w:lang w:val="en-US" w:eastAsia="zh-CN"/>
        </w:rPr>
        <w:t>2</w:t>
      </w:r>
      <w:r>
        <w:rPr>
          <w:rFonts w:hint="eastAsia" w:asciiTheme="majorEastAsia" w:hAnsiTheme="majorEastAsia" w:eastAsiaTheme="majorEastAsia" w:cstheme="majorEastAsia"/>
          <w:b/>
          <w:sz w:val="24"/>
        </w:rPr>
        <w:t>0分（权值</w:t>
      </w:r>
      <w:r>
        <w:rPr>
          <w:rFonts w:hint="eastAsia" w:asciiTheme="majorEastAsia" w:hAnsiTheme="majorEastAsia" w:eastAsiaTheme="majorEastAsia" w:cstheme="majorEastAsia"/>
          <w:b/>
          <w:sz w:val="24"/>
          <w:lang w:val="en-US" w:eastAsia="zh-CN"/>
        </w:rPr>
        <w:t>2</w:t>
      </w:r>
      <w:r>
        <w:rPr>
          <w:rFonts w:hint="eastAsia" w:asciiTheme="majorEastAsia" w:hAnsiTheme="majorEastAsia" w:eastAsiaTheme="majorEastAsia" w:cstheme="majorEastAsia"/>
          <w:b/>
          <w:sz w:val="24"/>
        </w:rPr>
        <w:t>0%）：</w:t>
      </w:r>
    </w:p>
    <w:p w14:paraId="1A4F80E5">
      <w:pPr>
        <w:keepLines w:val="0"/>
        <w:pageBreakBefore w:val="0"/>
        <w:kinsoku/>
        <w:overflowPunct/>
        <w:topLinePunct w:val="0"/>
        <w:bidi w:val="0"/>
        <w:spacing w:line="400" w:lineRule="exact"/>
        <w:ind w:firstLine="588" w:firstLineChars="245"/>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满足招标文件要求且投标报价面值最低的投标报价为评标基准价，其余投标人投标报价与该基准价对比，计算出商务报价评分值（保留小数2位）：</w:t>
      </w:r>
    </w:p>
    <w:p w14:paraId="3706DAD9">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（1）有效投标人的投标报价等于评标基准价时其报价分为满分</w:t>
      </w:r>
      <w:r>
        <w:rPr>
          <w:rFonts w:hint="eastAsia" w:asciiTheme="majorEastAsia" w:hAnsiTheme="majorEastAsia" w:eastAsiaTheme="majorEastAsia" w:cstheme="majorEastAsia"/>
          <w:sz w:val="24"/>
          <w:lang w:val="en-US" w:eastAsia="zh-CN"/>
        </w:rPr>
        <w:t>2</w:t>
      </w:r>
      <w:r>
        <w:rPr>
          <w:rFonts w:hint="eastAsia" w:asciiTheme="majorEastAsia" w:hAnsiTheme="majorEastAsia" w:eastAsiaTheme="majorEastAsia" w:cstheme="majorEastAsia"/>
          <w:sz w:val="24"/>
        </w:rPr>
        <w:t>0分；</w:t>
      </w:r>
    </w:p>
    <w:p w14:paraId="63DD4C6C">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（2）其他投标人的价格分按以下公式计算：</w:t>
      </w:r>
    </w:p>
    <w:p w14:paraId="48B0A8C7">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投标报价得分=（评分基准价/投标人投标报价）× 价格权值 ×100（保留小数2位）</w:t>
      </w:r>
    </w:p>
    <w:p w14:paraId="6C6C24CF">
      <w:pPr>
        <w:keepLines w:val="0"/>
        <w:pageBreakBefore w:val="0"/>
        <w:numPr>
          <w:ilvl w:val="0"/>
          <w:numId w:val="3"/>
        </w:numPr>
        <w:kinsoku/>
        <w:overflowPunct/>
        <w:topLinePunct w:val="0"/>
        <w:bidi w:val="0"/>
        <w:spacing w:line="400" w:lineRule="exact"/>
        <w:ind w:left="420" w:leftChars="0" w:firstLine="0" w:firstLineChars="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0AB7DB2">
      <w:pPr>
        <w:keepLines w:val="0"/>
        <w:pageBreakBefore w:val="0"/>
        <w:numPr>
          <w:ilvl w:val="0"/>
          <w:numId w:val="3"/>
        </w:numPr>
        <w:kinsoku/>
        <w:overflowPunct/>
        <w:topLinePunct w:val="0"/>
        <w:bidi w:val="0"/>
        <w:spacing w:line="400" w:lineRule="exact"/>
        <w:ind w:left="420" w:leftChars="0" w:firstLine="0" w:firstLineChars="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eastAsia="zh-CN"/>
        </w:rPr>
        <w:t>投标人的商务报价需附报价清单，清单将作为结算依据。</w:t>
      </w:r>
    </w:p>
    <w:p w14:paraId="28178415">
      <w:pPr>
        <w:keepLines w:val="0"/>
        <w:pageBreakBefore w:val="0"/>
        <w:numPr>
          <w:ilvl w:val="0"/>
          <w:numId w:val="3"/>
        </w:numPr>
        <w:kinsoku/>
        <w:overflowPunct/>
        <w:topLinePunct w:val="0"/>
        <w:bidi w:val="0"/>
        <w:spacing w:line="400" w:lineRule="exact"/>
        <w:ind w:left="420" w:leftChars="0" w:firstLine="0" w:firstLineChars="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投标人所报总价不得超过预算金额，否则当无效标处理。</w:t>
      </w:r>
    </w:p>
    <w:p w14:paraId="2854C8BF">
      <w:pPr>
        <w:keepLines w:val="0"/>
        <w:pageBreakBefore w:val="0"/>
        <w:kinsoku/>
        <w:overflowPunct/>
        <w:topLinePunct w:val="0"/>
        <w:bidi w:val="0"/>
        <w:spacing w:line="400" w:lineRule="exact"/>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（三）综合得分（100分）（权值100%）</w:t>
      </w:r>
    </w:p>
    <w:p w14:paraId="3676FCF1">
      <w:pPr>
        <w:keepLines w:val="0"/>
        <w:pageBreakBefore w:val="0"/>
        <w:kinsoku/>
        <w:overflowPunct/>
        <w:topLinePunct w:val="0"/>
        <w:bidi w:val="0"/>
        <w:spacing w:line="40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27D95511">
      <w:pPr>
        <w:keepLines w:val="0"/>
        <w:pageBreakBefore w:val="0"/>
        <w:kinsoku/>
        <w:overflowPunct/>
        <w:topLinePunct w:val="0"/>
        <w:bidi w:val="0"/>
        <w:spacing w:line="400" w:lineRule="exact"/>
      </w:pPr>
    </w:p>
    <w:p w14:paraId="7A3DF2DE">
      <w:pPr>
        <w:keepLines w:val="0"/>
        <w:pageBreakBefore w:val="0"/>
        <w:kinsoku/>
        <w:overflowPunct/>
        <w:topLinePunct w:val="0"/>
        <w:bidi w:val="0"/>
        <w:spacing w:line="400" w:lineRule="exact"/>
      </w:pPr>
    </w:p>
    <w:p w14:paraId="290EAD49">
      <w:pPr>
        <w:keepLines w:val="0"/>
        <w:pageBreakBefore w:val="0"/>
        <w:kinsoku/>
        <w:overflowPunct/>
        <w:topLinePunct w:val="0"/>
        <w:bidi w:val="0"/>
        <w:spacing w:line="400" w:lineRule="exact"/>
      </w:pPr>
    </w:p>
    <w:p w14:paraId="4E99D44C">
      <w:pPr>
        <w:keepLines w:val="0"/>
        <w:pageBreakBefore w:val="0"/>
        <w:kinsoku/>
        <w:overflowPunct/>
        <w:topLinePunct w:val="0"/>
        <w:bidi w:val="0"/>
        <w:spacing w:line="400" w:lineRule="exact"/>
      </w:pPr>
    </w:p>
    <w:p w14:paraId="40FBD9D7">
      <w:pPr>
        <w:keepLines w:val="0"/>
        <w:pageBreakBefore w:val="0"/>
        <w:kinsoku/>
        <w:overflowPunct/>
        <w:topLinePunct w:val="0"/>
        <w:bidi w:val="0"/>
        <w:spacing w:line="400" w:lineRule="exact"/>
      </w:pPr>
    </w:p>
    <w:p w14:paraId="4050BA99">
      <w:pPr>
        <w:keepLines w:val="0"/>
        <w:pageBreakBefore w:val="0"/>
        <w:kinsoku/>
        <w:overflowPunct/>
        <w:topLinePunct w:val="0"/>
        <w:bidi w:val="0"/>
        <w:spacing w:line="400" w:lineRule="exact"/>
      </w:pPr>
    </w:p>
    <w:p w14:paraId="2DEAFBE4">
      <w:pPr>
        <w:pStyle w:val="2"/>
        <w:keepLines w:val="0"/>
        <w:pageBreakBefore w:val="0"/>
        <w:kinsoku/>
        <w:overflowPunct/>
        <w:topLinePunct w:val="0"/>
        <w:bidi w:val="0"/>
        <w:spacing w:line="400" w:lineRule="exact"/>
      </w:pPr>
    </w:p>
    <w:p w14:paraId="703C6962">
      <w:pPr>
        <w:pStyle w:val="3"/>
        <w:keepLines w:val="0"/>
        <w:pageBreakBefore w:val="0"/>
        <w:kinsoku/>
        <w:overflowPunct/>
        <w:topLinePunct w:val="0"/>
        <w:bidi w:val="0"/>
        <w:spacing w:line="400" w:lineRule="exact"/>
      </w:pPr>
    </w:p>
    <w:p w14:paraId="342EF3DC">
      <w:pPr>
        <w:keepLines w:val="0"/>
        <w:pageBreakBefore w:val="0"/>
        <w:kinsoku/>
        <w:overflowPunct/>
        <w:topLinePunct w:val="0"/>
        <w:bidi w:val="0"/>
        <w:spacing w:line="400" w:lineRule="exact"/>
      </w:pPr>
    </w:p>
    <w:p w14:paraId="45FC5B15">
      <w:pPr>
        <w:pStyle w:val="2"/>
        <w:keepLines w:val="0"/>
        <w:pageBreakBefore w:val="0"/>
        <w:kinsoku/>
        <w:overflowPunct/>
        <w:topLinePunct w:val="0"/>
        <w:bidi w:val="0"/>
        <w:spacing w:line="400" w:lineRule="exact"/>
      </w:pPr>
    </w:p>
    <w:p w14:paraId="3BE68072">
      <w:pPr>
        <w:pStyle w:val="3"/>
        <w:keepLines w:val="0"/>
        <w:pageBreakBefore w:val="0"/>
        <w:kinsoku/>
        <w:overflowPunct/>
        <w:topLinePunct w:val="0"/>
        <w:bidi w:val="0"/>
        <w:spacing w:line="400" w:lineRule="exact"/>
      </w:pPr>
    </w:p>
    <w:p w14:paraId="14E010C9">
      <w:pPr>
        <w:keepLines w:val="0"/>
        <w:pageBreakBefore w:val="0"/>
        <w:kinsoku/>
        <w:overflowPunct/>
        <w:topLinePunct w:val="0"/>
        <w:bidi w:val="0"/>
        <w:spacing w:line="400" w:lineRule="exact"/>
      </w:pPr>
    </w:p>
    <w:p w14:paraId="75D933D3">
      <w:pPr>
        <w:pStyle w:val="2"/>
        <w:keepLines w:val="0"/>
        <w:pageBreakBefore w:val="0"/>
        <w:kinsoku/>
        <w:overflowPunct/>
        <w:topLinePunct w:val="0"/>
        <w:bidi w:val="0"/>
        <w:spacing w:line="400" w:lineRule="exact"/>
      </w:pPr>
    </w:p>
    <w:p w14:paraId="498223A4">
      <w:pPr>
        <w:pStyle w:val="2"/>
        <w:keepLines w:val="0"/>
        <w:pageBreakBefore w:val="0"/>
        <w:kinsoku/>
        <w:overflowPunct/>
        <w:topLinePunct w:val="0"/>
        <w:bidi w:val="0"/>
        <w:spacing w:line="400" w:lineRule="exact"/>
      </w:pPr>
    </w:p>
    <w:p w14:paraId="1EE403EB">
      <w:pPr>
        <w:keepLines w:val="0"/>
        <w:pageBreakBefore w:val="0"/>
        <w:kinsoku/>
        <w:overflowPunct/>
        <w:topLinePunct w:val="0"/>
        <w:bidi w:val="0"/>
        <w:spacing w:line="400" w:lineRule="exact"/>
        <w:rPr>
          <w:rFonts w:ascii="新宋体" w:hAnsi="新宋体" w:eastAsia="新宋体" w:cs="宋体"/>
          <w:b/>
          <w:bCs/>
          <w:kern w:val="0"/>
          <w:sz w:val="32"/>
          <w:szCs w:val="32"/>
        </w:rPr>
      </w:pPr>
    </w:p>
    <w:p w14:paraId="6378218B">
      <w:pPr>
        <w:keepLines w:val="0"/>
        <w:pageBreakBefore w:val="0"/>
        <w:kinsoku/>
        <w:overflowPunct/>
        <w:topLinePunct w:val="0"/>
        <w:bidi w:val="0"/>
        <w:spacing w:line="400" w:lineRule="exact"/>
        <w:jc w:val="left"/>
        <w:rPr>
          <w:sz w:val="24"/>
        </w:rPr>
      </w:pPr>
      <w:r>
        <w:rPr>
          <w:rFonts w:hint="eastAsia"/>
          <w:sz w:val="24"/>
        </w:rPr>
        <w:t>附件一</w:t>
      </w:r>
    </w:p>
    <w:p w14:paraId="4B454E5D">
      <w:pPr>
        <w:keepLines w:val="0"/>
        <w:pageBreakBefore w:val="0"/>
        <w:kinsoku/>
        <w:overflowPunct/>
        <w:topLinePunct w:val="0"/>
        <w:bidi w:val="0"/>
        <w:spacing w:line="400" w:lineRule="exact"/>
        <w:jc w:val="center"/>
        <w:outlineLvl w:val="3"/>
        <w:rPr>
          <w:rFonts w:ascii="宋体" w:hAnsi="宋体" w:cs="宋体"/>
          <w:bCs/>
          <w:szCs w:val="28"/>
          <w:lang w:val="zh-CN"/>
        </w:rPr>
      </w:pPr>
      <w:r>
        <w:rPr>
          <w:rFonts w:hint="eastAsia" w:ascii="宋体" w:hAnsi="宋体" w:cs="宋体"/>
          <w:b/>
          <w:bCs/>
          <w:sz w:val="28"/>
          <w:szCs w:val="28"/>
          <w:lang w:val="zh-CN"/>
        </w:rPr>
        <w:t>投标函</w:t>
      </w:r>
    </w:p>
    <w:p w14:paraId="575CBDD2">
      <w:pPr>
        <w:keepLines w:val="0"/>
        <w:pageBreakBefore w:val="0"/>
        <w:kinsoku/>
        <w:overflowPunct/>
        <w:topLinePunct w:val="0"/>
        <w:bidi w:val="0"/>
        <w:spacing w:line="400" w:lineRule="exact"/>
        <w:rPr>
          <w:rFonts w:ascii="宋体" w:hAnsi="宋体" w:cs="宋体"/>
          <w:sz w:val="22"/>
          <w:szCs w:val="22"/>
        </w:rPr>
      </w:pPr>
      <w:r>
        <w:rPr>
          <w:rFonts w:hint="eastAsia" w:ascii="宋体" w:hAnsi="宋体" w:cs="宋体"/>
          <w:sz w:val="22"/>
          <w:szCs w:val="22"/>
        </w:rPr>
        <w:t xml:space="preserve">             </w:t>
      </w:r>
    </w:p>
    <w:p w14:paraId="5FA93A76">
      <w:pPr>
        <w:keepLines w:val="0"/>
        <w:pageBreakBefore w:val="0"/>
        <w:kinsoku/>
        <w:overflowPunct/>
        <w:topLinePunct w:val="0"/>
        <w:bidi w:val="0"/>
        <w:spacing w:line="400" w:lineRule="exact"/>
        <w:rPr>
          <w:rFonts w:ascii="新宋体" w:hAnsi="新宋体" w:eastAsia="新宋体" w:cs="新宋体"/>
          <w:sz w:val="22"/>
          <w:szCs w:val="22"/>
        </w:rPr>
      </w:pPr>
      <w:r>
        <w:rPr>
          <w:rFonts w:hint="eastAsia" w:ascii="新宋体" w:hAnsi="新宋体" w:eastAsia="新宋体" w:cs="新宋体"/>
          <w:sz w:val="22"/>
          <w:szCs w:val="22"/>
        </w:rPr>
        <w:t>致：温州市第七人民医院</w:t>
      </w:r>
    </w:p>
    <w:p w14:paraId="2D448029">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根据贵方为</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项目的投标邀请，我方</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（投标人名称）作为投标人正式授权</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（授权代表全名，职务）代表我方处理有关本投标的一切事宜。</w:t>
      </w:r>
    </w:p>
    <w:p w14:paraId="367BFD1C">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在此提交的投标文件中，包括如下内容，并已分别单独密封装袋：</w:t>
      </w:r>
    </w:p>
    <w:p w14:paraId="64DD940C">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（—）按“招标内容及要求”要求编制的投标文件技术标【正本一份，副本三份】；</w:t>
      </w:r>
    </w:p>
    <w:p w14:paraId="726F27AE">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（二）按“招标内容及要求”要求编制的投标文件商务标【正本一份，副本三份】</w:t>
      </w:r>
    </w:p>
    <w:p w14:paraId="0E20EB94">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我方己完全明白招标文件的所有条款要求，并重申以下几点：</w:t>
      </w:r>
    </w:p>
    <w:p w14:paraId="5237F7E3">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（一）本投标文件的有效期自投标截止日起</w:t>
      </w:r>
      <w:r>
        <w:rPr>
          <w:rFonts w:hint="eastAsia" w:ascii="新宋体" w:hAnsi="新宋体" w:eastAsia="新宋体" w:cs="新宋体"/>
          <w:b/>
          <w:sz w:val="22"/>
          <w:szCs w:val="22"/>
          <w:lang w:val="en-US" w:eastAsia="zh-CN"/>
        </w:rPr>
        <w:t>9</w:t>
      </w:r>
      <w:r>
        <w:rPr>
          <w:rFonts w:hint="eastAsia" w:ascii="新宋体" w:hAnsi="新宋体" w:eastAsia="新宋体" w:cs="新宋体"/>
          <w:b/>
          <w:sz w:val="22"/>
          <w:szCs w:val="22"/>
        </w:rPr>
        <w:t>0天内</w:t>
      </w:r>
      <w:r>
        <w:rPr>
          <w:rFonts w:hint="eastAsia" w:ascii="新宋体" w:hAnsi="新宋体" w:eastAsia="新宋体" w:cs="新宋体"/>
          <w:sz w:val="22"/>
          <w:szCs w:val="22"/>
        </w:rPr>
        <w:t>有效，如中标，有效期将延至合同终止日为止；</w:t>
      </w:r>
    </w:p>
    <w:p w14:paraId="6FB0318B">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（二）我方已详细研究了招标文件的所有内容包括修改书（如有）和所有已提供的参考资料以及有关附件，我方完全理解并同意放弃在此方面提出含糊意见或误解的一切权力；</w:t>
      </w:r>
    </w:p>
    <w:p w14:paraId="10C194D8">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（三）我方同意提供按照贵方可能要求的与投标有关的一切数据或资料；</w:t>
      </w:r>
    </w:p>
    <w:p w14:paraId="2C67A299">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（四）我方理解贵方不一定接受最低报价。</w:t>
      </w:r>
    </w:p>
    <w:p w14:paraId="6873FE57">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（五）我方如果中标，将保证履行招标文件以及招标文件修改书（如有）中的全部责任和义务，按质、按量、按期完成《合同书》中的全部任务。</w:t>
      </w:r>
    </w:p>
    <w:p w14:paraId="7AD9C59E">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（六）所有与本投标有关的函件请发往下列地址：</w:t>
      </w:r>
    </w:p>
    <w:p w14:paraId="1C2421A8">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地址</w:t>
      </w:r>
      <w:r>
        <w:rPr>
          <w:rFonts w:hint="eastAsia" w:ascii="新宋体" w:hAnsi="新宋体" w:eastAsia="新宋体" w:cs="新宋体"/>
          <w:sz w:val="22"/>
          <w:szCs w:val="22"/>
          <w:u w:val="single"/>
        </w:rPr>
        <w:t xml:space="preserve">                           </w:t>
      </w:r>
    </w:p>
    <w:p w14:paraId="4D1B2C00">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电话</w:t>
      </w:r>
      <w:r>
        <w:rPr>
          <w:rFonts w:hint="eastAsia" w:ascii="新宋体" w:hAnsi="新宋体" w:eastAsia="新宋体" w:cs="新宋体"/>
          <w:sz w:val="22"/>
          <w:szCs w:val="22"/>
          <w:u w:val="single"/>
        </w:rPr>
        <w:t xml:space="preserve">                           </w:t>
      </w:r>
    </w:p>
    <w:p w14:paraId="455DB3A8">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传真</w:t>
      </w:r>
      <w:r>
        <w:rPr>
          <w:rFonts w:hint="eastAsia" w:ascii="新宋体" w:hAnsi="新宋体" w:eastAsia="新宋体" w:cs="新宋体"/>
          <w:sz w:val="22"/>
          <w:szCs w:val="22"/>
          <w:u w:val="single"/>
        </w:rPr>
        <w:t xml:space="preserve">                           </w:t>
      </w:r>
    </w:p>
    <w:p w14:paraId="6BFC4992">
      <w:pPr>
        <w:keepLines w:val="0"/>
        <w:pageBreakBefore w:val="0"/>
        <w:kinsoku/>
        <w:overflowPunct/>
        <w:topLinePunct w:val="0"/>
        <w:bidi w:val="0"/>
        <w:spacing w:line="40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电子邮件</w:t>
      </w:r>
      <w:r>
        <w:rPr>
          <w:rFonts w:hint="eastAsia" w:ascii="新宋体" w:hAnsi="新宋体" w:eastAsia="新宋体" w:cs="新宋体"/>
          <w:sz w:val="22"/>
          <w:szCs w:val="22"/>
          <w:u w:val="single"/>
        </w:rPr>
        <w:t xml:space="preserve">                       </w:t>
      </w:r>
    </w:p>
    <w:p w14:paraId="206221CC">
      <w:pPr>
        <w:keepLines w:val="0"/>
        <w:pageBreakBefore w:val="0"/>
        <w:kinsoku/>
        <w:overflowPunct/>
        <w:topLinePunct w:val="0"/>
        <w:bidi w:val="0"/>
        <w:spacing w:line="400" w:lineRule="exact"/>
        <w:ind w:firstLine="5720" w:firstLineChars="2600"/>
        <w:jc w:val="both"/>
        <w:rPr>
          <w:rFonts w:ascii="新宋体" w:hAnsi="新宋体" w:eastAsia="新宋体" w:cs="新宋体"/>
          <w:sz w:val="22"/>
          <w:szCs w:val="22"/>
        </w:rPr>
      </w:pPr>
      <w:r>
        <w:rPr>
          <w:rFonts w:hint="eastAsia" w:ascii="新宋体" w:hAnsi="新宋体" w:eastAsia="新宋体" w:cs="新宋体"/>
          <w:sz w:val="22"/>
          <w:szCs w:val="22"/>
        </w:rPr>
        <w:t>投标人名称（公章）</w:t>
      </w:r>
      <w:r>
        <w:rPr>
          <w:rFonts w:hint="eastAsia" w:ascii="新宋体" w:hAnsi="新宋体" w:eastAsia="新宋体" w:cs="新宋体"/>
          <w:sz w:val="22"/>
          <w:szCs w:val="22"/>
          <w:u w:val="single"/>
        </w:rPr>
        <w:t xml:space="preserve">                </w:t>
      </w:r>
    </w:p>
    <w:p w14:paraId="4AD566ED">
      <w:pPr>
        <w:keepLines w:val="0"/>
        <w:pageBreakBefore w:val="0"/>
        <w:kinsoku/>
        <w:overflowPunct/>
        <w:topLinePunct w:val="0"/>
        <w:bidi w:val="0"/>
        <w:spacing w:line="400" w:lineRule="exact"/>
        <w:ind w:firstLine="5728" w:firstLineChars="2604"/>
        <w:jc w:val="both"/>
        <w:rPr>
          <w:rFonts w:ascii="新宋体" w:hAnsi="新宋体" w:eastAsia="新宋体" w:cs="新宋体"/>
          <w:sz w:val="22"/>
          <w:szCs w:val="22"/>
        </w:rPr>
      </w:pPr>
      <w:r>
        <w:rPr>
          <w:rFonts w:hint="eastAsia" w:ascii="新宋体" w:hAnsi="新宋体" w:eastAsia="新宋体" w:cs="新宋体"/>
          <w:sz w:val="22"/>
          <w:szCs w:val="22"/>
        </w:rPr>
        <w:t>投标人代表</w:t>
      </w:r>
      <w:r>
        <w:rPr>
          <w:rFonts w:hint="eastAsia" w:ascii="新宋体" w:hAnsi="新宋体" w:eastAsia="新宋体" w:cs="新宋体"/>
          <w:sz w:val="22"/>
          <w:szCs w:val="22"/>
          <w:u w:val="single"/>
        </w:rPr>
        <w:t xml:space="preserve">                        </w:t>
      </w:r>
    </w:p>
    <w:p w14:paraId="015940AB">
      <w:pPr>
        <w:keepLines w:val="0"/>
        <w:pageBreakBefore w:val="0"/>
        <w:kinsoku/>
        <w:overflowPunct/>
        <w:topLinePunct w:val="0"/>
        <w:bidi w:val="0"/>
        <w:spacing w:line="400" w:lineRule="exact"/>
        <w:ind w:firstLine="5720" w:firstLineChars="2600"/>
        <w:jc w:val="both"/>
        <w:rPr>
          <w:rFonts w:ascii="新宋体" w:hAnsi="新宋体" w:eastAsia="新宋体" w:cs="新宋体"/>
          <w:sz w:val="22"/>
          <w:szCs w:val="22"/>
          <w:u w:val="single"/>
        </w:rPr>
      </w:pPr>
      <w:r>
        <w:rPr>
          <w:rFonts w:hint="eastAsia" w:ascii="新宋体" w:hAnsi="新宋体" w:eastAsia="新宋体" w:cs="新宋体"/>
          <w:sz w:val="22"/>
          <w:szCs w:val="22"/>
        </w:rPr>
        <w:t>日   期</w:t>
      </w:r>
      <w:r>
        <w:rPr>
          <w:rFonts w:hint="eastAsia" w:ascii="新宋体" w:hAnsi="新宋体" w:eastAsia="新宋体" w:cs="新宋体"/>
          <w:sz w:val="22"/>
          <w:szCs w:val="22"/>
          <w:u w:val="single"/>
        </w:rPr>
        <w:t xml:space="preserve">                           </w:t>
      </w:r>
    </w:p>
    <w:p w14:paraId="2419B18D">
      <w:pPr>
        <w:keepLines w:val="0"/>
        <w:pageBreakBefore w:val="0"/>
        <w:kinsoku/>
        <w:overflowPunct/>
        <w:topLinePunct w:val="0"/>
        <w:bidi w:val="0"/>
        <w:spacing w:line="400" w:lineRule="exact"/>
        <w:jc w:val="both"/>
        <w:outlineLvl w:val="1"/>
        <w:rPr>
          <w:rFonts w:ascii="新宋体" w:hAnsi="新宋体" w:eastAsia="新宋体"/>
          <w:b/>
          <w:bCs/>
          <w:sz w:val="22"/>
          <w:szCs w:val="22"/>
        </w:rPr>
      </w:pPr>
    </w:p>
    <w:p w14:paraId="2E8C3F31">
      <w:pPr>
        <w:keepLines w:val="0"/>
        <w:pageBreakBefore w:val="0"/>
        <w:kinsoku/>
        <w:overflowPunct/>
        <w:topLinePunct w:val="0"/>
        <w:bidi w:val="0"/>
        <w:spacing w:line="400" w:lineRule="exact"/>
        <w:rPr>
          <w:rFonts w:ascii="新宋体" w:hAnsi="新宋体" w:eastAsia="新宋体"/>
          <w:b/>
          <w:bCs/>
          <w:sz w:val="22"/>
          <w:szCs w:val="22"/>
        </w:rPr>
      </w:pPr>
      <w:r>
        <w:rPr>
          <w:rFonts w:hint="eastAsia" w:ascii="新宋体" w:hAnsi="新宋体" w:eastAsia="新宋体"/>
          <w:b/>
          <w:bCs/>
          <w:sz w:val="22"/>
          <w:szCs w:val="22"/>
        </w:rPr>
        <w:br w:type="page"/>
      </w:r>
    </w:p>
    <w:p w14:paraId="6A21726C">
      <w:pPr>
        <w:keepLines w:val="0"/>
        <w:pageBreakBefore w:val="0"/>
        <w:widowControl/>
        <w:kinsoku/>
        <w:overflowPunct/>
        <w:topLinePunct w:val="0"/>
        <w:bidi w:val="0"/>
        <w:spacing w:line="400" w:lineRule="exact"/>
        <w:jc w:val="left"/>
        <w:rPr>
          <w:sz w:val="24"/>
        </w:rPr>
      </w:pPr>
      <w:r>
        <w:rPr>
          <w:rFonts w:hint="eastAsia"/>
          <w:sz w:val="24"/>
        </w:rPr>
        <w:t>附件二：</w:t>
      </w:r>
    </w:p>
    <w:p w14:paraId="6C14A3AF">
      <w:pPr>
        <w:keepLines w:val="0"/>
        <w:pageBreakBefore w:val="0"/>
        <w:widowControl/>
        <w:kinsoku/>
        <w:overflowPunct/>
        <w:topLinePunct w:val="0"/>
        <w:bidi w:val="0"/>
        <w:spacing w:line="400" w:lineRule="exact"/>
        <w:jc w:val="center"/>
        <w:rPr>
          <w:b/>
          <w:sz w:val="36"/>
          <w:szCs w:val="36"/>
        </w:rPr>
      </w:pPr>
      <w:r>
        <w:rPr>
          <w:rFonts w:hint="eastAsia"/>
          <w:b/>
          <w:sz w:val="36"/>
          <w:szCs w:val="36"/>
        </w:rPr>
        <w:t>法定代表人授权书</w:t>
      </w:r>
    </w:p>
    <w:p w14:paraId="03EB596A">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温州市第七人民医院：</w:t>
      </w:r>
    </w:p>
    <w:p w14:paraId="1C72B594">
      <w:pPr>
        <w:keepLines w:val="0"/>
        <w:pageBreakBefore w:val="0"/>
        <w:kinsoku/>
        <w:overflowPunct/>
        <w:topLinePunct w:val="0"/>
        <w:bidi w:val="0"/>
        <w:spacing w:line="400" w:lineRule="exact"/>
        <w:ind w:firstLine="600" w:firstLineChars="250"/>
        <w:rPr>
          <w:rFonts w:ascii="新宋体" w:hAnsi="新宋体" w:eastAsia="新宋体"/>
          <w:sz w:val="24"/>
        </w:rPr>
      </w:pPr>
      <w:r>
        <w:rPr>
          <w:rFonts w:hint="eastAsia" w:ascii="新宋体" w:hAnsi="新宋体" w:eastAsia="新宋体"/>
          <w:sz w:val="24"/>
          <w:u w:val="single"/>
        </w:rPr>
        <w:t xml:space="preserve">             </w:t>
      </w:r>
      <w:r>
        <w:rPr>
          <w:rFonts w:hint="eastAsia" w:ascii="新宋体" w:hAnsi="新宋体" w:eastAsia="新宋体"/>
          <w:sz w:val="24"/>
        </w:rPr>
        <w:t>（投标人全称）法定代表人</w:t>
      </w:r>
      <w:r>
        <w:rPr>
          <w:rFonts w:hint="eastAsia" w:ascii="新宋体" w:hAnsi="新宋体" w:eastAsia="新宋体"/>
          <w:sz w:val="24"/>
          <w:u w:val="single"/>
        </w:rPr>
        <w:t xml:space="preserve">          （</w:t>
      </w:r>
      <w:r>
        <w:rPr>
          <w:rFonts w:hint="eastAsia" w:ascii="新宋体" w:hAnsi="新宋体" w:eastAsia="新宋体"/>
          <w:sz w:val="24"/>
        </w:rPr>
        <w:t>法定代表人姓名），身份证号：</w:t>
      </w:r>
      <w:r>
        <w:rPr>
          <w:rFonts w:hint="eastAsia" w:ascii="新宋体" w:hAnsi="新宋体" w:eastAsia="新宋体"/>
          <w:sz w:val="24"/>
          <w:u w:val="single"/>
        </w:rPr>
        <w:t xml:space="preserve">           </w:t>
      </w:r>
      <w:r>
        <w:rPr>
          <w:rFonts w:hint="eastAsia" w:ascii="新宋体" w:hAnsi="新宋体" w:eastAsia="新宋体"/>
          <w:sz w:val="24"/>
        </w:rPr>
        <w:t xml:space="preserve"> 授权</w:t>
      </w:r>
      <w:r>
        <w:rPr>
          <w:rFonts w:hint="eastAsia" w:ascii="新宋体" w:hAnsi="新宋体" w:eastAsia="新宋体"/>
          <w:sz w:val="24"/>
          <w:u w:val="single"/>
        </w:rPr>
        <w:t xml:space="preserve">         </w:t>
      </w:r>
      <w:r>
        <w:rPr>
          <w:rFonts w:hint="eastAsia" w:ascii="新宋体" w:hAnsi="新宋体" w:eastAsia="新宋体"/>
          <w:sz w:val="24"/>
        </w:rPr>
        <w:t>（全权代表姓名），身份证号：</w:t>
      </w:r>
      <w:r>
        <w:rPr>
          <w:rFonts w:hint="eastAsia" w:ascii="新宋体" w:hAnsi="新宋体" w:eastAsia="新宋体"/>
          <w:sz w:val="24"/>
          <w:u w:val="single"/>
        </w:rPr>
        <w:t xml:space="preserve">        </w:t>
      </w:r>
      <w:r>
        <w:rPr>
          <w:rFonts w:hint="eastAsia" w:ascii="新宋体" w:hAnsi="新宋体" w:eastAsia="新宋体"/>
          <w:sz w:val="24"/>
        </w:rPr>
        <w:t>为全权代表，参加贵单位组织的（</w:t>
      </w:r>
      <w:r>
        <w:rPr>
          <w:rFonts w:hint="eastAsia" w:ascii="新宋体" w:hAnsi="新宋体" w:eastAsia="新宋体"/>
          <w:sz w:val="24"/>
          <w:u w:val="single"/>
        </w:rPr>
        <w:t xml:space="preserve">                    </w:t>
      </w:r>
      <w:r>
        <w:rPr>
          <w:rFonts w:hint="eastAsia" w:ascii="新宋体" w:hAnsi="新宋体" w:eastAsia="新宋体"/>
          <w:sz w:val="24"/>
        </w:rPr>
        <w:t>项目名称）的比选采购活动，全权代表我方处理比选采购活动中的一切事宜。</w:t>
      </w:r>
    </w:p>
    <w:p w14:paraId="2004DBD5">
      <w:pPr>
        <w:keepLines w:val="0"/>
        <w:pageBreakBefore w:val="0"/>
        <w:kinsoku/>
        <w:overflowPunct/>
        <w:topLinePunct w:val="0"/>
        <w:bidi w:val="0"/>
        <w:spacing w:line="400" w:lineRule="exact"/>
        <w:ind w:firstLine="600" w:firstLineChars="250"/>
        <w:rPr>
          <w:rFonts w:ascii="新宋体" w:hAnsi="新宋体" w:eastAsia="新宋体"/>
          <w:sz w:val="24"/>
        </w:rPr>
      </w:pPr>
      <w:r>
        <w:rPr>
          <w:rFonts w:hint="eastAsia" w:ascii="新宋体" w:hAnsi="新宋体" w:eastAsia="新宋体"/>
          <w:sz w:val="24"/>
        </w:rPr>
        <w:t xml:space="preserve"> </w:t>
      </w:r>
    </w:p>
    <w:p w14:paraId="474BCBA5">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法定代表人(签字或盖章)：</w:t>
      </w:r>
    </w:p>
    <w:p w14:paraId="56E4A909">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投标人全称（公章）：</w:t>
      </w:r>
    </w:p>
    <w:p w14:paraId="4D9ADB52">
      <w:pPr>
        <w:keepLines w:val="0"/>
        <w:pageBreakBefore w:val="0"/>
        <w:widowControl/>
        <w:kinsoku/>
        <w:overflowPunct/>
        <w:topLinePunct w:val="0"/>
        <w:bidi w:val="0"/>
        <w:spacing w:line="400" w:lineRule="exact"/>
        <w:jc w:val="left"/>
        <w:rPr>
          <w:sz w:val="24"/>
        </w:rPr>
      </w:pPr>
      <w:r>
        <w:rPr>
          <w:rFonts w:hint="eastAsia" w:ascii="新宋体" w:hAnsi="新宋体" w:eastAsia="新宋体"/>
          <w:sz w:val="24"/>
        </w:rPr>
        <w:t>日   期：</w:t>
      </w:r>
    </w:p>
    <w:p w14:paraId="634E8F38">
      <w:pPr>
        <w:keepLines w:val="0"/>
        <w:pageBreakBefore w:val="0"/>
        <w:kinsoku/>
        <w:overflowPunct/>
        <w:topLinePunct w:val="0"/>
        <w:bidi w:val="0"/>
        <w:spacing w:line="400" w:lineRule="exact"/>
        <w:rPr>
          <w:rFonts w:ascii="新宋体" w:hAnsi="新宋体" w:eastAsia="新宋体"/>
          <w:sz w:val="24"/>
        </w:rPr>
      </w:pPr>
    </w:p>
    <w:p w14:paraId="4CF1525D">
      <w:pPr>
        <w:keepLines w:val="0"/>
        <w:pageBreakBefore w:val="0"/>
        <w:kinsoku/>
        <w:overflowPunct/>
        <w:topLinePunct w:val="0"/>
        <w:bidi w:val="0"/>
        <w:spacing w:line="400" w:lineRule="exact"/>
        <w:rPr>
          <w:rFonts w:ascii="新宋体" w:hAnsi="新宋体" w:eastAsia="新宋体"/>
          <w:sz w:val="24"/>
        </w:rPr>
      </w:pPr>
      <w:r>
        <w:rPr>
          <w:rFonts w:hint="eastAsia" w:ascii="新宋体" w:hAnsi="新宋体" w:eastAsia="新宋体"/>
          <w:sz w:val="24"/>
        </w:rPr>
        <w:t>法定代表人身份证复印件或扫描件（正反面）：</w:t>
      </w:r>
    </w:p>
    <w:p w14:paraId="58F42EF1">
      <w:pPr>
        <w:keepLines w:val="0"/>
        <w:pageBreakBefore w:val="0"/>
        <w:kinsoku/>
        <w:overflowPunct/>
        <w:topLinePunct w:val="0"/>
        <w:bidi w:val="0"/>
        <w:spacing w:line="400" w:lineRule="exact"/>
        <w:rPr>
          <w:rFonts w:ascii="新宋体" w:hAnsi="新宋体" w:eastAsia="新宋体"/>
          <w:sz w:val="24"/>
        </w:rPr>
      </w:pPr>
    </w:p>
    <w:p w14:paraId="32B8BEF7">
      <w:pPr>
        <w:keepLines w:val="0"/>
        <w:pageBreakBefore w:val="0"/>
        <w:kinsoku/>
        <w:overflowPunct/>
        <w:topLinePunct w:val="0"/>
        <w:bidi w:val="0"/>
        <w:spacing w:line="400" w:lineRule="exact"/>
        <w:rPr>
          <w:rFonts w:ascii="新宋体" w:hAnsi="新宋体" w:eastAsia="新宋体"/>
          <w:sz w:val="24"/>
        </w:rPr>
      </w:pPr>
    </w:p>
    <w:p w14:paraId="68172810">
      <w:pPr>
        <w:keepLines w:val="0"/>
        <w:pageBreakBefore w:val="0"/>
        <w:kinsoku/>
        <w:overflowPunct/>
        <w:topLinePunct w:val="0"/>
        <w:bidi w:val="0"/>
        <w:spacing w:line="400" w:lineRule="exact"/>
        <w:rPr>
          <w:rFonts w:ascii="新宋体" w:hAnsi="新宋体" w:eastAsia="新宋体"/>
          <w:sz w:val="24"/>
        </w:rPr>
      </w:pPr>
    </w:p>
    <w:p w14:paraId="11B80801">
      <w:pPr>
        <w:keepLines w:val="0"/>
        <w:pageBreakBefore w:val="0"/>
        <w:kinsoku/>
        <w:overflowPunct/>
        <w:topLinePunct w:val="0"/>
        <w:bidi w:val="0"/>
        <w:spacing w:line="400" w:lineRule="exact"/>
        <w:rPr>
          <w:rFonts w:ascii="新宋体" w:hAnsi="新宋体" w:eastAsia="新宋体"/>
          <w:sz w:val="24"/>
        </w:rPr>
      </w:pPr>
    </w:p>
    <w:p w14:paraId="3F8828E4">
      <w:pPr>
        <w:keepLines w:val="0"/>
        <w:pageBreakBefore w:val="0"/>
        <w:kinsoku/>
        <w:overflowPunct/>
        <w:topLinePunct w:val="0"/>
        <w:bidi w:val="0"/>
        <w:spacing w:line="400" w:lineRule="exact"/>
        <w:rPr>
          <w:rFonts w:ascii="新宋体" w:hAnsi="新宋体" w:eastAsia="新宋体"/>
          <w:sz w:val="24"/>
        </w:rPr>
      </w:pPr>
    </w:p>
    <w:p w14:paraId="1C470C51">
      <w:pPr>
        <w:keepLines w:val="0"/>
        <w:pageBreakBefore w:val="0"/>
        <w:kinsoku/>
        <w:overflowPunct/>
        <w:topLinePunct w:val="0"/>
        <w:bidi w:val="0"/>
        <w:spacing w:line="400" w:lineRule="exact"/>
        <w:rPr>
          <w:rFonts w:ascii="新宋体" w:hAnsi="新宋体" w:eastAsia="新宋体"/>
          <w:sz w:val="24"/>
        </w:rPr>
      </w:pPr>
    </w:p>
    <w:p w14:paraId="01BF2B41">
      <w:pPr>
        <w:keepLines w:val="0"/>
        <w:pageBreakBefore w:val="0"/>
        <w:kinsoku/>
        <w:overflowPunct/>
        <w:topLinePunct w:val="0"/>
        <w:bidi w:val="0"/>
        <w:spacing w:line="400" w:lineRule="exact"/>
        <w:rPr>
          <w:rFonts w:ascii="新宋体" w:hAnsi="新宋体" w:eastAsia="新宋体"/>
          <w:sz w:val="24"/>
        </w:rPr>
      </w:pPr>
    </w:p>
    <w:p w14:paraId="4BF4035D">
      <w:pPr>
        <w:keepLines w:val="0"/>
        <w:pageBreakBefore w:val="0"/>
        <w:kinsoku/>
        <w:overflowPunct/>
        <w:topLinePunct w:val="0"/>
        <w:bidi w:val="0"/>
        <w:spacing w:line="400" w:lineRule="exact"/>
        <w:rPr>
          <w:sz w:val="24"/>
        </w:rPr>
      </w:pPr>
      <w:r>
        <w:rPr>
          <w:rFonts w:hint="eastAsia" w:ascii="新宋体" w:hAnsi="新宋体" w:eastAsia="新宋体"/>
          <w:sz w:val="24"/>
        </w:rPr>
        <w:t>授权代表身份证复印件或扫描件（正反面）：</w:t>
      </w:r>
    </w:p>
    <w:p w14:paraId="1159542C">
      <w:pPr>
        <w:keepLines w:val="0"/>
        <w:pageBreakBefore w:val="0"/>
        <w:widowControl/>
        <w:kinsoku/>
        <w:overflowPunct/>
        <w:topLinePunct w:val="0"/>
        <w:bidi w:val="0"/>
        <w:spacing w:line="400" w:lineRule="exact"/>
        <w:jc w:val="left"/>
        <w:rPr>
          <w:sz w:val="24"/>
        </w:rPr>
      </w:pPr>
    </w:p>
    <w:p w14:paraId="4992C739">
      <w:pPr>
        <w:keepLines w:val="0"/>
        <w:pageBreakBefore w:val="0"/>
        <w:widowControl/>
        <w:kinsoku/>
        <w:overflowPunct/>
        <w:topLinePunct w:val="0"/>
        <w:bidi w:val="0"/>
        <w:spacing w:line="400" w:lineRule="exact"/>
        <w:jc w:val="left"/>
        <w:rPr>
          <w:sz w:val="24"/>
        </w:rPr>
      </w:pPr>
    </w:p>
    <w:p w14:paraId="614520F8">
      <w:pPr>
        <w:keepLines w:val="0"/>
        <w:pageBreakBefore w:val="0"/>
        <w:widowControl/>
        <w:kinsoku/>
        <w:overflowPunct/>
        <w:topLinePunct w:val="0"/>
        <w:bidi w:val="0"/>
        <w:spacing w:line="400" w:lineRule="exact"/>
        <w:jc w:val="left"/>
        <w:rPr>
          <w:sz w:val="24"/>
        </w:rPr>
      </w:pPr>
    </w:p>
    <w:p w14:paraId="556616A3">
      <w:pPr>
        <w:keepLines w:val="0"/>
        <w:pageBreakBefore w:val="0"/>
        <w:widowControl/>
        <w:kinsoku/>
        <w:overflowPunct/>
        <w:topLinePunct w:val="0"/>
        <w:bidi w:val="0"/>
        <w:spacing w:line="400" w:lineRule="exact"/>
        <w:jc w:val="left"/>
        <w:rPr>
          <w:sz w:val="24"/>
        </w:rPr>
      </w:pPr>
    </w:p>
    <w:p w14:paraId="485243D4">
      <w:pPr>
        <w:keepLines w:val="0"/>
        <w:pageBreakBefore w:val="0"/>
        <w:widowControl/>
        <w:kinsoku/>
        <w:overflowPunct/>
        <w:topLinePunct w:val="0"/>
        <w:bidi w:val="0"/>
        <w:spacing w:line="400" w:lineRule="exact"/>
        <w:jc w:val="left"/>
        <w:rPr>
          <w:sz w:val="24"/>
        </w:rPr>
      </w:pPr>
    </w:p>
    <w:p w14:paraId="57D93B1E">
      <w:pPr>
        <w:keepLines w:val="0"/>
        <w:pageBreakBefore w:val="0"/>
        <w:widowControl/>
        <w:kinsoku/>
        <w:overflowPunct/>
        <w:topLinePunct w:val="0"/>
        <w:bidi w:val="0"/>
        <w:spacing w:line="400" w:lineRule="exact"/>
        <w:jc w:val="left"/>
        <w:rPr>
          <w:sz w:val="24"/>
        </w:rPr>
      </w:pPr>
    </w:p>
    <w:p w14:paraId="6571D0D0">
      <w:pPr>
        <w:keepLines w:val="0"/>
        <w:pageBreakBefore w:val="0"/>
        <w:widowControl/>
        <w:kinsoku/>
        <w:overflowPunct/>
        <w:topLinePunct w:val="0"/>
        <w:bidi w:val="0"/>
        <w:spacing w:line="400" w:lineRule="exact"/>
        <w:jc w:val="left"/>
        <w:rPr>
          <w:sz w:val="24"/>
        </w:rPr>
      </w:pPr>
    </w:p>
    <w:p w14:paraId="4D987FDF">
      <w:pPr>
        <w:keepLines w:val="0"/>
        <w:pageBreakBefore w:val="0"/>
        <w:widowControl/>
        <w:kinsoku/>
        <w:overflowPunct/>
        <w:topLinePunct w:val="0"/>
        <w:bidi w:val="0"/>
        <w:spacing w:line="400" w:lineRule="exact"/>
        <w:jc w:val="left"/>
        <w:rPr>
          <w:sz w:val="24"/>
        </w:rPr>
      </w:pPr>
    </w:p>
    <w:p w14:paraId="35ADD191">
      <w:pPr>
        <w:keepLines w:val="0"/>
        <w:pageBreakBefore w:val="0"/>
        <w:widowControl/>
        <w:kinsoku/>
        <w:overflowPunct/>
        <w:topLinePunct w:val="0"/>
        <w:bidi w:val="0"/>
        <w:spacing w:line="400" w:lineRule="exact"/>
        <w:jc w:val="left"/>
        <w:rPr>
          <w:sz w:val="24"/>
        </w:rPr>
      </w:pPr>
      <w:r>
        <w:rPr>
          <w:sz w:val="24"/>
        </w:rPr>
        <w:br w:type="page"/>
      </w:r>
    </w:p>
    <w:p w14:paraId="3AC33400">
      <w:pPr>
        <w:keepLines w:val="0"/>
        <w:pageBreakBefore w:val="0"/>
        <w:kinsoku/>
        <w:overflowPunct/>
        <w:topLinePunct w:val="0"/>
        <w:bidi w:val="0"/>
        <w:spacing w:line="400" w:lineRule="exact"/>
        <w:jc w:val="center"/>
        <w:outlineLvl w:val="3"/>
        <w:rPr>
          <w:rFonts w:ascii="新宋体" w:hAnsi="新宋体" w:eastAsia="新宋体" w:cs="新宋体"/>
          <w:b/>
          <w:bCs/>
          <w:sz w:val="22"/>
          <w:szCs w:val="22"/>
        </w:rPr>
        <w:sectPr>
          <w:pgSz w:w="11907" w:h="16840"/>
          <w:pgMar w:top="1134" w:right="1134" w:bottom="1134" w:left="1134" w:header="851" w:footer="992" w:gutter="0"/>
          <w:pgNumType w:start="0"/>
          <w:cols w:space="720" w:num="1"/>
          <w:titlePg/>
          <w:docGrid w:linePitch="312" w:charSpace="0"/>
        </w:sectPr>
      </w:pPr>
    </w:p>
    <w:p w14:paraId="55FC64A7">
      <w:pPr>
        <w:keepLines w:val="0"/>
        <w:pageBreakBefore w:val="0"/>
        <w:kinsoku/>
        <w:overflowPunct/>
        <w:topLinePunct w:val="0"/>
        <w:bidi w:val="0"/>
        <w:adjustRightInd w:val="0"/>
        <w:spacing w:line="400" w:lineRule="exact"/>
        <w:rPr>
          <w:sz w:val="24"/>
        </w:rPr>
      </w:pPr>
      <w:r>
        <w:rPr>
          <w:rFonts w:hint="eastAsia"/>
          <w:sz w:val="24"/>
        </w:rPr>
        <w:t>附件三：</w:t>
      </w:r>
    </w:p>
    <w:p w14:paraId="53E1994C">
      <w:pPr>
        <w:keepLines w:val="0"/>
        <w:pageBreakBefore w:val="0"/>
        <w:kinsoku/>
        <w:overflowPunct/>
        <w:topLinePunct w:val="0"/>
        <w:bidi w:val="0"/>
        <w:adjustRightInd w:val="0"/>
        <w:snapToGrid w:val="0"/>
        <w:spacing w:line="400" w:lineRule="exact"/>
        <w:jc w:val="center"/>
        <w:rPr>
          <w:b/>
          <w:sz w:val="36"/>
          <w:szCs w:val="36"/>
        </w:rPr>
      </w:pPr>
      <w:r>
        <w:rPr>
          <w:b/>
          <w:sz w:val="36"/>
          <w:szCs w:val="36"/>
        </w:rPr>
        <w:t>采购要求响应表</w:t>
      </w:r>
    </w:p>
    <w:p w14:paraId="199B3F65">
      <w:pPr>
        <w:keepLines w:val="0"/>
        <w:pageBreakBefore w:val="0"/>
        <w:kinsoku/>
        <w:overflowPunct/>
        <w:topLinePunct w:val="0"/>
        <w:bidi w:val="0"/>
        <w:adjustRightInd w:val="0"/>
        <w:spacing w:line="400" w:lineRule="exact"/>
        <w:rPr>
          <w:spacing w:val="20"/>
          <w:sz w:val="24"/>
        </w:rPr>
      </w:pPr>
      <w:r>
        <w:rPr>
          <w:sz w:val="24"/>
        </w:rPr>
        <w:t>项目名称：</w:t>
      </w:r>
      <w:r>
        <w:rPr>
          <w:sz w:val="24"/>
          <w:u w:val="single"/>
        </w:rPr>
        <w:t xml:space="preserve">                        </w:t>
      </w:r>
    </w:p>
    <w:tbl>
      <w:tblPr>
        <w:tblStyle w:val="1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4F6AF2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4AB03C3C">
            <w:pPr>
              <w:keepLines w:val="0"/>
              <w:pageBreakBefore w:val="0"/>
              <w:kinsoku/>
              <w:overflowPunct/>
              <w:topLinePunct w:val="0"/>
              <w:bidi w:val="0"/>
              <w:adjustRightInd w:val="0"/>
              <w:spacing w:line="400" w:lineRule="exact"/>
              <w:jc w:val="center"/>
              <w:rPr>
                <w:sz w:val="24"/>
              </w:rPr>
            </w:pPr>
            <w:r>
              <w:rPr>
                <w:sz w:val="24"/>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3DDFBF4F">
            <w:pPr>
              <w:keepLines w:val="0"/>
              <w:pageBreakBefore w:val="0"/>
              <w:kinsoku/>
              <w:overflowPunct/>
              <w:topLinePunct w:val="0"/>
              <w:bidi w:val="0"/>
              <w:adjustRightInd w:val="0"/>
              <w:spacing w:line="400" w:lineRule="exact"/>
              <w:jc w:val="center"/>
              <w:rPr>
                <w:sz w:val="24"/>
              </w:rPr>
            </w:pPr>
            <w:r>
              <w:rPr>
                <w:rFonts w:hint="eastAsia"/>
                <w:sz w:val="24"/>
              </w:rPr>
              <w:t>比选</w:t>
            </w:r>
            <w:r>
              <w:rPr>
                <w:sz w:val="24"/>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71DE0440">
            <w:pPr>
              <w:keepLines w:val="0"/>
              <w:pageBreakBefore w:val="0"/>
              <w:kinsoku/>
              <w:overflowPunct/>
              <w:topLinePunct w:val="0"/>
              <w:bidi w:val="0"/>
              <w:adjustRightInd w:val="0"/>
              <w:spacing w:line="400" w:lineRule="exact"/>
              <w:jc w:val="center"/>
              <w:rPr>
                <w:sz w:val="24"/>
              </w:rPr>
            </w:pPr>
            <w:r>
              <w:rPr>
                <w:sz w:val="24"/>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379DAEC7">
            <w:pPr>
              <w:keepLines w:val="0"/>
              <w:pageBreakBefore w:val="0"/>
              <w:kinsoku/>
              <w:overflowPunct/>
              <w:topLinePunct w:val="0"/>
              <w:bidi w:val="0"/>
              <w:adjustRightInd w:val="0"/>
              <w:spacing w:line="400" w:lineRule="exact"/>
              <w:jc w:val="center"/>
              <w:rPr>
                <w:sz w:val="24"/>
              </w:rPr>
            </w:pPr>
            <w:r>
              <w:rPr>
                <w:sz w:val="24"/>
              </w:rPr>
              <w:t>偏离情况</w:t>
            </w:r>
          </w:p>
        </w:tc>
      </w:tr>
      <w:tr w14:paraId="0CBA3D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042D8F4">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52B2D793">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2493E38F">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0A602772">
            <w:pPr>
              <w:keepLines w:val="0"/>
              <w:pageBreakBefore w:val="0"/>
              <w:kinsoku/>
              <w:overflowPunct/>
              <w:topLinePunct w:val="0"/>
              <w:bidi w:val="0"/>
              <w:adjustRightInd w:val="0"/>
              <w:spacing w:line="400" w:lineRule="exact"/>
              <w:jc w:val="center"/>
              <w:rPr>
                <w:sz w:val="24"/>
              </w:rPr>
            </w:pPr>
          </w:p>
        </w:tc>
      </w:tr>
      <w:tr w14:paraId="65EA4F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43DB21">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4DCAE05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71F79181">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76E1A569">
            <w:pPr>
              <w:keepLines w:val="0"/>
              <w:pageBreakBefore w:val="0"/>
              <w:kinsoku/>
              <w:overflowPunct/>
              <w:topLinePunct w:val="0"/>
              <w:bidi w:val="0"/>
              <w:adjustRightInd w:val="0"/>
              <w:spacing w:line="400" w:lineRule="exact"/>
              <w:jc w:val="center"/>
              <w:rPr>
                <w:sz w:val="24"/>
              </w:rPr>
            </w:pPr>
          </w:p>
        </w:tc>
      </w:tr>
      <w:tr w14:paraId="640E30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48CD4239">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A777258">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64782DE5">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6C581BF5">
            <w:pPr>
              <w:keepLines w:val="0"/>
              <w:pageBreakBefore w:val="0"/>
              <w:kinsoku/>
              <w:overflowPunct/>
              <w:topLinePunct w:val="0"/>
              <w:bidi w:val="0"/>
              <w:adjustRightInd w:val="0"/>
              <w:spacing w:line="400" w:lineRule="exact"/>
              <w:jc w:val="center"/>
              <w:rPr>
                <w:sz w:val="24"/>
              </w:rPr>
            </w:pPr>
          </w:p>
        </w:tc>
      </w:tr>
      <w:tr w14:paraId="2AABBE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40BC827">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CCCE19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F74772A">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B003C96">
            <w:pPr>
              <w:keepLines w:val="0"/>
              <w:pageBreakBefore w:val="0"/>
              <w:kinsoku/>
              <w:overflowPunct/>
              <w:topLinePunct w:val="0"/>
              <w:bidi w:val="0"/>
              <w:adjustRightInd w:val="0"/>
              <w:spacing w:line="400" w:lineRule="exact"/>
              <w:jc w:val="center"/>
              <w:rPr>
                <w:sz w:val="24"/>
              </w:rPr>
            </w:pPr>
          </w:p>
        </w:tc>
      </w:tr>
      <w:tr w14:paraId="3A3792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EAF4F9B">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4482B0B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8B2591A">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4F5A5072">
            <w:pPr>
              <w:keepLines w:val="0"/>
              <w:pageBreakBefore w:val="0"/>
              <w:kinsoku/>
              <w:overflowPunct/>
              <w:topLinePunct w:val="0"/>
              <w:bidi w:val="0"/>
              <w:adjustRightInd w:val="0"/>
              <w:spacing w:line="400" w:lineRule="exact"/>
              <w:jc w:val="center"/>
              <w:rPr>
                <w:sz w:val="24"/>
              </w:rPr>
            </w:pPr>
          </w:p>
        </w:tc>
      </w:tr>
      <w:tr w14:paraId="2FC175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A293F8">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57C63642">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4A8F6B61">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08B8594">
            <w:pPr>
              <w:keepLines w:val="0"/>
              <w:pageBreakBefore w:val="0"/>
              <w:kinsoku/>
              <w:overflowPunct/>
              <w:topLinePunct w:val="0"/>
              <w:bidi w:val="0"/>
              <w:adjustRightInd w:val="0"/>
              <w:spacing w:line="400" w:lineRule="exact"/>
              <w:jc w:val="center"/>
              <w:rPr>
                <w:sz w:val="24"/>
              </w:rPr>
            </w:pPr>
          </w:p>
        </w:tc>
      </w:tr>
      <w:tr w14:paraId="064736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B5574">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6B96884F">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1B3A290A">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5D95B4B">
            <w:pPr>
              <w:keepLines w:val="0"/>
              <w:pageBreakBefore w:val="0"/>
              <w:kinsoku/>
              <w:overflowPunct/>
              <w:topLinePunct w:val="0"/>
              <w:bidi w:val="0"/>
              <w:adjustRightInd w:val="0"/>
              <w:spacing w:line="400" w:lineRule="exact"/>
              <w:jc w:val="center"/>
              <w:rPr>
                <w:sz w:val="24"/>
              </w:rPr>
            </w:pPr>
          </w:p>
        </w:tc>
      </w:tr>
      <w:tr w14:paraId="4EFCD4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58F2DB7">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8890CDC">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7E84C614">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2F91A5B5">
            <w:pPr>
              <w:keepLines w:val="0"/>
              <w:pageBreakBefore w:val="0"/>
              <w:kinsoku/>
              <w:overflowPunct/>
              <w:topLinePunct w:val="0"/>
              <w:bidi w:val="0"/>
              <w:adjustRightInd w:val="0"/>
              <w:spacing w:line="400" w:lineRule="exact"/>
              <w:jc w:val="center"/>
              <w:rPr>
                <w:sz w:val="24"/>
              </w:rPr>
            </w:pPr>
          </w:p>
        </w:tc>
      </w:tr>
      <w:tr w14:paraId="0B2D94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5EB5200">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0D49BB7D">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0956640F">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ED18C0B">
            <w:pPr>
              <w:keepLines w:val="0"/>
              <w:pageBreakBefore w:val="0"/>
              <w:kinsoku/>
              <w:overflowPunct/>
              <w:topLinePunct w:val="0"/>
              <w:bidi w:val="0"/>
              <w:adjustRightInd w:val="0"/>
              <w:spacing w:line="400" w:lineRule="exact"/>
              <w:jc w:val="center"/>
              <w:rPr>
                <w:sz w:val="24"/>
              </w:rPr>
            </w:pPr>
          </w:p>
        </w:tc>
      </w:tr>
      <w:tr w14:paraId="6F8499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CA78947">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32F903B">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473DDF72">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0CCD0018">
            <w:pPr>
              <w:keepLines w:val="0"/>
              <w:pageBreakBefore w:val="0"/>
              <w:kinsoku/>
              <w:overflowPunct/>
              <w:topLinePunct w:val="0"/>
              <w:bidi w:val="0"/>
              <w:adjustRightInd w:val="0"/>
              <w:spacing w:line="400" w:lineRule="exact"/>
              <w:jc w:val="center"/>
              <w:rPr>
                <w:sz w:val="24"/>
              </w:rPr>
            </w:pPr>
          </w:p>
        </w:tc>
      </w:tr>
      <w:tr w14:paraId="0B4E86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F0CED36">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7ACA2A06">
            <w:pPr>
              <w:keepLines w:val="0"/>
              <w:pageBreakBefore w:val="0"/>
              <w:kinsoku/>
              <w:overflowPunct/>
              <w:topLinePunct w:val="0"/>
              <w:bidi w:val="0"/>
              <w:adjustRightInd w:val="0"/>
              <w:spacing w:line="400" w:lineRule="exact"/>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697024EC">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98F98E0">
            <w:pPr>
              <w:keepLines w:val="0"/>
              <w:pageBreakBefore w:val="0"/>
              <w:kinsoku/>
              <w:overflowPunct/>
              <w:topLinePunct w:val="0"/>
              <w:bidi w:val="0"/>
              <w:adjustRightInd w:val="0"/>
              <w:spacing w:line="400" w:lineRule="exact"/>
              <w:jc w:val="center"/>
              <w:rPr>
                <w:sz w:val="24"/>
              </w:rPr>
            </w:pPr>
          </w:p>
        </w:tc>
      </w:tr>
      <w:tr w14:paraId="2A20E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E2C72BB">
            <w:pPr>
              <w:keepLines w:val="0"/>
              <w:pageBreakBefore w:val="0"/>
              <w:kinsoku/>
              <w:overflowPunct/>
              <w:topLinePunct w:val="0"/>
              <w:bidi w:val="0"/>
              <w:adjustRightInd w:val="0"/>
              <w:spacing w:line="400" w:lineRule="exact"/>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003A87A2">
            <w:pPr>
              <w:keepLines w:val="0"/>
              <w:pageBreakBefore w:val="0"/>
              <w:kinsoku/>
              <w:overflowPunct/>
              <w:topLinePunct w:val="0"/>
              <w:bidi w:val="0"/>
              <w:adjustRightInd w:val="0"/>
              <w:spacing w:line="400" w:lineRule="exact"/>
              <w:jc w:val="center"/>
              <w:rPr>
                <w:sz w:val="24"/>
              </w:rPr>
            </w:pPr>
            <w:r>
              <w:rPr>
                <w:sz w:val="24"/>
              </w:rPr>
              <w:t>...</w:t>
            </w:r>
          </w:p>
        </w:tc>
        <w:tc>
          <w:tcPr>
            <w:tcW w:w="3539" w:type="dxa"/>
            <w:tcBorders>
              <w:top w:val="single" w:color="auto" w:sz="4" w:space="0"/>
              <w:left w:val="single" w:color="auto" w:sz="4" w:space="0"/>
              <w:bottom w:val="single" w:color="auto" w:sz="4" w:space="0"/>
              <w:right w:val="single" w:color="auto" w:sz="4" w:space="0"/>
            </w:tcBorders>
            <w:vAlign w:val="center"/>
          </w:tcPr>
          <w:p w14:paraId="54286295">
            <w:pPr>
              <w:keepLines w:val="0"/>
              <w:pageBreakBefore w:val="0"/>
              <w:kinsoku/>
              <w:overflowPunct/>
              <w:topLinePunct w:val="0"/>
              <w:bidi w:val="0"/>
              <w:adjustRightInd w:val="0"/>
              <w:spacing w:line="400" w:lineRule="exact"/>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5B04D1F2">
            <w:pPr>
              <w:keepLines w:val="0"/>
              <w:pageBreakBefore w:val="0"/>
              <w:kinsoku/>
              <w:overflowPunct/>
              <w:topLinePunct w:val="0"/>
              <w:bidi w:val="0"/>
              <w:adjustRightInd w:val="0"/>
              <w:spacing w:line="400" w:lineRule="exact"/>
              <w:jc w:val="center"/>
              <w:rPr>
                <w:sz w:val="24"/>
              </w:rPr>
            </w:pPr>
          </w:p>
        </w:tc>
      </w:tr>
    </w:tbl>
    <w:p w14:paraId="340CE836">
      <w:pPr>
        <w:keepLines w:val="0"/>
        <w:pageBreakBefore w:val="0"/>
        <w:kinsoku/>
        <w:overflowPunct/>
        <w:topLinePunct w:val="0"/>
        <w:bidi w:val="0"/>
        <w:adjustRightInd w:val="0"/>
        <w:snapToGrid w:val="0"/>
        <w:spacing w:before="50" w:after="50" w:line="400" w:lineRule="exact"/>
        <w:rPr>
          <w:b/>
          <w:bCs/>
          <w:sz w:val="24"/>
        </w:rPr>
      </w:pPr>
      <w:r>
        <w:rPr>
          <w:b/>
          <w:bCs/>
          <w:sz w:val="24"/>
        </w:rPr>
        <w:t>注：</w:t>
      </w:r>
    </w:p>
    <w:p w14:paraId="7ACAD72C">
      <w:pPr>
        <w:keepLines w:val="0"/>
        <w:pageBreakBefore w:val="0"/>
        <w:numPr>
          <w:ilvl w:val="1"/>
          <w:numId w:val="4"/>
        </w:numPr>
        <w:tabs>
          <w:tab w:val="left" w:pos="540"/>
        </w:tabs>
        <w:kinsoku/>
        <w:overflowPunct/>
        <w:topLinePunct w:val="0"/>
        <w:bidi w:val="0"/>
        <w:adjustRightInd w:val="0"/>
        <w:snapToGrid w:val="0"/>
        <w:spacing w:before="50" w:after="50" w:line="400" w:lineRule="exact"/>
        <w:ind w:left="540" w:hanging="540"/>
        <w:rPr>
          <w:b/>
          <w:bCs/>
          <w:sz w:val="24"/>
        </w:rPr>
      </w:pPr>
      <w:r>
        <w:rPr>
          <w:b/>
          <w:bCs/>
          <w:sz w:val="24"/>
        </w:rPr>
        <w:t>投标人应根据投标设备的性能指标、对照</w:t>
      </w:r>
      <w:r>
        <w:rPr>
          <w:rFonts w:hint="eastAsia"/>
          <w:b/>
          <w:bCs/>
          <w:sz w:val="24"/>
        </w:rPr>
        <w:t>比选</w:t>
      </w:r>
      <w:r>
        <w:rPr>
          <w:b/>
          <w:bCs/>
          <w:sz w:val="24"/>
        </w:rPr>
        <w:t>文件要求一一对应如实填写技术响应表，在“偏离情况”栏注明“正偏离”、“负偏离”或“无偏离”。未按要求填写的，有可能作负偏离处理。</w:t>
      </w:r>
    </w:p>
    <w:p w14:paraId="71182444">
      <w:pPr>
        <w:keepLines w:val="0"/>
        <w:pageBreakBefore w:val="0"/>
        <w:kinsoku/>
        <w:overflowPunct/>
        <w:topLinePunct w:val="0"/>
        <w:bidi w:val="0"/>
        <w:adjustRightInd w:val="0"/>
        <w:snapToGrid w:val="0"/>
        <w:spacing w:before="50" w:after="50" w:line="400" w:lineRule="exact"/>
        <w:rPr>
          <w:b/>
          <w:bCs/>
          <w:sz w:val="24"/>
        </w:rPr>
      </w:pPr>
    </w:p>
    <w:p w14:paraId="166D2B88">
      <w:pPr>
        <w:keepLines w:val="0"/>
        <w:pageBreakBefore w:val="0"/>
        <w:kinsoku/>
        <w:overflowPunct/>
        <w:topLinePunct w:val="0"/>
        <w:bidi w:val="0"/>
        <w:adjustRightInd w:val="0"/>
        <w:snapToGrid w:val="0"/>
        <w:spacing w:before="50" w:after="50" w:line="400" w:lineRule="exact"/>
        <w:rPr>
          <w:b/>
          <w:bCs/>
          <w:sz w:val="24"/>
        </w:rPr>
      </w:pPr>
    </w:p>
    <w:p w14:paraId="1D6FC503">
      <w:pPr>
        <w:keepLines w:val="0"/>
        <w:pageBreakBefore w:val="0"/>
        <w:kinsoku/>
        <w:overflowPunct/>
        <w:topLinePunct w:val="0"/>
        <w:bidi w:val="0"/>
        <w:adjustRightInd w:val="0"/>
        <w:snapToGrid w:val="0"/>
        <w:spacing w:before="50" w:after="156" w:afterLines="50" w:line="400" w:lineRule="exact"/>
        <w:jc w:val="left"/>
        <w:rPr>
          <w:sz w:val="24"/>
        </w:rPr>
      </w:pPr>
      <w:r>
        <w:rPr>
          <w:b/>
          <w:bCs/>
          <w:sz w:val="24"/>
        </w:rPr>
        <w:t>投标人签章：</w:t>
      </w:r>
      <w:r>
        <w:rPr>
          <w:spacing w:val="20"/>
          <w:sz w:val="24"/>
          <w:u w:val="single"/>
        </w:rPr>
        <w:t xml:space="preserve">            </w:t>
      </w:r>
      <w:r>
        <w:rPr>
          <w:spacing w:val="20"/>
          <w:sz w:val="24"/>
        </w:rPr>
        <w:t xml:space="preserve">              </w:t>
      </w:r>
      <w:r>
        <w:rPr>
          <w:b/>
          <w:bCs/>
          <w:sz w:val="24"/>
        </w:rPr>
        <w:t>日 期：</w:t>
      </w:r>
      <w:r>
        <w:rPr>
          <w:spacing w:val="20"/>
          <w:sz w:val="24"/>
          <w:u w:val="single"/>
        </w:rPr>
        <w:t xml:space="preserve">          </w:t>
      </w:r>
    </w:p>
    <w:p w14:paraId="7B39A7C3">
      <w:pPr>
        <w:keepLines w:val="0"/>
        <w:pageBreakBefore w:val="0"/>
        <w:kinsoku/>
        <w:overflowPunct/>
        <w:topLinePunct w:val="0"/>
        <w:bidi w:val="0"/>
        <w:spacing w:line="400" w:lineRule="exact"/>
        <w:rPr>
          <w:sz w:val="24"/>
        </w:rPr>
      </w:pPr>
    </w:p>
    <w:p w14:paraId="23A6CC03">
      <w:pPr>
        <w:keepLines w:val="0"/>
        <w:pageBreakBefore w:val="0"/>
        <w:kinsoku/>
        <w:overflowPunct/>
        <w:topLinePunct w:val="0"/>
        <w:bidi w:val="0"/>
        <w:spacing w:line="400" w:lineRule="exact"/>
        <w:rPr>
          <w:rFonts w:ascii="新宋体" w:hAnsi="新宋体" w:eastAsia="新宋体"/>
          <w:b/>
          <w:bCs/>
          <w:sz w:val="22"/>
          <w:szCs w:val="22"/>
        </w:rPr>
      </w:pPr>
      <w:r>
        <w:rPr>
          <w:rFonts w:hint="eastAsia" w:ascii="新宋体" w:hAnsi="新宋体" w:eastAsia="新宋体"/>
          <w:b/>
          <w:bCs/>
          <w:sz w:val="22"/>
          <w:szCs w:val="22"/>
        </w:rPr>
        <w:br w:type="page"/>
      </w:r>
    </w:p>
    <w:p w14:paraId="0630150E">
      <w:pPr>
        <w:keepLines w:val="0"/>
        <w:pageBreakBefore w:val="0"/>
        <w:kinsoku/>
        <w:overflowPunct/>
        <w:topLinePunct w:val="0"/>
        <w:bidi w:val="0"/>
        <w:spacing w:line="400" w:lineRule="exact"/>
        <w:outlineLvl w:val="1"/>
        <w:rPr>
          <w:rFonts w:ascii="新宋体" w:hAnsi="新宋体" w:eastAsia="新宋体"/>
          <w:b/>
          <w:bCs/>
          <w:sz w:val="22"/>
          <w:szCs w:val="22"/>
        </w:rPr>
      </w:pPr>
    </w:p>
    <w:p w14:paraId="1826FBE5">
      <w:pPr>
        <w:keepLines w:val="0"/>
        <w:pageBreakBefore w:val="0"/>
        <w:kinsoku/>
        <w:overflowPunct/>
        <w:topLinePunct w:val="0"/>
        <w:bidi w:val="0"/>
        <w:spacing w:line="400" w:lineRule="exact"/>
        <w:jc w:val="left"/>
        <w:rPr>
          <w:rFonts w:ascii="宋体" w:hAnsi="宋体" w:cs="Courier New"/>
          <w:b/>
          <w:bCs/>
          <w:sz w:val="24"/>
        </w:rPr>
      </w:pPr>
      <w:r>
        <w:rPr>
          <w:rFonts w:hint="eastAsia" w:ascii="宋体" w:hAnsi="宋体" w:cs="Courier New"/>
          <w:bCs/>
          <w:sz w:val="24"/>
        </w:rPr>
        <w:t>附件</w:t>
      </w:r>
      <w:r>
        <w:rPr>
          <w:rFonts w:hint="eastAsia" w:ascii="宋体" w:hAnsi="宋体" w:cs="Courier New"/>
          <w:bCs/>
          <w:sz w:val="24"/>
          <w:lang w:eastAsia="zh-CN"/>
        </w:rPr>
        <w:t>四</w:t>
      </w:r>
      <w:r>
        <w:rPr>
          <w:rFonts w:hint="eastAsia" w:ascii="宋体" w:hAnsi="宋体" w:cs="Courier New"/>
          <w:bCs/>
          <w:sz w:val="24"/>
        </w:rPr>
        <w:t>：</w:t>
      </w:r>
    </w:p>
    <w:p w14:paraId="6631717A">
      <w:pPr>
        <w:keepLines w:val="0"/>
        <w:pageBreakBefore w:val="0"/>
        <w:kinsoku/>
        <w:overflowPunct/>
        <w:topLinePunct w:val="0"/>
        <w:bidi w:val="0"/>
        <w:spacing w:line="400" w:lineRule="exact"/>
        <w:jc w:val="center"/>
        <w:rPr>
          <w:rFonts w:ascii="宋体" w:hAnsi="宋体" w:cs="Courier New"/>
          <w:b/>
          <w:bCs/>
          <w:sz w:val="36"/>
          <w:szCs w:val="36"/>
        </w:rPr>
      </w:pPr>
      <w:r>
        <w:rPr>
          <w:rFonts w:hint="eastAsia" w:ascii="宋体" w:hAnsi="宋体" w:cs="Courier New"/>
          <w:b/>
          <w:bCs/>
          <w:sz w:val="36"/>
          <w:szCs w:val="36"/>
        </w:rPr>
        <w:t>投标报价单</w:t>
      </w:r>
    </w:p>
    <w:p w14:paraId="7FA68CC2">
      <w:pPr>
        <w:keepLines w:val="0"/>
        <w:pageBreakBefore w:val="0"/>
        <w:kinsoku/>
        <w:overflowPunct/>
        <w:topLinePunct w:val="0"/>
        <w:bidi w:val="0"/>
        <w:spacing w:line="400" w:lineRule="exact"/>
        <w:rPr>
          <w:rFonts w:ascii="宋体" w:hAnsi="宋体"/>
          <w:b/>
          <w:bCs/>
          <w:sz w:val="24"/>
        </w:rPr>
      </w:pPr>
      <w:r>
        <w:rPr>
          <w:rFonts w:hint="eastAsia" w:ascii="宋体" w:hAnsi="宋体" w:cs="Arial"/>
          <w:sz w:val="24"/>
        </w:rPr>
        <w:t>项目名称</w:t>
      </w:r>
      <w:r>
        <w:rPr>
          <w:rFonts w:ascii="宋体" w:hAnsi="宋体" w:cs="Arial"/>
          <w:sz w:val="24"/>
        </w:rPr>
        <w:t xml:space="preserve">：   </w:t>
      </w:r>
      <w:r>
        <w:rPr>
          <w:rFonts w:ascii="宋体" w:hAnsi="宋体" w:cs="Arial"/>
          <w:bCs/>
          <w:sz w:val="24"/>
        </w:rPr>
        <w:t xml:space="preserve">        </w:t>
      </w:r>
      <w:r>
        <w:rPr>
          <w:rFonts w:hint="eastAsia" w:ascii="宋体" w:hAnsi="宋体" w:cs="Arial"/>
          <w:sz w:val="24"/>
        </w:rPr>
        <w:t xml:space="preserve">                  </w:t>
      </w:r>
      <w:r>
        <w:rPr>
          <w:rFonts w:ascii="宋体" w:hAnsi="宋体" w:cs="Arial"/>
          <w:sz w:val="24"/>
        </w:rPr>
        <w:t>（价格单位：人民币元）</w:t>
      </w:r>
    </w:p>
    <w:tbl>
      <w:tblPr>
        <w:tblStyle w:val="17"/>
        <w:tblpPr w:leftFromText="180" w:rightFromText="180" w:vertAnchor="text" w:horzAnchor="page" w:tblpX="1212" w:tblpY="133"/>
        <w:tblOverlap w:val="never"/>
        <w:tblW w:w="9583"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787"/>
        <w:gridCol w:w="1525"/>
        <w:gridCol w:w="1491"/>
        <w:gridCol w:w="2708"/>
        <w:gridCol w:w="1555"/>
      </w:tblGrid>
      <w:tr w14:paraId="1557F29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09C46958">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序号</w:t>
            </w:r>
          </w:p>
        </w:tc>
        <w:tc>
          <w:tcPr>
            <w:tcW w:w="1787" w:type="dxa"/>
            <w:vAlign w:val="center"/>
          </w:tcPr>
          <w:p w14:paraId="34D45E8A">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项目内容</w:t>
            </w:r>
          </w:p>
        </w:tc>
        <w:tc>
          <w:tcPr>
            <w:tcW w:w="1525" w:type="dxa"/>
            <w:vAlign w:val="center"/>
          </w:tcPr>
          <w:p w14:paraId="069A661C">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数量</w:t>
            </w:r>
          </w:p>
        </w:tc>
        <w:tc>
          <w:tcPr>
            <w:tcW w:w="1491" w:type="dxa"/>
            <w:vAlign w:val="center"/>
          </w:tcPr>
          <w:p w14:paraId="2662A922">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单价</w:t>
            </w:r>
          </w:p>
        </w:tc>
        <w:tc>
          <w:tcPr>
            <w:tcW w:w="2708" w:type="dxa"/>
            <w:vAlign w:val="center"/>
          </w:tcPr>
          <w:p w14:paraId="7E912241">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金额</w:t>
            </w:r>
          </w:p>
        </w:tc>
        <w:tc>
          <w:tcPr>
            <w:tcW w:w="1555" w:type="dxa"/>
            <w:vAlign w:val="center"/>
          </w:tcPr>
          <w:p w14:paraId="6F71805C">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备注</w:t>
            </w:r>
          </w:p>
        </w:tc>
      </w:tr>
      <w:tr w14:paraId="7E428FA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A3FB581">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1</w:t>
            </w:r>
          </w:p>
        </w:tc>
        <w:tc>
          <w:tcPr>
            <w:tcW w:w="1787" w:type="dxa"/>
            <w:vAlign w:val="center"/>
          </w:tcPr>
          <w:p w14:paraId="1E5D5AC3">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349F823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0B0DF03A">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17326162">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6906261E">
            <w:pPr>
              <w:keepLines w:val="0"/>
              <w:pageBreakBefore w:val="0"/>
              <w:kinsoku/>
              <w:overflowPunct/>
              <w:topLinePunct w:val="0"/>
              <w:bidi w:val="0"/>
              <w:spacing w:line="400" w:lineRule="exact"/>
              <w:rPr>
                <w:rFonts w:ascii="宋体" w:hAnsi="宋体" w:cs="hakuyoxingshu7000"/>
                <w:b/>
                <w:bCs/>
                <w:sz w:val="24"/>
              </w:rPr>
            </w:pPr>
          </w:p>
        </w:tc>
      </w:tr>
      <w:tr w14:paraId="056D136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71C11FC0">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2</w:t>
            </w:r>
          </w:p>
        </w:tc>
        <w:tc>
          <w:tcPr>
            <w:tcW w:w="1787" w:type="dxa"/>
            <w:vAlign w:val="center"/>
          </w:tcPr>
          <w:p w14:paraId="7E073167">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54461E4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72D4959D">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5DFBECEE">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12C2DDF2">
            <w:pPr>
              <w:keepLines w:val="0"/>
              <w:pageBreakBefore w:val="0"/>
              <w:kinsoku/>
              <w:overflowPunct/>
              <w:topLinePunct w:val="0"/>
              <w:bidi w:val="0"/>
              <w:spacing w:line="400" w:lineRule="exact"/>
              <w:rPr>
                <w:rFonts w:ascii="宋体" w:hAnsi="宋体" w:cs="hakuyoxingshu7000"/>
                <w:b/>
                <w:bCs/>
                <w:sz w:val="24"/>
              </w:rPr>
            </w:pPr>
          </w:p>
        </w:tc>
      </w:tr>
      <w:tr w14:paraId="425F654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7B4B8900">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3</w:t>
            </w:r>
          </w:p>
        </w:tc>
        <w:tc>
          <w:tcPr>
            <w:tcW w:w="1787" w:type="dxa"/>
            <w:vAlign w:val="center"/>
          </w:tcPr>
          <w:p w14:paraId="411DB8E4">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515593E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7B9BFDCE">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39D3F764">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429ACEBD">
            <w:pPr>
              <w:keepLines w:val="0"/>
              <w:pageBreakBefore w:val="0"/>
              <w:kinsoku/>
              <w:overflowPunct/>
              <w:topLinePunct w:val="0"/>
              <w:bidi w:val="0"/>
              <w:spacing w:line="400" w:lineRule="exact"/>
              <w:rPr>
                <w:rFonts w:ascii="宋体" w:hAnsi="宋体" w:cs="hakuyoxingshu7000"/>
                <w:b/>
                <w:bCs/>
                <w:sz w:val="24"/>
              </w:rPr>
            </w:pPr>
          </w:p>
        </w:tc>
      </w:tr>
      <w:tr w14:paraId="6640B2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1E0EB060">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4</w:t>
            </w:r>
          </w:p>
        </w:tc>
        <w:tc>
          <w:tcPr>
            <w:tcW w:w="1787" w:type="dxa"/>
            <w:vAlign w:val="center"/>
          </w:tcPr>
          <w:p w14:paraId="141B683B">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48A1A246">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0435598A">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0F7BCE96">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6E81F066">
            <w:pPr>
              <w:keepLines w:val="0"/>
              <w:pageBreakBefore w:val="0"/>
              <w:kinsoku/>
              <w:overflowPunct/>
              <w:topLinePunct w:val="0"/>
              <w:bidi w:val="0"/>
              <w:spacing w:line="400" w:lineRule="exact"/>
              <w:rPr>
                <w:rFonts w:ascii="宋体" w:hAnsi="宋体" w:cs="hakuyoxingshu7000"/>
                <w:b/>
                <w:bCs/>
                <w:sz w:val="24"/>
              </w:rPr>
            </w:pPr>
          </w:p>
        </w:tc>
      </w:tr>
      <w:tr w14:paraId="4AB187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62CF11">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5</w:t>
            </w:r>
          </w:p>
        </w:tc>
        <w:tc>
          <w:tcPr>
            <w:tcW w:w="1787" w:type="dxa"/>
            <w:vAlign w:val="center"/>
          </w:tcPr>
          <w:p w14:paraId="3E1AD153">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379C5A32">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0AE0D73D">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778B2FD3">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1DF7CB65">
            <w:pPr>
              <w:keepLines w:val="0"/>
              <w:pageBreakBefore w:val="0"/>
              <w:kinsoku/>
              <w:overflowPunct/>
              <w:topLinePunct w:val="0"/>
              <w:bidi w:val="0"/>
              <w:spacing w:line="400" w:lineRule="exact"/>
              <w:rPr>
                <w:rFonts w:ascii="宋体" w:hAnsi="宋体" w:cs="hakuyoxingshu7000"/>
                <w:b/>
                <w:bCs/>
                <w:sz w:val="24"/>
              </w:rPr>
            </w:pPr>
          </w:p>
        </w:tc>
      </w:tr>
      <w:tr w14:paraId="0C458B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64881B97">
            <w:pPr>
              <w:keepLines w:val="0"/>
              <w:pageBreakBefore w:val="0"/>
              <w:kinsoku/>
              <w:overflowPunct/>
              <w:topLinePunct w:val="0"/>
              <w:bidi w:val="0"/>
              <w:spacing w:line="400" w:lineRule="exact"/>
              <w:jc w:val="center"/>
              <w:rPr>
                <w:rFonts w:ascii="宋体" w:hAnsi="宋体" w:cs="hakuyoxingshu7000"/>
                <w:bCs/>
                <w:sz w:val="24"/>
              </w:rPr>
            </w:pPr>
            <w:r>
              <w:rPr>
                <w:rFonts w:hint="eastAsia" w:ascii="宋体" w:hAnsi="宋体" w:cs="hakuyoxingshu7000"/>
                <w:bCs/>
                <w:sz w:val="24"/>
              </w:rPr>
              <w:t>6</w:t>
            </w:r>
          </w:p>
        </w:tc>
        <w:tc>
          <w:tcPr>
            <w:tcW w:w="1787" w:type="dxa"/>
            <w:vAlign w:val="center"/>
          </w:tcPr>
          <w:p w14:paraId="1B51595E">
            <w:pPr>
              <w:keepLines w:val="0"/>
              <w:pageBreakBefore w:val="0"/>
              <w:kinsoku/>
              <w:overflowPunct/>
              <w:topLinePunct w:val="0"/>
              <w:bidi w:val="0"/>
              <w:spacing w:line="400" w:lineRule="exact"/>
              <w:rPr>
                <w:rFonts w:ascii="宋体" w:hAnsi="宋体" w:cs="hakuyoxingshu7000"/>
                <w:bCs/>
                <w:sz w:val="24"/>
              </w:rPr>
            </w:pPr>
          </w:p>
        </w:tc>
        <w:tc>
          <w:tcPr>
            <w:tcW w:w="1525" w:type="dxa"/>
            <w:vAlign w:val="center"/>
          </w:tcPr>
          <w:p w14:paraId="7BAF720A">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60831453">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33894511">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57B16B6B">
            <w:pPr>
              <w:keepLines w:val="0"/>
              <w:pageBreakBefore w:val="0"/>
              <w:kinsoku/>
              <w:overflowPunct/>
              <w:topLinePunct w:val="0"/>
              <w:bidi w:val="0"/>
              <w:spacing w:line="400" w:lineRule="exact"/>
              <w:rPr>
                <w:rFonts w:ascii="宋体" w:hAnsi="宋体" w:cs="hakuyoxingshu7000"/>
                <w:b/>
                <w:bCs/>
                <w:sz w:val="24"/>
              </w:rPr>
            </w:pPr>
          </w:p>
        </w:tc>
      </w:tr>
      <w:tr w14:paraId="26336B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B1C40FA">
            <w:pPr>
              <w:keepLines w:val="0"/>
              <w:pageBreakBefore w:val="0"/>
              <w:kinsoku/>
              <w:overflowPunct/>
              <w:topLinePunct w:val="0"/>
              <w:bidi w:val="0"/>
              <w:spacing w:line="400" w:lineRule="exact"/>
              <w:jc w:val="center"/>
              <w:rPr>
                <w:rFonts w:ascii="宋体" w:hAnsi="宋体" w:cs="hakuyoxingshu7000"/>
                <w:bCs/>
                <w:sz w:val="24"/>
              </w:rPr>
            </w:pPr>
          </w:p>
        </w:tc>
        <w:tc>
          <w:tcPr>
            <w:tcW w:w="1787" w:type="dxa"/>
            <w:vAlign w:val="center"/>
          </w:tcPr>
          <w:p w14:paraId="2D78319A">
            <w:pPr>
              <w:keepLines w:val="0"/>
              <w:pageBreakBefore w:val="0"/>
              <w:kinsoku/>
              <w:overflowPunct/>
              <w:topLinePunct w:val="0"/>
              <w:bidi w:val="0"/>
              <w:spacing w:line="400" w:lineRule="exact"/>
              <w:rPr>
                <w:rFonts w:hint="default" w:ascii="宋体" w:hAnsi="宋体" w:eastAsia="宋体" w:cs="hakuyoxingshu7000"/>
                <w:bCs/>
                <w:sz w:val="24"/>
                <w:lang w:val="en-US" w:eastAsia="zh-CN"/>
              </w:rPr>
            </w:pPr>
            <w:r>
              <w:rPr>
                <w:rFonts w:hint="eastAsia" w:ascii="宋体" w:hAnsi="宋体" w:cs="hakuyoxingshu7000"/>
                <w:bCs/>
                <w:sz w:val="24"/>
                <w:lang w:val="en-US" w:eastAsia="zh-CN"/>
              </w:rPr>
              <w:t>.......</w:t>
            </w:r>
          </w:p>
        </w:tc>
        <w:tc>
          <w:tcPr>
            <w:tcW w:w="1525" w:type="dxa"/>
            <w:vAlign w:val="center"/>
          </w:tcPr>
          <w:p w14:paraId="4F29E8A2">
            <w:pPr>
              <w:keepLines w:val="0"/>
              <w:pageBreakBefore w:val="0"/>
              <w:kinsoku/>
              <w:overflowPunct/>
              <w:topLinePunct w:val="0"/>
              <w:bidi w:val="0"/>
              <w:spacing w:line="400" w:lineRule="exact"/>
              <w:rPr>
                <w:rFonts w:ascii="宋体" w:hAnsi="宋体" w:cs="hakuyoxingshu7000"/>
                <w:bCs/>
                <w:sz w:val="24"/>
              </w:rPr>
            </w:pPr>
          </w:p>
        </w:tc>
        <w:tc>
          <w:tcPr>
            <w:tcW w:w="1491" w:type="dxa"/>
            <w:vAlign w:val="center"/>
          </w:tcPr>
          <w:p w14:paraId="7A34C893">
            <w:pPr>
              <w:keepLines w:val="0"/>
              <w:pageBreakBefore w:val="0"/>
              <w:kinsoku/>
              <w:overflowPunct/>
              <w:topLinePunct w:val="0"/>
              <w:bidi w:val="0"/>
              <w:spacing w:line="400" w:lineRule="exact"/>
              <w:rPr>
                <w:rFonts w:ascii="宋体" w:hAnsi="宋体" w:cs="hakuyoxingshu7000"/>
                <w:b/>
                <w:bCs/>
                <w:sz w:val="24"/>
              </w:rPr>
            </w:pPr>
          </w:p>
        </w:tc>
        <w:tc>
          <w:tcPr>
            <w:tcW w:w="2708" w:type="dxa"/>
            <w:vAlign w:val="center"/>
          </w:tcPr>
          <w:p w14:paraId="64FF3DC9">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17DAA740">
            <w:pPr>
              <w:keepLines w:val="0"/>
              <w:pageBreakBefore w:val="0"/>
              <w:kinsoku/>
              <w:overflowPunct/>
              <w:topLinePunct w:val="0"/>
              <w:bidi w:val="0"/>
              <w:spacing w:line="400" w:lineRule="exact"/>
              <w:rPr>
                <w:rFonts w:ascii="宋体" w:hAnsi="宋体" w:cs="hakuyoxingshu7000"/>
                <w:b/>
                <w:bCs/>
                <w:sz w:val="24"/>
              </w:rPr>
            </w:pPr>
          </w:p>
        </w:tc>
      </w:tr>
      <w:tr w14:paraId="7A034C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1EC8E45A">
            <w:pPr>
              <w:keepLines w:val="0"/>
              <w:pageBreakBefore w:val="0"/>
              <w:kinsoku/>
              <w:overflowPunct/>
              <w:topLinePunct w:val="0"/>
              <w:bidi w:val="0"/>
              <w:spacing w:line="400" w:lineRule="exact"/>
              <w:jc w:val="center"/>
              <w:rPr>
                <w:rFonts w:ascii="宋体" w:hAnsi="宋体" w:cs="hakuyoxingshu7000"/>
                <w:bCs/>
                <w:sz w:val="24"/>
              </w:rPr>
            </w:pPr>
          </w:p>
        </w:tc>
        <w:tc>
          <w:tcPr>
            <w:tcW w:w="4803" w:type="dxa"/>
            <w:gridSpan w:val="3"/>
            <w:vAlign w:val="center"/>
          </w:tcPr>
          <w:p w14:paraId="38A48371">
            <w:pPr>
              <w:keepLines w:val="0"/>
              <w:pageBreakBefore w:val="0"/>
              <w:kinsoku/>
              <w:overflowPunct/>
              <w:topLinePunct w:val="0"/>
              <w:bidi w:val="0"/>
              <w:spacing w:line="400" w:lineRule="exact"/>
              <w:jc w:val="center"/>
              <w:rPr>
                <w:rFonts w:ascii="宋体" w:hAnsi="宋体" w:cs="hakuyoxingshu7000"/>
                <w:b/>
                <w:bCs/>
                <w:sz w:val="24"/>
              </w:rPr>
            </w:pPr>
            <w:r>
              <w:rPr>
                <w:rFonts w:hint="eastAsia" w:ascii="宋体" w:hAnsi="宋体" w:cs="hakuyoxingshu7000"/>
                <w:b/>
                <w:bCs/>
                <w:sz w:val="24"/>
              </w:rPr>
              <w:t>合计金额：</w:t>
            </w:r>
          </w:p>
        </w:tc>
        <w:tc>
          <w:tcPr>
            <w:tcW w:w="2708" w:type="dxa"/>
            <w:vAlign w:val="center"/>
          </w:tcPr>
          <w:p w14:paraId="5F660563">
            <w:pPr>
              <w:keepLines w:val="0"/>
              <w:pageBreakBefore w:val="0"/>
              <w:kinsoku/>
              <w:overflowPunct/>
              <w:topLinePunct w:val="0"/>
              <w:bidi w:val="0"/>
              <w:spacing w:line="400" w:lineRule="exact"/>
              <w:rPr>
                <w:rFonts w:ascii="宋体" w:hAnsi="宋体" w:cs="hakuyoxingshu7000"/>
                <w:b/>
                <w:bCs/>
                <w:sz w:val="24"/>
              </w:rPr>
            </w:pPr>
          </w:p>
        </w:tc>
        <w:tc>
          <w:tcPr>
            <w:tcW w:w="1555" w:type="dxa"/>
            <w:vAlign w:val="center"/>
          </w:tcPr>
          <w:p w14:paraId="2EDB0546">
            <w:pPr>
              <w:keepLines w:val="0"/>
              <w:pageBreakBefore w:val="0"/>
              <w:kinsoku/>
              <w:overflowPunct/>
              <w:topLinePunct w:val="0"/>
              <w:bidi w:val="0"/>
              <w:spacing w:line="400" w:lineRule="exact"/>
              <w:rPr>
                <w:rFonts w:ascii="宋体" w:hAnsi="宋体" w:cs="hakuyoxingshu7000"/>
                <w:b/>
                <w:bCs/>
                <w:sz w:val="24"/>
              </w:rPr>
            </w:pPr>
          </w:p>
        </w:tc>
      </w:tr>
      <w:tr w14:paraId="424747E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9583" w:type="dxa"/>
            <w:gridSpan w:val="6"/>
            <w:vAlign w:val="center"/>
          </w:tcPr>
          <w:p w14:paraId="71879A09">
            <w:pPr>
              <w:keepLines w:val="0"/>
              <w:pageBreakBefore w:val="0"/>
              <w:kinsoku/>
              <w:overflowPunct/>
              <w:topLinePunct w:val="0"/>
              <w:bidi w:val="0"/>
              <w:spacing w:line="400" w:lineRule="exact"/>
              <w:rPr>
                <w:rFonts w:ascii="宋体" w:hAnsi="宋体" w:cs="hakuyoxingshu7000"/>
                <w:b/>
                <w:bCs/>
                <w:sz w:val="24"/>
              </w:rPr>
            </w:pPr>
            <w:r>
              <w:rPr>
                <w:rFonts w:hint="eastAsia" w:ascii="宋体" w:hAnsi="宋体" w:cs="hakuyoxingshu7000"/>
                <w:b/>
                <w:bCs/>
                <w:sz w:val="24"/>
              </w:rPr>
              <w:t>合计投标报价（大写）：                             元人民币</w:t>
            </w:r>
          </w:p>
        </w:tc>
      </w:tr>
    </w:tbl>
    <w:p w14:paraId="7C5796F9">
      <w:pPr>
        <w:keepLines w:val="0"/>
        <w:pageBreakBefore w:val="0"/>
        <w:kinsoku/>
        <w:overflowPunct/>
        <w:topLinePunct w:val="0"/>
        <w:bidi w:val="0"/>
        <w:spacing w:line="400" w:lineRule="exact"/>
        <w:rPr>
          <w:rFonts w:hint="eastAsia" w:ascii="新宋体" w:hAnsi="新宋体" w:eastAsia="新宋体" w:cs="Times New Roman"/>
          <w:b/>
          <w:sz w:val="24"/>
          <w:lang w:val="en-US" w:eastAsia="zh-CN"/>
        </w:rPr>
      </w:pPr>
      <w:r>
        <w:rPr>
          <w:rFonts w:hint="eastAsia" w:ascii="新宋体" w:hAnsi="新宋体" w:eastAsia="新宋体"/>
          <w:b/>
          <w:sz w:val="24"/>
        </w:rPr>
        <w:t>说</w:t>
      </w:r>
      <w:r>
        <w:rPr>
          <w:rFonts w:hint="eastAsia" w:ascii="新宋体" w:hAnsi="新宋体" w:eastAsia="新宋体" w:cs="Times New Roman"/>
          <w:b/>
          <w:sz w:val="24"/>
        </w:rPr>
        <w:t>明：</w:t>
      </w:r>
      <w:r>
        <w:rPr>
          <w:rFonts w:hint="eastAsia" w:ascii="新宋体" w:hAnsi="新宋体" w:eastAsia="新宋体" w:cs="Times New Roman"/>
          <w:b/>
          <w:sz w:val="24"/>
          <w:lang w:val="en-US" w:eastAsia="zh-CN"/>
        </w:rPr>
        <w:t>1.本次项目以人民币报价，评审时以人民币价格为准。</w:t>
      </w:r>
    </w:p>
    <w:p w14:paraId="2A3E4A14">
      <w:pPr>
        <w:keepLines w:val="0"/>
        <w:pageBreakBefore w:val="0"/>
        <w:kinsoku/>
        <w:overflowPunct/>
        <w:topLinePunct w:val="0"/>
        <w:bidi w:val="0"/>
        <w:spacing w:line="400" w:lineRule="exact"/>
        <w:rPr>
          <w:rFonts w:hint="eastAsia" w:ascii="新宋体" w:hAnsi="新宋体" w:eastAsia="新宋体" w:cs="Times New Roman"/>
          <w:b/>
          <w:sz w:val="24"/>
          <w:lang w:val="en-US" w:eastAsia="zh-CN"/>
        </w:rPr>
      </w:pPr>
      <w:r>
        <w:rPr>
          <w:rFonts w:hint="eastAsia" w:ascii="新宋体" w:hAnsi="新宋体" w:eastAsia="新宋体" w:cs="Times New Roman"/>
          <w:b/>
          <w:sz w:val="24"/>
          <w:lang w:val="en-US" w:eastAsia="zh-CN"/>
        </w:rPr>
        <w:t>2.投标报价应包含以下费用：（1）人员成本费用；（2）机具、材料费用；（3）企业管理费用及其他费用；（4）利润；（5）税金、风险等其他一切费用。投标报价为完成本项目其他一切费用，投标供应商不得再要求追加任何费用。</w:t>
      </w:r>
    </w:p>
    <w:p w14:paraId="56D359AC">
      <w:pPr>
        <w:keepLines w:val="0"/>
        <w:pageBreakBefore w:val="0"/>
        <w:kinsoku/>
        <w:overflowPunct/>
        <w:topLinePunct w:val="0"/>
        <w:bidi w:val="0"/>
        <w:spacing w:line="400" w:lineRule="exact"/>
        <w:rPr>
          <w:rFonts w:ascii="宋体" w:hAnsi="宋体" w:cs="Arial"/>
          <w:b/>
          <w:bCs/>
          <w:sz w:val="24"/>
        </w:rPr>
      </w:pPr>
    </w:p>
    <w:p w14:paraId="3010D84D">
      <w:pPr>
        <w:keepLines w:val="0"/>
        <w:pageBreakBefore w:val="0"/>
        <w:kinsoku/>
        <w:overflowPunct/>
        <w:topLinePunct w:val="0"/>
        <w:bidi w:val="0"/>
        <w:spacing w:line="400" w:lineRule="exact"/>
        <w:rPr>
          <w:rFonts w:ascii="宋体" w:hAnsi="宋体" w:cs="Arial"/>
          <w:b/>
          <w:bCs/>
          <w:sz w:val="24"/>
        </w:rPr>
      </w:pPr>
    </w:p>
    <w:p w14:paraId="3BCDC3F6">
      <w:pPr>
        <w:keepLines w:val="0"/>
        <w:pageBreakBefore w:val="0"/>
        <w:kinsoku/>
        <w:overflowPunct/>
        <w:topLinePunct w:val="0"/>
        <w:bidi w:val="0"/>
        <w:spacing w:line="400" w:lineRule="exact"/>
        <w:ind w:right="-11" w:firstLine="240" w:firstLineChars="100"/>
        <w:rPr>
          <w:rFonts w:ascii="宋体" w:hAnsi="宋体" w:cs="Arial"/>
          <w:sz w:val="24"/>
        </w:rPr>
      </w:pPr>
      <w:r>
        <w:rPr>
          <w:rFonts w:hint="eastAsia" w:ascii="宋体" w:hAnsi="宋体" w:cs="Arial"/>
          <w:sz w:val="24"/>
        </w:rPr>
        <w:t>投标商全称</w:t>
      </w:r>
      <w:r>
        <w:rPr>
          <w:rFonts w:ascii="宋体" w:hAnsi="宋体" w:cs="Arial"/>
          <w:sz w:val="24"/>
        </w:rPr>
        <w:t>（公章）：</w:t>
      </w:r>
      <w:r>
        <w:rPr>
          <w:rFonts w:hint="eastAsia" w:ascii="宋体" w:hAnsi="宋体" w:cs="Arial"/>
          <w:sz w:val="24"/>
          <w:u w:val="single"/>
        </w:rPr>
        <w:t xml:space="preserve">                    </w:t>
      </w:r>
    </w:p>
    <w:p w14:paraId="2A289A9D">
      <w:pPr>
        <w:keepLines w:val="0"/>
        <w:pageBreakBefore w:val="0"/>
        <w:kinsoku/>
        <w:overflowPunct/>
        <w:topLinePunct w:val="0"/>
        <w:bidi w:val="0"/>
        <w:spacing w:line="400" w:lineRule="exact"/>
        <w:rPr>
          <w:rFonts w:ascii="宋体" w:hAnsi="宋体"/>
          <w:sz w:val="24"/>
        </w:rPr>
      </w:pPr>
      <w:r>
        <w:rPr>
          <w:rFonts w:hint="eastAsia" w:ascii="宋体" w:hAnsi="宋体"/>
          <w:sz w:val="24"/>
        </w:rPr>
        <w:t xml:space="preserve">  </w:t>
      </w:r>
      <w:r>
        <w:rPr>
          <w:rFonts w:ascii="宋体" w:hAnsi="宋体"/>
          <w:sz w:val="24"/>
        </w:rPr>
        <w:t>日期：</w:t>
      </w:r>
      <w:r>
        <w:rPr>
          <w:rFonts w:hint="eastAsia" w:ascii="宋体" w:hAnsi="宋体"/>
          <w:sz w:val="24"/>
          <w:u w:val="single"/>
        </w:rPr>
        <w:t xml:space="preserve">               </w:t>
      </w:r>
    </w:p>
    <w:p w14:paraId="34D68EAE">
      <w:pPr>
        <w:keepLines w:val="0"/>
        <w:pageBreakBefore w:val="0"/>
        <w:kinsoku/>
        <w:overflowPunct/>
        <w:topLinePunct w:val="0"/>
        <w:bidi w:val="0"/>
        <w:spacing w:line="400" w:lineRule="exact"/>
        <w:rPr>
          <w:sz w:val="24"/>
        </w:rPr>
      </w:pPr>
    </w:p>
    <w:p w14:paraId="4B1A0496">
      <w:pPr>
        <w:keepLines w:val="0"/>
        <w:pageBreakBefore w:val="0"/>
        <w:kinsoku/>
        <w:overflowPunct/>
        <w:topLinePunct w:val="0"/>
        <w:bidi w:val="0"/>
        <w:spacing w:line="400" w:lineRule="exact"/>
      </w:pPr>
      <w:r>
        <w:br w:type="page"/>
      </w:r>
    </w:p>
    <w:p w14:paraId="4DDA32BF">
      <w:pPr>
        <w:keepNext w:val="0"/>
        <w:keepLines w:val="0"/>
        <w:pageBreakBefore w:val="0"/>
        <w:widowControl w:val="0"/>
        <w:kinsoku/>
        <w:wordWrap/>
        <w:overflowPunct/>
        <w:topLinePunct w:val="0"/>
        <w:autoSpaceDE/>
        <w:autoSpaceDN/>
        <w:bidi w:val="0"/>
        <w:adjustRightInd/>
        <w:snapToGrid/>
        <w:spacing w:line="500" w:lineRule="exact"/>
        <w:ind w:firstLine="904" w:firstLineChars="200"/>
        <w:jc w:val="center"/>
        <w:textAlignment w:val="auto"/>
        <w:rPr>
          <w:rFonts w:hint="eastAsia" w:asciiTheme="minorEastAsia" w:hAnsiTheme="minorEastAsia" w:eastAsiaTheme="minorEastAsia" w:cstheme="minorEastAsia"/>
          <w:spacing w:val="6"/>
          <w:sz w:val="44"/>
          <w:szCs w:val="44"/>
          <w:lang w:eastAsia="zh-CN"/>
        </w:rPr>
      </w:pPr>
      <w:r>
        <w:rPr>
          <w:rFonts w:hint="eastAsia" w:asciiTheme="minorEastAsia" w:hAnsiTheme="minorEastAsia" w:eastAsiaTheme="minorEastAsia" w:cstheme="minorEastAsia"/>
          <w:spacing w:val="6"/>
          <w:sz w:val="44"/>
          <w:szCs w:val="44"/>
          <w:lang w:eastAsia="zh-CN"/>
        </w:rPr>
        <w:t>合同书</w:t>
      </w:r>
    </w:p>
    <w:p w14:paraId="3FD30AD3">
      <w:pPr>
        <w:keepNext w:val="0"/>
        <w:keepLines w:val="0"/>
        <w:pageBreakBefore w:val="0"/>
        <w:widowControl w:val="0"/>
        <w:kinsoku/>
        <w:wordWrap/>
        <w:overflowPunct/>
        <w:topLinePunct w:val="0"/>
        <w:autoSpaceDE/>
        <w:autoSpaceDN/>
        <w:bidi w:val="0"/>
        <w:adjustRightInd/>
        <w:snapToGrid/>
        <w:spacing w:line="500" w:lineRule="exact"/>
        <w:ind w:firstLine="504" w:firstLineChars="200"/>
        <w:textAlignment w:val="auto"/>
        <w:rPr>
          <w:rFonts w:hint="eastAsia" w:asciiTheme="minorEastAsia" w:hAnsiTheme="minorEastAsia" w:eastAsiaTheme="minorEastAsia" w:cstheme="minorEastAsia"/>
          <w:spacing w:val="6"/>
          <w:sz w:val="24"/>
          <w:szCs w:val="24"/>
        </w:rPr>
      </w:pPr>
    </w:p>
    <w:p w14:paraId="161C3598">
      <w:pPr>
        <w:keepNext w:val="0"/>
        <w:keepLines w:val="0"/>
        <w:pageBreakBefore w:val="0"/>
        <w:widowControl w:val="0"/>
        <w:kinsoku/>
        <w:wordWrap/>
        <w:overflowPunct/>
        <w:topLinePunct w:val="0"/>
        <w:autoSpaceDE/>
        <w:autoSpaceDN/>
        <w:bidi w:val="0"/>
        <w:adjustRightInd/>
        <w:snapToGrid/>
        <w:spacing w:line="500" w:lineRule="exact"/>
        <w:ind w:firstLine="504" w:firstLineChars="200"/>
        <w:textAlignment w:val="auto"/>
        <w:rPr>
          <w:rFonts w:hint="eastAsia" w:asciiTheme="minorEastAsia" w:hAnsiTheme="minorEastAsia" w:eastAsiaTheme="minorEastAsia" w:cstheme="minorEastAsia"/>
          <w:spacing w:val="6"/>
          <w:sz w:val="24"/>
          <w:szCs w:val="24"/>
          <w:u w:val="none"/>
          <w:lang w:val="en-US" w:eastAsia="zh-CN"/>
        </w:rPr>
      </w:pPr>
      <w:r>
        <w:rPr>
          <w:rFonts w:hint="eastAsia" w:asciiTheme="minorEastAsia" w:hAnsiTheme="minorEastAsia" w:eastAsiaTheme="minorEastAsia" w:cstheme="minorEastAsia"/>
          <w:spacing w:val="6"/>
          <w:sz w:val="24"/>
          <w:szCs w:val="24"/>
        </w:rPr>
        <w:t>甲方：</w:t>
      </w:r>
      <w:r>
        <w:rPr>
          <w:rFonts w:hint="eastAsia" w:asciiTheme="minorEastAsia" w:hAnsiTheme="minorEastAsia" w:eastAsiaTheme="minorEastAsia" w:cstheme="minorEastAsia"/>
          <w:spacing w:val="6"/>
          <w:sz w:val="24"/>
          <w:szCs w:val="24"/>
          <w:u w:val="single"/>
          <w:lang w:val="en-US" w:eastAsia="zh-CN"/>
        </w:rPr>
        <w:t xml:space="preserve">                 </w:t>
      </w:r>
      <w:r>
        <w:rPr>
          <w:rFonts w:hint="eastAsia" w:asciiTheme="minorEastAsia" w:hAnsiTheme="minorEastAsia" w:eastAsiaTheme="minorEastAsia" w:cstheme="minorEastAsia"/>
          <w:spacing w:val="6"/>
          <w:sz w:val="24"/>
          <w:szCs w:val="24"/>
          <w:u w:val="none"/>
          <w:lang w:val="en-US" w:eastAsia="zh-CN"/>
        </w:rPr>
        <w:t xml:space="preserve">               </w:t>
      </w:r>
      <w:r>
        <w:rPr>
          <w:rFonts w:hint="eastAsia" w:asciiTheme="minorEastAsia" w:hAnsiTheme="minorEastAsia" w:eastAsiaTheme="minorEastAsia" w:cstheme="minorEastAsia"/>
          <w:spacing w:val="6"/>
          <w:sz w:val="24"/>
          <w:szCs w:val="24"/>
        </w:rPr>
        <w:t>乙方：________________</w:t>
      </w:r>
      <w:r>
        <w:rPr>
          <w:rFonts w:hint="eastAsia" w:asciiTheme="minorEastAsia" w:hAnsiTheme="minorEastAsia" w:eastAsiaTheme="minorEastAsia" w:cstheme="minorEastAsia"/>
          <w:spacing w:val="6"/>
          <w:sz w:val="24"/>
          <w:szCs w:val="24"/>
          <w:u w:val="none"/>
          <w:lang w:val="en-US" w:eastAsia="zh-CN"/>
        </w:rPr>
        <w:t xml:space="preserve">    </w:t>
      </w:r>
    </w:p>
    <w:p w14:paraId="5E30441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鉴于甲方于</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rPr>
        <w:t>年</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rPr>
        <w:t>月</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rPr>
        <w:t>日接受乙方对本合同项目的投标，双方根据《中华人民共和国</w:t>
      </w:r>
      <w:r>
        <w:rPr>
          <w:rFonts w:hint="eastAsia" w:asciiTheme="minorEastAsia" w:hAnsiTheme="minorEastAsia" w:eastAsiaTheme="minorEastAsia" w:cstheme="minorEastAsia"/>
          <w:sz w:val="24"/>
          <w:szCs w:val="24"/>
          <w:highlight w:val="none"/>
          <w:lang w:val="en-US" w:eastAsia="zh-CN"/>
        </w:rPr>
        <w:t>民法典</w:t>
      </w:r>
      <w:r>
        <w:rPr>
          <w:rFonts w:hint="eastAsia" w:asciiTheme="minorEastAsia" w:hAnsiTheme="minorEastAsia" w:eastAsiaTheme="minorEastAsia" w:cstheme="minorEastAsia"/>
          <w:sz w:val="24"/>
          <w:szCs w:val="24"/>
          <w:highlight w:val="none"/>
        </w:rPr>
        <w:t>》、《中华人民共和国注册会计师法》和《中华人民共和国企业国有资产法》，以及《企业国有资产监督管理暂行条例》、《企业财务通则》等法律法规和本合同的</w:t>
      </w:r>
      <w:r>
        <w:rPr>
          <w:rFonts w:hint="eastAsia" w:asciiTheme="minorEastAsia" w:hAnsiTheme="minorEastAsia" w:eastAsiaTheme="minorEastAsia" w:cstheme="minorEastAsia"/>
          <w:sz w:val="24"/>
          <w:szCs w:val="24"/>
          <w:highlight w:val="none"/>
          <w:lang w:eastAsia="zh-CN"/>
        </w:rPr>
        <w:t>采购文件</w:t>
      </w:r>
      <w:r>
        <w:rPr>
          <w:rFonts w:hint="eastAsia" w:asciiTheme="minorEastAsia" w:hAnsiTheme="minorEastAsia" w:eastAsiaTheme="minorEastAsia" w:cstheme="minorEastAsia"/>
          <w:sz w:val="24"/>
          <w:szCs w:val="24"/>
          <w:highlight w:val="none"/>
        </w:rPr>
        <w:t>、投标文件及其投标中的承诺，经双方协商，同意签订本合同，共同遵守。</w:t>
      </w:r>
    </w:p>
    <w:p w14:paraId="79C30E58">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240" w:firstLineChars="1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合同服务事项及要求：温</w:t>
      </w:r>
      <w:r>
        <w:rPr>
          <w:rFonts w:hint="eastAsia" w:ascii="宋体" w:hAnsi="宋体" w:cs="Times New Roman"/>
          <w:color w:val="000000" w:themeColor="text1"/>
          <w:sz w:val="24"/>
          <w:lang w:val="en-US" w:eastAsia="zh-CN"/>
          <w14:textFill>
            <w14:solidFill>
              <w14:schemeClr w14:val="tx1"/>
            </w14:solidFill>
          </w14:textFill>
        </w:rPr>
        <w:t>州市第七人民医院2023年财务报表审计服务采购等项目，具体包括于2023</w:t>
      </w:r>
      <w:r>
        <w:rPr>
          <w:rFonts w:hint="eastAsia" w:ascii="宋体" w:hAnsi="宋体" w:eastAsia="宋体" w:cs="Times New Roman"/>
          <w:color w:val="000000" w:themeColor="text1"/>
          <w:sz w:val="24"/>
          <w:lang w:val="en-US" w:eastAsia="zh-CN"/>
          <w14:textFill>
            <w14:solidFill>
              <w14:schemeClr w14:val="tx1"/>
            </w14:solidFill>
          </w14:textFill>
        </w:rPr>
        <w:t>年内部控制评价、风险评估及财务报表（资产负债表</w:t>
      </w:r>
      <w:r>
        <w:rPr>
          <w:rFonts w:hint="eastAsia" w:ascii="宋体" w:hAnsi="宋体" w:cs="Times New Roman"/>
          <w:color w:val="000000" w:themeColor="text1"/>
          <w:sz w:val="24"/>
          <w:lang w:val="en-US" w:eastAsia="zh-CN"/>
          <w14:textFill>
            <w14:solidFill>
              <w14:schemeClr w14:val="tx1"/>
            </w14:solidFill>
          </w14:textFill>
        </w:rPr>
        <w:t>、</w:t>
      </w:r>
      <w:r>
        <w:rPr>
          <w:rFonts w:hint="eastAsia" w:ascii="宋体" w:hAnsi="宋体" w:cs="Times New Roman"/>
          <w:color w:val="000000" w:themeColor="text1"/>
          <w:sz w:val="24"/>
          <w:highlight w:val="none"/>
          <w:lang w:val="en-US" w:eastAsia="zh-CN"/>
          <w14:textFill>
            <w14:solidFill>
              <w14:schemeClr w14:val="tx1"/>
            </w14:solidFill>
          </w14:textFill>
        </w:rPr>
        <w:t>收入费用表、</w:t>
      </w:r>
      <w:r>
        <w:rPr>
          <w:rFonts w:hint="eastAsia" w:ascii="宋体" w:hAnsi="宋体" w:eastAsia="宋体" w:cs="Times New Roman"/>
          <w:color w:val="000000" w:themeColor="text1"/>
          <w:sz w:val="24"/>
          <w:lang w:val="en-US" w:eastAsia="zh-CN"/>
          <w14:textFill>
            <w14:solidFill>
              <w14:schemeClr w14:val="tx1"/>
            </w14:solidFill>
          </w14:textFill>
        </w:rPr>
        <w:t>现金流量表、所有者权益变动表，以及财务报表附注）审计服务。乙方须完成包括但不限于对温州市第七人民医院2023年财务报表是否在所有重大方面按照国家统一的会计制度规定编制、是否公允反映医院的财务状况、经营成果和现金流量等发表审计意见；按照《中国注册会计师审计准则》有关规定出具年度财务报表审计报告，出具2023年内部控制评价、风险评估相应成果报告。</w:t>
      </w:r>
    </w:p>
    <w:p w14:paraId="209080E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二、审计完成时间和报告内容</w:t>
      </w:r>
    </w:p>
    <w:p w14:paraId="209E079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按照约定时间完成各项审计工作，出具符合中国注册会计师审计准则规定和</w:t>
      </w:r>
      <w:r>
        <w:rPr>
          <w:rFonts w:hint="eastAsia" w:asciiTheme="minorEastAsia" w:hAnsiTheme="minorEastAsia" w:eastAsiaTheme="minorEastAsia" w:cstheme="minorEastAsia"/>
          <w:sz w:val="24"/>
          <w:szCs w:val="24"/>
          <w:highlight w:val="none"/>
          <w:lang w:val="en-US" w:eastAsia="zh-CN"/>
        </w:rPr>
        <w:t>采购人</w:t>
      </w:r>
      <w:r>
        <w:rPr>
          <w:rFonts w:hint="eastAsia" w:asciiTheme="minorEastAsia" w:hAnsiTheme="minorEastAsia" w:eastAsiaTheme="minorEastAsia" w:cstheme="minorEastAsia"/>
          <w:sz w:val="24"/>
          <w:szCs w:val="24"/>
          <w:highlight w:val="none"/>
        </w:rPr>
        <w:t>要求的审计报告。</w:t>
      </w:r>
    </w:p>
    <w:p w14:paraId="187712A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highlight w:val="none"/>
          <w:lang w:val="en-US" w:eastAsia="zh-CN"/>
        </w:rPr>
        <w:t>2、中标单位必须</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于</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日</w:t>
      </w:r>
      <w:r>
        <w:rPr>
          <w:rFonts w:hint="eastAsia" w:asciiTheme="minorEastAsia" w:hAnsiTheme="minorEastAsia" w:eastAsiaTheme="minorEastAsia" w:cstheme="minorEastAsia"/>
          <w:sz w:val="24"/>
          <w:szCs w:val="24"/>
          <w:highlight w:val="none"/>
        </w:rPr>
        <w:t>前完成各项审计工作，并提交符合采购人要求的真实、准确的各项审计报告数据、统计报表、决算报表数据</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lang w:val="en-US" w:eastAsia="zh-CN"/>
        </w:rPr>
        <w:t>(具体时间以采购人通知为准)。</w:t>
      </w:r>
    </w:p>
    <w:p w14:paraId="75F933B2">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三、甲方的权利和义务</w:t>
      </w:r>
    </w:p>
    <w:p w14:paraId="795E7D9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（一）甲方的权利</w:t>
      </w:r>
    </w:p>
    <w:p w14:paraId="410924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1、在约定的期限内获得完整、真实、准确的审计报告，包括向</w:t>
      </w:r>
      <w:r>
        <w:rPr>
          <w:rFonts w:hint="eastAsia" w:asciiTheme="minorEastAsia" w:hAnsiTheme="minorEastAsia" w:eastAsiaTheme="minorEastAsia" w:cstheme="minorEastAsia"/>
          <w:sz w:val="24"/>
          <w:szCs w:val="24"/>
          <w:highlight w:val="none"/>
          <w:lang w:val="en-US" w:eastAsia="zh-CN"/>
        </w:rPr>
        <w:t>采购人及上级主管部门</w:t>
      </w:r>
      <w:r>
        <w:rPr>
          <w:rFonts w:hint="eastAsia" w:asciiTheme="minorEastAsia" w:hAnsiTheme="minorEastAsia" w:eastAsiaTheme="minorEastAsia" w:cstheme="minorEastAsia"/>
          <w:sz w:val="24"/>
          <w:szCs w:val="24"/>
          <w:highlight w:val="none"/>
          <w:lang w:eastAsia="zh-CN"/>
        </w:rPr>
        <w:t>提供的审计报告。</w:t>
      </w:r>
    </w:p>
    <w:p w14:paraId="17D3307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2、对乙方是否依法和依约定开展审计业务进行监督</w:t>
      </w:r>
    </w:p>
    <w:p w14:paraId="6B7AB4E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3、在签订业务约定书后，若发现乙方将本协议约定的中标业务转包或分包，资质不符合规定要求等情况，甲方有权解除合同并更换会计师事务所，给甲方造成损失的，甲方有权要求赔偿。</w:t>
      </w:r>
    </w:p>
    <w:p w14:paraId="3462065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4、甲方有权对乙方出具的审计报告进行评估验收。发现乙方审计过程不符合有关法律法规规定，发现审计报告存在质量问题的，甲方有权要求乙方补正报告，并视问题严重程度采取扣除相应费用、取消下年审计资格等措施：造成损失的，甲方有权要求赔偿损失。</w:t>
      </w:r>
    </w:p>
    <w:p w14:paraId="473453E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（二）甲方的义务</w:t>
      </w:r>
    </w:p>
    <w:p w14:paraId="0EBD4C8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甲方应当积极配合乙方开展业务工作，依法提供相关资料，并对提供的资料的真实性、合法性和完整性负责。在不干预乙方独立执业的前提下，对乙方依法执业和履行投标承诺情况进行评价，并于审计工作结束后20个工作日内向甲方提交书面评价意见。</w:t>
      </w:r>
    </w:p>
    <w:p w14:paraId="707E85D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2、甲方应当在收到乙方出具的审计报告初稿后的5个工作日内，将反馈意见提交乙方。遇特殊情况无法按规定时间反馈意见的，经与乙方协商同意后，可适当延期，但延期时间最长不得超过3个工作日。</w:t>
      </w:r>
    </w:p>
    <w:p w14:paraId="564554F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3、甲方不得无故解除审计业务约定而另选其他会计师事务所从事本次审计业务。</w:t>
      </w:r>
    </w:p>
    <w:p w14:paraId="524EF78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4、甲方在收到乙方出具符合规定的审计报告后，应当按照约定的付费时间和方式支付审计服务费。</w:t>
      </w:r>
    </w:p>
    <w:p w14:paraId="026843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四、乙方的权利和义务</w:t>
      </w:r>
    </w:p>
    <w:p w14:paraId="7CD9280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（一）乙方的权利</w:t>
      </w:r>
    </w:p>
    <w:p w14:paraId="0D82505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1、在按时提供符合规定的审计报告后，有权要求甲方按照约定的付费时间和方式支付审计服务费。</w:t>
      </w:r>
    </w:p>
    <w:p w14:paraId="0C85074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2、因组织审计项目投标书的评标和审计质量评价工作而获知乙方的商业与技术秘密，乙方有权要求做好相关保密工作。</w:t>
      </w:r>
    </w:p>
    <w:p w14:paraId="27696DE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lang w:eastAsia="zh-CN"/>
        </w:rPr>
        <w:t>乙方有权依法独立对甲方进行审计，不受甲方及其他任何单位和个人的不正当干涉。</w:t>
      </w:r>
    </w:p>
    <w:p w14:paraId="7345E7C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lang w:eastAsia="zh-CN"/>
        </w:rPr>
        <w:t>、乙方与甲方之间产生纠纷时，在自行协商的基础上予以协调解决。</w:t>
      </w:r>
    </w:p>
    <w:p w14:paraId="1A2D2DA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20" w:leftChars="200" w:firstLine="0" w:firstLineChars="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5、乙方有权要求甲方提供审计所需的资料和场地。</w:t>
      </w:r>
    </w:p>
    <w:p w14:paraId="5057E8A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（二）乙方的义务</w:t>
      </w:r>
    </w:p>
    <w:p w14:paraId="2D3C20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1、不得将本协议约定的业务进行转包或分包.</w:t>
      </w:r>
    </w:p>
    <w:p w14:paraId="3EE6B16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按照中国注册会计师审计准则和甲方的要求认真负责地进行审计，并按约定时限出具符合要求的审计报告。若甲方不履行配合义务或出现重大不确定事项导致乙方未能如期出具审计报告，乙方应及时书面告知甲方。</w:t>
      </w:r>
    </w:p>
    <w:p w14:paraId="294BFF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eastAsia="zh-CN"/>
        </w:rPr>
        <w:t>3、乙方应当按相关要求做出书面承诺，对审计报告的真实性、完整性负责，对因故意或者过失而出具的有重大失实或者遗漏应披露而未披露事项的审计报告承担相应的法律责任。</w:t>
      </w:r>
    </w:p>
    <w:p w14:paraId="3AE1AB6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4、乙方应当对在审计过程中获知的甲方的商业信息和技术信息保密。</w:t>
      </w:r>
    </w:p>
    <w:p w14:paraId="59B9CFF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5、乙方应当接受并配合甲方组织的审计质量评价工作。</w:t>
      </w:r>
    </w:p>
    <w:p w14:paraId="3B8A579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五、审计服务费及付费时间</w:t>
      </w:r>
    </w:p>
    <w:p w14:paraId="028359F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（一）收费标准</w:t>
      </w:r>
    </w:p>
    <w:p w14:paraId="5EDC182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甲乙双方约定，本次审计业务服务费用为</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lang w:eastAsia="zh-CN"/>
        </w:rPr>
        <w:t>元，该费用已包括外地会计师事务所赴温办理业务的差旅费等其他审计相关费用，不再发生与本审计业务有关的其他费用。</w:t>
      </w:r>
    </w:p>
    <w:p w14:paraId="262BDDA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（二）付费方式和时间</w:t>
      </w:r>
    </w:p>
    <w:p w14:paraId="4CB3DD4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 xml:space="preserve">  项目相应报告编制完成并经甲方审核确认，乙方提供相应金额发票后15日内一次性支付。</w:t>
      </w:r>
    </w:p>
    <w:p w14:paraId="0049C68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六、审计报告的要求</w:t>
      </w:r>
    </w:p>
    <w:p w14:paraId="22B6CC9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（一）乙方应当按照本业务约定书确定的审计范围，对纳入审计范围内的所有具有法人主体地位的审计对象均应出具年度财务报表审计报告，并按照产权关系层层出具年度合并财务报表审计报告。</w:t>
      </w:r>
    </w:p>
    <w:p w14:paraId="7762EE6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（二）乙方应当按采购人要求以</w:t>
      </w:r>
      <w:r>
        <w:rPr>
          <w:rFonts w:hint="eastAsia" w:asciiTheme="minorEastAsia" w:hAnsiTheme="minorEastAsia" w:eastAsiaTheme="minorEastAsia" w:cstheme="minorEastAsia"/>
          <w:sz w:val="24"/>
          <w:szCs w:val="24"/>
          <w:highlight w:val="none"/>
          <w:lang w:val="en-US" w:eastAsia="zh-CN"/>
        </w:rPr>
        <w:t>企业</w:t>
      </w:r>
      <w:r>
        <w:rPr>
          <w:rFonts w:hint="eastAsia" w:asciiTheme="minorEastAsia" w:hAnsiTheme="minorEastAsia" w:eastAsiaTheme="minorEastAsia" w:cstheme="minorEastAsia"/>
          <w:sz w:val="24"/>
          <w:szCs w:val="24"/>
          <w:highlight w:val="none"/>
          <w:lang w:eastAsia="zh-CN"/>
        </w:rPr>
        <w:t>为单位出具年度财务决算专项审计报告、年度经营业绩考核专项审计报告、年度工资总额预算执行情况专项审计报告。</w:t>
      </w:r>
    </w:p>
    <w:p w14:paraId="09AFB53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（三）乙方提交给采购人的审计报告数量和形式：</w:t>
      </w:r>
    </w:p>
    <w:p w14:paraId="030EF12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1、服务内容相应的纸质审计报告肆份</w:t>
      </w:r>
    </w:p>
    <w:p w14:paraId="179EDAA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2、电子文档资料：服务内容相应的</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PDF格式电子文档</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p>
    <w:p w14:paraId="015B98E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四）甲方在使用或对外公布审计报告时，不得修改乙方出具的审计报告及其后附的已审计财务报表，当甲方认为有必要修改会计数据、报表附注和说明时，应当事先通知乙方，乙方就有关修改对审计报告的影响程度，确定是否需要重新出具审计报告。</w:t>
      </w:r>
    </w:p>
    <w:p w14:paraId="4B9EBA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七、服务期限</w:t>
      </w:r>
    </w:p>
    <w:p w14:paraId="531DF4BB">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签订合同之日起至  年  月  日止。</w:t>
      </w:r>
    </w:p>
    <w:p w14:paraId="4810920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val="en-US" w:eastAsia="zh-CN"/>
        </w:rPr>
        <w:t>八</w:t>
      </w:r>
      <w:r>
        <w:rPr>
          <w:rFonts w:hint="eastAsia" w:asciiTheme="minorEastAsia" w:hAnsiTheme="minorEastAsia" w:eastAsiaTheme="minorEastAsia" w:cstheme="minorEastAsia"/>
          <w:b w:val="0"/>
          <w:bCs w:val="0"/>
          <w:sz w:val="24"/>
          <w:szCs w:val="24"/>
          <w:highlight w:val="none"/>
          <w:lang w:eastAsia="zh-CN"/>
        </w:rPr>
        <w:t>、违约责任</w:t>
      </w:r>
    </w:p>
    <w:p w14:paraId="5659EC8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1、乙方因过失出具有重大遗漏审计报告的，甲方有权核减其审计费用；情节严重的，同时建议其主管部门予以处罚；造成损失的甲方有权要求乙方赔偿.</w:t>
      </w:r>
    </w:p>
    <w:p w14:paraId="4C28599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2、乙方因故意或过失泄漏被审计单位商业秘密的，造成损失的甲方有权要求乙方赔偿。</w:t>
      </w:r>
    </w:p>
    <w:p w14:paraId="0BD24B2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九、约定书的效力</w:t>
      </w:r>
    </w:p>
    <w:p w14:paraId="3BDA4DE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本约定书由双方盖章后生效，约定书壹式陆份，具有同等法律效力，双方各执叁份。</w:t>
      </w:r>
    </w:p>
    <w:p w14:paraId="2D5DBD4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lang w:eastAsia="zh-CN"/>
        </w:rPr>
        <w:t>十、本约定书未尽事宜，依照委托审计管理办法办理。</w:t>
      </w:r>
    </w:p>
    <w:p w14:paraId="27172AC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p>
    <w:p w14:paraId="00DD7D4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甲方： （盖章）</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乙方： （盖章）</w:t>
      </w:r>
    </w:p>
    <w:p w14:paraId="7D72494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授权代表： （签字）</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授权代表： （签字）</w:t>
      </w:r>
    </w:p>
    <w:p w14:paraId="4F1C406D">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地址：</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地址：</w:t>
      </w:r>
    </w:p>
    <w:p w14:paraId="2B3D9183">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邮政编码：</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邮政编码：</w:t>
      </w:r>
    </w:p>
    <w:p w14:paraId="434C0D86">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电话：</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电话：</w:t>
      </w:r>
    </w:p>
    <w:p w14:paraId="27A253E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传真：</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传真：</w:t>
      </w:r>
    </w:p>
    <w:p w14:paraId="6A34E48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eastAsia="zh-CN"/>
        </w:rPr>
        <w:t>日期：</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日期：</w:t>
      </w:r>
    </w:p>
    <w:p w14:paraId="1AF822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highlight w:val="none"/>
          <w:lang w:eastAsia="zh-CN"/>
        </w:rPr>
        <w:t>说明：如甲、乙双方同意，合同格式也可以按照其他形式。但合同条款的基本内容应与采购文件规定的《合同主要条款》要求的内容相一致。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174574"/>
    <w:multiLevelType w:val="singleLevel"/>
    <w:tmpl w:val="EB174574"/>
    <w:lvl w:ilvl="0" w:tentative="0">
      <w:start w:val="1"/>
      <w:numFmt w:val="chineseCounting"/>
      <w:suff w:val="nothing"/>
      <w:lvlText w:val="%1、"/>
      <w:lvlJc w:val="left"/>
      <w:rPr>
        <w:rFonts w:hint="eastAsia"/>
      </w:rPr>
    </w:lvl>
  </w:abstractNum>
  <w:abstractNum w:abstractNumId="1">
    <w:nsid w:val="FC00EF3E"/>
    <w:multiLevelType w:val="singleLevel"/>
    <w:tmpl w:val="FC00EF3E"/>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0B014A16"/>
    <w:multiLevelType w:val="singleLevel"/>
    <w:tmpl w:val="0B014A16"/>
    <w:lvl w:ilvl="0" w:tentative="0">
      <w:start w:val="3"/>
      <w:numFmt w:val="decimal"/>
      <w:suff w:val="nothing"/>
      <w:lvlText w:val="（%1）"/>
      <w:lvlJc w:val="left"/>
      <w:pPr>
        <w:ind w:left="420" w:leftChars="0" w:firstLine="0" w:firstLineChars="0"/>
      </w:pPr>
    </w:lvl>
  </w:abstractNum>
  <w:abstractNum w:abstractNumId="4">
    <w:nsid w:val="5D497C9E"/>
    <w:multiLevelType w:val="multilevel"/>
    <w:tmpl w:val="5D497C9E"/>
    <w:lvl w:ilvl="0" w:tentative="0">
      <w:start w:val="1"/>
      <w:numFmt w:val="chineseCountingThousand"/>
      <w:pStyle w:val="4"/>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AwYjA4Y2MwN2RhNDFlNTA3OGQwYWU5NTZkNWY2NjcifQ=="/>
  </w:docVars>
  <w:rsids>
    <w:rsidRoot w:val="7E9D2BEE"/>
    <w:rsid w:val="00164318"/>
    <w:rsid w:val="004F42B0"/>
    <w:rsid w:val="00565404"/>
    <w:rsid w:val="007F6F3E"/>
    <w:rsid w:val="008F65FF"/>
    <w:rsid w:val="009B4F26"/>
    <w:rsid w:val="00B2450C"/>
    <w:rsid w:val="015500B5"/>
    <w:rsid w:val="02544950"/>
    <w:rsid w:val="027976FD"/>
    <w:rsid w:val="02AE55E9"/>
    <w:rsid w:val="03210B87"/>
    <w:rsid w:val="03BA7264"/>
    <w:rsid w:val="03D91BC3"/>
    <w:rsid w:val="04137DFA"/>
    <w:rsid w:val="041E1407"/>
    <w:rsid w:val="046C7126"/>
    <w:rsid w:val="048177A5"/>
    <w:rsid w:val="05104339"/>
    <w:rsid w:val="0521288B"/>
    <w:rsid w:val="05252DE6"/>
    <w:rsid w:val="054935FC"/>
    <w:rsid w:val="057D45C7"/>
    <w:rsid w:val="059C3DC6"/>
    <w:rsid w:val="063437DC"/>
    <w:rsid w:val="063F15D1"/>
    <w:rsid w:val="06770E4D"/>
    <w:rsid w:val="06944187"/>
    <w:rsid w:val="08E6389B"/>
    <w:rsid w:val="09181A0E"/>
    <w:rsid w:val="09682EB8"/>
    <w:rsid w:val="09701596"/>
    <w:rsid w:val="09AC7B86"/>
    <w:rsid w:val="09C35DE1"/>
    <w:rsid w:val="09EF276F"/>
    <w:rsid w:val="09FC30DE"/>
    <w:rsid w:val="0A600F93"/>
    <w:rsid w:val="0AB102CC"/>
    <w:rsid w:val="0ABB16FD"/>
    <w:rsid w:val="0B9E1294"/>
    <w:rsid w:val="0BE678A2"/>
    <w:rsid w:val="0C3E373D"/>
    <w:rsid w:val="0C48260B"/>
    <w:rsid w:val="0C811679"/>
    <w:rsid w:val="0C9814B5"/>
    <w:rsid w:val="0CD74F4E"/>
    <w:rsid w:val="0CD97C60"/>
    <w:rsid w:val="0D69317F"/>
    <w:rsid w:val="0DCF4D92"/>
    <w:rsid w:val="0DD57DA6"/>
    <w:rsid w:val="0DED1E0A"/>
    <w:rsid w:val="0E1D50C2"/>
    <w:rsid w:val="0E2B3F92"/>
    <w:rsid w:val="0E681446"/>
    <w:rsid w:val="0F105091"/>
    <w:rsid w:val="0FBF2BE4"/>
    <w:rsid w:val="0FC9344B"/>
    <w:rsid w:val="10103BBF"/>
    <w:rsid w:val="10B169D0"/>
    <w:rsid w:val="10C0062A"/>
    <w:rsid w:val="110E0BAC"/>
    <w:rsid w:val="11497AAB"/>
    <w:rsid w:val="114C494B"/>
    <w:rsid w:val="11706C19"/>
    <w:rsid w:val="12004B47"/>
    <w:rsid w:val="127B54E8"/>
    <w:rsid w:val="12B22195"/>
    <w:rsid w:val="12CF6CBB"/>
    <w:rsid w:val="13433DE3"/>
    <w:rsid w:val="135D343D"/>
    <w:rsid w:val="13823917"/>
    <w:rsid w:val="13CA1F19"/>
    <w:rsid w:val="13DD44F2"/>
    <w:rsid w:val="144E2A5F"/>
    <w:rsid w:val="1493761C"/>
    <w:rsid w:val="14E32ED1"/>
    <w:rsid w:val="14ED1FA1"/>
    <w:rsid w:val="15235DCB"/>
    <w:rsid w:val="154E7CBC"/>
    <w:rsid w:val="15DA064A"/>
    <w:rsid w:val="15DA0D4C"/>
    <w:rsid w:val="15DA1A14"/>
    <w:rsid w:val="173845ED"/>
    <w:rsid w:val="17497CDE"/>
    <w:rsid w:val="17626C76"/>
    <w:rsid w:val="17CE7E68"/>
    <w:rsid w:val="17FD24FB"/>
    <w:rsid w:val="182201B4"/>
    <w:rsid w:val="18490F58"/>
    <w:rsid w:val="187B02C7"/>
    <w:rsid w:val="18F00A8A"/>
    <w:rsid w:val="1AAF0E80"/>
    <w:rsid w:val="1AC51655"/>
    <w:rsid w:val="1AD56617"/>
    <w:rsid w:val="1B0207F3"/>
    <w:rsid w:val="1B3767AB"/>
    <w:rsid w:val="1B943177"/>
    <w:rsid w:val="1B972558"/>
    <w:rsid w:val="1BCD3B84"/>
    <w:rsid w:val="1BD532AE"/>
    <w:rsid w:val="1C25283A"/>
    <w:rsid w:val="1C275729"/>
    <w:rsid w:val="1C8431EB"/>
    <w:rsid w:val="1CC20464"/>
    <w:rsid w:val="1E05197A"/>
    <w:rsid w:val="1E8A3853"/>
    <w:rsid w:val="1EDB07A1"/>
    <w:rsid w:val="1EEA7AC6"/>
    <w:rsid w:val="1EF96CF2"/>
    <w:rsid w:val="1F090697"/>
    <w:rsid w:val="1F0A095C"/>
    <w:rsid w:val="1F0B09EA"/>
    <w:rsid w:val="1FD92A7D"/>
    <w:rsid w:val="20254B96"/>
    <w:rsid w:val="203B6D03"/>
    <w:rsid w:val="209C5373"/>
    <w:rsid w:val="20AC4ABE"/>
    <w:rsid w:val="20BE4494"/>
    <w:rsid w:val="20F16CA2"/>
    <w:rsid w:val="20F6446B"/>
    <w:rsid w:val="213056EF"/>
    <w:rsid w:val="21B0008F"/>
    <w:rsid w:val="21E30D42"/>
    <w:rsid w:val="22201238"/>
    <w:rsid w:val="2261581A"/>
    <w:rsid w:val="22617B2B"/>
    <w:rsid w:val="22A01F0E"/>
    <w:rsid w:val="23943C60"/>
    <w:rsid w:val="23B87C1E"/>
    <w:rsid w:val="242D0576"/>
    <w:rsid w:val="253A6130"/>
    <w:rsid w:val="25980233"/>
    <w:rsid w:val="2601367E"/>
    <w:rsid w:val="260E1459"/>
    <w:rsid w:val="265D5A85"/>
    <w:rsid w:val="26647BE9"/>
    <w:rsid w:val="26CB1FFA"/>
    <w:rsid w:val="270D25C0"/>
    <w:rsid w:val="27624C01"/>
    <w:rsid w:val="278A02F5"/>
    <w:rsid w:val="27BA6FBE"/>
    <w:rsid w:val="28013942"/>
    <w:rsid w:val="282707F3"/>
    <w:rsid w:val="28BC6745"/>
    <w:rsid w:val="28F124F7"/>
    <w:rsid w:val="290B7C96"/>
    <w:rsid w:val="293C106B"/>
    <w:rsid w:val="295020B2"/>
    <w:rsid w:val="29607107"/>
    <w:rsid w:val="298E32BC"/>
    <w:rsid w:val="29BF51B1"/>
    <w:rsid w:val="2A2829FB"/>
    <w:rsid w:val="2A9F7DB7"/>
    <w:rsid w:val="2B0D5F6D"/>
    <w:rsid w:val="2B31540B"/>
    <w:rsid w:val="2B844556"/>
    <w:rsid w:val="2B996587"/>
    <w:rsid w:val="2BAD0143"/>
    <w:rsid w:val="2C9F3729"/>
    <w:rsid w:val="2D736011"/>
    <w:rsid w:val="2D8C0151"/>
    <w:rsid w:val="2DB43E82"/>
    <w:rsid w:val="2DDA4C9A"/>
    <w:rsid w:val="2DE55AB4"/>
    <w:rsid w:val="2E0C3A22"/>
    <w:rsid w:val="2E0D1483"/>
    <w:rsid w:val="2EBB4BEE"/>
    <w:rsid w:val="2F324A77"/>
    <w:rsid w:val="2F5C01C6"/>
    <w:rsid w:val="2F6F6789"/>
    <w:rsid w:val="30000983"/>
    <w:rsid w:val="313E4203"/>
    <w:rsid w:val="319C6045"/>
    <w:rsid w:val="31B05E08"/>
    <w:rsid w:val="31B41C0A"/>
    <w:rsid w:val="31D54EF7"/>
    <w:rsid w:val="32351D06"/>
    <w:rsid w:val="32B3248C"/>
    <w:rsid w:val="331647C9"/>
    <w:rsid w:val="33415B8B"/>
    <w:rsid w:val="3345781A"/>
    <w:rsid w:val="33950813"/>
    <w:rsid w:val="33D60378"/>
    <w:rsid w:val="33EA7980"/>
    <w:rsid w:val="342F6CD8"/>
    <w:rsid w:val="35876A57"/>
    <w:rsid w:val="35983D7A"/>
    <w:rsid w:val="360F36CE"/>
    <w:rsid w:val="3620283E"/>
    <w:rsid w:val="365A27C8"/>
    <w:rsid w:val="3694744F"/>
    <w:rsid w:val="36B63093"/>
    <w:rsid w:val="3734045B"/>
    <w:rsid w:val="378C2AA9"/>
    <w:rsid w:val="37E66B23"/>
    <w:rsid w:val="37E83616"/>
    <w:rsid w:val="383B6C22"/>
    <w:rsid w:val="38C43CA9"/>
    <w:rsid w:val="38DB20AB"/>
    <w:rsid w:val="394668D6"/>
    <w:rsid w:val="3A7D77A0"/>
    <w:rsid w:val="3AA32C70"/>
    <w:rsid w:val="3AC6636C"/>
    <w:rsid w:val="3AEE6AD9"/>
    <w:rsid w:val="3BE55E13"/>
    <w:rsid w:val="3C377A75"/>
    <w:rsid w:val="3C4B3FC2"/>
    <w:rsid w:val="3D4855F3"/>
    <w:rsid w:val="3D7E46A8"/>
    <w:rsid w:val="3DF81D2A"/>
    <w:rsid w:val="3E5E1BF9"/>
    <w:rsid w:val="3E75078E"/>
    <w:rsid w:val="3E9D0D52"/>
    <w:rsid w:val="3ECF1148"/>
    <w:rsid w:val="3F1F65DD"/>
    <w:rsid w:val="3FB757CD"/>
    <w:rsid w:val="40034CE0"/>
    <w:rsid w:val="411A6241"/>
    <w:rsid w:val="41DF2AEE"/>
    <w:rsid w:val="41ED7BBF"/>
    <w:rsid w:val="42162BD2"/>
    <w:rsid w:val="422C4AC9"/>
    <w:rsid w:val="423A5616"/>
    <w:rsid w:val="42E12896"/>
    <w:rsid w:val="42E303BC"/>
    <w:rsid w:val="43411735"/>
    <w:rsid w:val="43416B84"/>
    <w:rsid w:val="43703F00"/>
    <w:rsid w:val="43F53D29"/>
    <w:rsid w:val="4407136D"/>
    <w:rsid w:val="44A57C2A"/>
    <w:rsid w:val="45B84D5C"/>
    <w:rsid w:val="46217054"/>
    <w:rsid w:val="462269D5"/>
    <w:rsid w:val="46254F1A"/>
    <w:rsid w:val="467C6146"/>
    <w:rsid w:val="471A73A9"/>
    <w:rsid w:val="47583F97"/>
    <w:rsid w:val="47A361AE"/>
    <w:rsid w:val="487B78EB"/>
    <w:rsid w:val="488A37E1"/>
    <w:rsid w:val="48A905A4"/>
    <w:rsid w:val="48A91728"/>
    <w:rsid w:val="48C66535"/>
    <w:rsid w:val="490B55D4"/>
    <w:rsid w:val="49115557"/>
    <w:rsid w:val="49F45D1E"/>
    <w:rsid w:val="4A5C0AFE"/>
    <w:rsid w:val="4A663F0F"/>
    <w:rsid w:val="4B2D35EC"/>
    <w:rsid w:val="4B541BD0"/>
    <w:rsid w:val="4B6173B9"/>
    <w:rsid w:val="4B875B74"/>
    <w:rsid w:val="4BA34D98"/>
    <w:rsid w:val="4BF1634C"/>
    <w:rsid w:val="4C7240D0"/>
    <w:rsid w:val="4D4C6D24"/>
    <w:rsid w:val="4D8412CA"/>
    <w:rsid w:val="4DC26F73"/>
    <w:rsid w:val="4DD17574"/>
    <w:rsid w:val="4E571C5E"/>
    <w:rsid w:val="4EBC7D13"/>
    <w:rsid w:val="4EC033FE"/>
    <w:rsid w:val="4F1555C1"/>
    <w:rsid w:val="4F156EDC"/>
    <w:rsid w:val="4F2A2745"/>
    <w:rsid w:val="4FE67FE2"/>
    <w:rsid w:val="4FEB04D1"/>
    <w:rsid w:val="505A32A9"/>
    <w:rsid w:val="508C72AA"/>
    <w:rsid w:val="50B213CE"/>
    <w:rsid w:val="51B12745"/>
    <w:rsid w:val="51B6770D"/>
    <w:rsid w:val="51C125FC"/>
    <w:rsid w:val="524B7498"/>
    <w:rsid w:val="525613B6"/>
    <w:rsid w:val="52741FD4"/>
    <w:rsid w:val="531970A4"/>
    <w:rsid w:val="53A7451A"/>
    <w:rsid w:val="54982DA4"/>
    <w:rsid w:val="549F6D9D"/>
    <w:rsid w:val="54BC628D"/>
    <w:rsid w:val="54ED444E"/>
    <w:rsid w:val="559451F6"/>
    <w:rsid w:val="563F226F"/>
    <w:rsid w:val="57C2639A"/>
    <w:rsid w:val="5834289E"/>
    <w:rsid w:val="58704C02"/>
    <w:rsid w:val="5A262AF2"/>
    <w:rsid w:val="5A807902"/>
    <w:rsid w:val="5AC74DF8"/>
    <w:rsid w:val="5B235531"/>
    <w:rsid w:val="5B51560B"/>
    <w:rsid w:val="5BB300C0"/>
    <w:rsid w:val="5C47689A"/>
    <w:rsid w:val="5C7E30BB"/>
    <w:rsid w:val="5C7E5810"/>
    <w:rsid w:val="5CA54D24"/>
    <w:rsid w:val="5D5B41FF"/>
    <w:rsid w:val="5DBF01BE"/>
    <w:rsid w:val="5DE0696A"/>
    <w:rsid w:val="5E117222"/>
    <w:rsid w:val="5E4775F9"/>
    <w:rsid w:val="5E5674C7"/>
    <w:rsid w:val="5E9D755E"/>
    <w:rsid w:val="5EA17159"/>
    <w:rsid w:val="5F5E5265"/>
    <w:rsid w:val="5F8748DA"/>
    <w:rsid w:val="5F93061C"/>
    <w:rsid w:val="5FAA04E8"/>
    <w:rsid w:val="5FDE1234"/>
    <w:rsid w:val="5FDE4B10"/>
    <w:rsid w:val="5FF025E4"/>
    <w:rsid w:val="5FF605AC"/>
    <w:rsid w:val="60144D8D"/>
    <w:rsid w:val="602F6597"/>
    <w:rsid w:val="60931B35"/>
    <w:rsid w:val="609A6799"/>
    <w:rsid w:val="61D90EB0"/>
    <w:rsid w:val="625C5CC2"/>
    <w:rsid w:val="62713F31"/>
    <w:rsid w:val="62A82FCC"/>
    <w:rsid w:val="63604C33"/>
    <w:rsid w:val="63653CAD"/>
    <w:rsid w:val="63F7532D"/>
    <w:rsid w:val="64512ACB"/>
    <w:rsid w:val="647B1A55"/>
    <w:rsid w:val="652C7549"/>
    <w:rsid w:val="65561E5B"/>
    <w:rsid w:val="6573295C"/>
    <w:rsid w:val="667761EE"/>
    <w:rsid w:val="669D6869"/>
    <w:rsid w:val="66EB7B2A"/>
    <w:rsid w:val="67201A8D"/>
    <w:rsid w:val="673E0C66"/>
    <w:rsid w:val="67593538"/>
    <w:rsid w:val="67CD6853"/>
    <w:rsid w:val="694E32B1"/>
    <w:rsid w:val="69643755"/>
    <w:rsid w:val="69A715B1"/>
    <w:rsid w:val="69DC26B1"/>
    <w:rsid w:val="6A366774"/>
    <w:rsid w:val="6B8E6129"/>
    <w:rsid w:val="6BD81E4D"/>
    <w:rsid w:val="6C316F80"/>
    <w:rsid w:val="6C6D4A58"/>
    <w:rsid w:val="6CAA0FDD"/>
    <w:rsid w:val="6D154D66"/>
    <w:rsid w:val="6D5444AE"/>
    <w:rsid w:val="6D905053"/>
    <w:rsid w:val="6D9E194A"/>
    <w:rsid w:val="6DB9234E"/>
    <w:rsid w:val="6E0948CB"/>
    <w:rsid w:val="6E3341EC"/>
    <w:rsid w:val="6E542593"/>
    <w:rsid w:val="6E8F6925"/>
    <w:rsid w:val="6ECD3B4B"/>
    <w:rsid w:val="6F556684"/>
    <w:rsid w:val="6F6E5295"/>
    <w:rsid w:val="70134ABB"/>
    <w:rsid w:val="70377E36"/>
    <w:rsid w:val="705C5862"/>
    <w:rsid w:val="70861C0E"/>
    <w:rsid w:val="70B3479D"/>
    <w:rsid w:val="70E50F8E"/>
    <w:rsid w:val="70F75741"/>
    <w:rsid w:val="712029B9"/>
    <w:rsid w:val="712C5BB2"/>
    <w:rsid w:val="71710D3D"/>
    <w:rsid w:val="7174432C"/>
    <w:rsid w:val="72094B9E"/>
    <w:rsid w:val="728C5ACB"/>
    <w:rsid w:val="7298621E"/>
    <w:rsid w:val="72B76A57"/>
    <w:rsid w:val="72B94E61"/>
    <w:rsid w:val="73FC2AB3"/>
    <w:rsid w:val="7499671F"/>
    <w:rsid w:val="74C01E69"/>
    <w:rsid w:val="74D64461"/>
    <w:rsid w:val="750034AD"/>
    <w:rsid w:val="755C628B"/>
    <w:rsid w:val="755E58D5"/>
    <w:rsid w:val="76036494"/>
    <w:rsid w:val="761360D7"/>
    <w:rsid w:val="7647594D"/>
    <w:rsid w:val="765C4908"/>
    <w:rsid w:val="76973095"/>
    <w:rsid w:val="76992E80"/>
    <w:rsid w:val="76DE455C"/>
    <w:rsid w:val="779E7A28"/>
    <w:rsid w:val="77B72D5D"/>
    <w:rsid w:val="77CB0ED0"/>
    <w:rsid w:val="77F03ED5"/>
    <w:rsid w:val="788123CC"/>
    <w:rsid w:val="78A44248"/>
    <w:rsid w:val="78C95383"/>
    <w:rsid w:val="78D31B37"/>
    <w:rsid w:val="794E57F6"/>
    <w:rsid w:val="7A4E2A78"/>
    <w:rsid w:val="7A63380E"/>
    <w:rsid w:val="7A7866E1"/>
    <w:rsid w:val="7A9A058E"/>
    <w:rsid w:val="7AB27306"/>
    <w:rsid w:val="7AD50F5F"/>
    <w:rsid w:val="7B68601A"/>
    <w:rsid w:val="7B8D2DCC"/>
    <w:rsid w:val="7C2A2861"/>
    <w:rsid w:val="7C4C159F"/>
    <w:rsid w:val="7C857813"/>
    <w:rsid w:val="7CA773FF"/>
    <w:rsid w:val="7CF5799B"/>
    <w:rsid w:val="7DAF1184"/>
    <w:rsid w:val="7DE25B31"/>
    <w:rsid w:val="7E1F77F3"/>
    <w:rsid w:val="7E9D2BEE"/>
    <w:rsid w:val="7F361298"/>
    <w:rsid w:val="7F6B4E3B"/>
    <w:rsid w:val="7FAC4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2"/>
    <w:qFormat/>
    <w:uiPriority w:val="0"/>
    <w:pPr>
      <w:keepNext/>
      <w:numPr>
        <w:ilvl w:val="0"/>
        <w:numId w:val="1"/>
      </w:numPr>
      <w:jc w:val="center"/>
      <w:outlineLvl w:val="0"/>
    </w:pPr>
    <w:rPr>
      <w:rFonts w:eastAsia="黑体"/>
      <w:b/>
      <w:sz w:val="32"/>
      <w:szCs w:val="20"/>
    </w:rPr>
  </w:style>
  <w:style w:type="paragraph" w:styleId="5">
    <w:name w:val="heading 2"/>
    <w:basedOn w:val="1"/>
    <w:next w:val="1"/>
    <w:qFormat/>
    <w:uiPriority w:val="0"/>
    <w:pPr>
      <w:keepNext/>
      <w:keepLines/>
      <w:spacing w:line="360" w:lineRule="auto"/>
      <w:outlineLvl w:val="1"/>
    </w:pPr>
    <w:rPr>
      <w:rFonts w:ascii="Arial" w:hAnsi="Arial"/>
      <w:b/>
      <w:bCs/>
      <w:sz w:val="24"/>
      <w:szCs w:val="32"/>
    </w:rPr>
  </w:style>
  <w:style w:type="paragraph" w:styleId="6">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styleId="7">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8">
    <w:name w:val="Body Text"/>
    <w:basedOn w:val="1"/>
    <w:next w:val="1"/>
    <w:qFormat/>
    <w:uiPriority w:val="0"/>
    <w:pPr>
      <w:spacing w:after="120"/>
    </w:pPr>
  </w:style>
  <w:style w:type="paragraph" w:styleId="9">
    <w:name w:val="Body Text Indent"/>
    <w:basedOn w:val="1"/>
    <w:qFormat/>
    <w:uiPriority w:val="0"/>
    <w:pPr>
      <w:ind w:left="480" w:hanging="480" w:hangingChars="200"/>
    </w:pPr>
    <w:rPr>
      <w:sz w:val="24"/>
    </w:rPr>
  </w:style>
  <w:style w:type="paragraph" w:styleId="10">
    <w:name w:val="Block Text"/>
    <w:basedOn w:val="1"/>
    <w:qFormat/>
    <w:uiPriority w:val="0"/>
    <w:pPr>
      <w:spacing w:line="520" w:lineRule="exact"/>
      <w:ind w:left="540" w:leftChars="257" w:right="-514"/>
    </w:pPr>
    <w:rPr>
      <w:rFonts w:ascii="宋体" w:hAnsi="宋体"/>
      <w:sz w:val="24"/>
    </w:rPr>
  </w:style>
  <w:style w:type="paragraph" w:styleId="11">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2">
    <w:name w:val="Date"/>
    <w:basedOn w:val="1"/>
    <w:next w:val="1"/>
    <w:qFormat/>
    <w:uiPriority w:val="0"/>
    <w:pPr>
      <w:ind w:left="100" w:leftChars="2500"/>
    </w:p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rPr>
      <w:szCs w:val="20"/>
    </w:r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8">
    <w:name w:val="Table Grid"/>
    <w:basedOn w:val="17"/>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bCs/>
    </w:rPr>
  </w:style>
  <w:style w:type="paragraph" w:customStyle="1" w:styleId="21">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2">
    <w:name w:val="标题 1 字符"/>
    <w:link w:val="4"/>
    <w:qFormat/>
    <w:uiPriority w:val="0"/>
    <w:rPr>
      <w:rFonts w:eastAsia="黑体"/>
      <w:b/>
      <w:sz w:val="32"/>
      <w:szCs w:val="20"/>
    </w:rPr>
  </w:style>
  <w:style w:type="paragraph" w:styleId="23">
    <w:name w:val="List Paragraph"/>
    <w:basedOn w:val="1"/>
    <w:qFormat/>
    <w:uiPriority w:val="0"/>
    <w:pPr>
      <w:ind w:firstLine="420" w:firstLineChars="200"/>
    </w:pPr>
    <w:rPr>
      <w:rFonts w:ascii="Calibri" w:hAnsi="Calibri"/>
      <w:szCs w:val="22"/>
    </w:rPr>
  </w:style>
  <w:style w:type="paragraph" w:customStyle="1" w:styleId="24">
    <w:name w:val="保留正文"/>
    <w:basedOn w:val="8"/>
    <w:qFormat/>
    <w:uiPriority w:val="0"/>
  </w:style>
  <w:style w:type="table" w:customStyle="1" w:styleId="25">
    <w:name w:val="Table Normal"/>
    <w:unhideWhenUsed/>
    <w:qFormat/>
    <w:uiPriority w:val="0"/>
    <w:tblPr>
      <w:tblCellMar>
        <w:top w:w="0" w:type="dxa"/>
        <w:left w:w="0" w:type="dxa"/>
        <w:bottom w:w="0" w:type="dxa"/>
        <w:right w:w="0" w:type="dxa"/>
      </w:tblCellMar>
    </w:tblPr>
  </w:style>
  <w:style w:type="paragraph" w:customStyle="1" w:styleId="26">
    <w:name w:val="Table Text"/>
    <w:basedOn w:val="1"/>
    <w:semiHidden/>
    <w:qFormat/>
    <w:uiPriority w:val="0"/>
    <w:rPr>
      <w:rFonts w:ascii="宋体" w:hAnsi="宋体" w:cs="宋体"/>
      <w:szCs w:val="21"/>
      <w:lang w:eastAsia="en-US"/>
    </w:rPr>
  </w:style>
  <w:style w:type="paragraph" w:customStyle="1" w:styleId="27">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8">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29">
    <w:name w:val="列出段落1"/>
    <w:basedOn w:val="1"/>
    <w:qFormat/>
    <w:uiPriority w:val="0"/>
    <w:pPr>
      <w:ind w:firstLine="420" w:firstLineChars="200"/>
    </w:pPr>
    <w:rPr>
      <w:szCs w:val="21"/>
    </w:rPr>
  </w:style>
  <w:style w:type="character" w:customStyle="1" w:styleId="30">
    <w:name w:val="font21"/>
    <w:basedOn w:val="19"/>
    <w:autoRedefine/>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7960</Words>
  <Characters>8317</Characters>
  <Lines>130</Lines>
  <Paragraphs>36</Paragraphs>
  <TotalTime>0</TotalTime>
  <ScaleCrop>false</ScaleCrop>
  <LinksUpToDate>false</LinksUpToDate>
  <CharactersWithSpaces>9217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2024-08-15T03:00:00Z</dcterms:created>
  <dc:creator>丶梦里寻她千百度ミ</dc:creator>
  <cp:lastModifiedBy>季善飞</cp:lastModifiedBy>
  <dcterms:modified xsi:type="dcterms:W3CDTF">2024-09-30T07:31:37Z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3E787D55AF044DE9BD8CC3BC89B61AC8_13</vt:lpwstr>
  </property>
  <property fmtid="{D5CDD505-2E9C-101B-9397-08002B2CF9AE}" pid="4" name="commondata">
    <vt:lpwstr>eyJoZGlkIjoiMjdiOGY2Yjk4NjAzM2M5OTU2Y2MxNTk1YmNlMjFjYWQifQ==</vt:lpwstr>
  </property>
</Properties>
</file>